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4.4.0 -->
  <w:body>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800"/>
      </w:tblGrid>
      <w:tr>
        <w:tblPrEx>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75"/>
          <w:jc w:val="center"/>
        </w:trPr>
        <w:tc>
          <w:tcPr>
            <w:tcW w:w="1080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0" w:line="288" w:lineRule="auto"/>
        <w:ind w:left="0" w:right="0" w:firstLine="0"/>
        <w:jc w:val="center"/>
        <w:outlineLvl w:val="0"/>
        <w:rPr>
          <w:rFonts w:ascii="Arial" w:eastAsia="Arial" w:hAnsi="Arial" w:cs="Arial"/>
          <w:b/>
          <w:i w:val="0"/>
          <w:sz w:val="24"/>
        </w:rPr>
      </w:pPr>
      <w:r>
        <w:rPr>
          <w:rFonts w:ascii="Arial" w:eastAsia="Arial" w:hAnsi="Arial" w:cs="Arial"/>
          <w:b/>
          <w:i w:val="0"/>
          <w:sz w:val="24"/>
        </w:rPr>
        <w:t>UNITED STATES</w:t>
      </w:r>
    </w:p>
    <w:p>
      <w:pPr>
        <w:keepNext w:val="0"/>
        <w:keepLines w:val="0"/>
        <w:pageBreakBefore w:val="0"/>
        <w:widowControl/>
        <w:numPr>
          <w:ilvl w:val="0"/>
          <w:numId w:val="0"/>
        </w:numPr>
        <w:spacing w:before="0" w:after="0" w:line="288" w:lineRule="auto"/>
        <w:ind w:left="0" w:right="0" w:firstLine="0"/>
        <w:jc w:val="center"/>
        <w:outlineLvl w:val="9"/>
        <w:rPr>
          <w:rFonts w:ascii="Arial" w:eastAsia="Arial" w:hAnsi="Arial" w:cs="Arial"/>
          <w:b/>
          <w:i w:val="0"/>
          <w:sz w:val="24"/>
        </w:rPr>
      </w:pPr>
      <w:r>
        <w:rPr>
          <w:rFonts w:ascii="Arial" w:eastAsia="Arial" w:hAnsi="Arial" w:cs="Arial"/>
          <w:b/>
          <w:i w:val="0"/>
          <w:sz w:val="24"/>
        </w:rPr>
        <w:t>SECURITIES AND EXCHANGE COMMISSION</w:t>
      </w:r>
    </w:p>
    <w:p>
      <w:pPr>
        <w:keepNext w:val="0"/>
        <w:keepLines w:val="0"/>
        <w:pageBreakBefore w:val="0"/>
        <w:widowControl/>
        <w:numPr>
          <w:ilvl w:val="0"/>
          <w:numId w:val="0"/>
        </w:numPr>
        <w:spacing w:before="0" w:after="0" w:line="288" w:lineRule="auto"/>
        <w:ind w:left="0" w:right="0" w:firstLine="0"/>
        <w:jc w:val="center"/>
        <w:outlineLvl w:val="9"/>
        <w:rPr>
          <w:rFonts w:ascii="Arial" w:eastAsia="Arial" w:hAnsi="Arial" w:cs="Arial"/>
          <w:b/>
          <w:i w:val="0"/>
          <w:sz w:val="24"/>
        </w:rPr>
      </w:pPr>
      <w:r>
        <w:rPr>
          <w:rFonts w:ascii="Arial" w:eastAsia="Arial" w:hAnsi="Arial" w:cs="Arial"/>
          <w:b/>
          <w:i w:val="0"/>
          <w:sz w:val="24"/>
        </w:rPr>
        <w:t>Washington, D.C. 20549</w:t>
      </w:r>
    </w:p>
    <w:p>
      <w:pPr>
        <w:keepNext w:val="0"/>
        <w:keepLines w:val="0"/>
        <w:pageBreakBefore w:val="0"/>
        <w:widowControl/>
        <w:numPr>
          <w:ilvl w:val="0"/>
          <w:numId w:val="0"/>
        </w:numPr>
        <w:spacing w:before="0" w:after="0" w:line="288" w:lineRule="auto"/>
        <w:ind w:left="0" w:right="0" w:firstLine="0"/>
        <w:jc w:val="center"/>
        <w:outlineLvl w:val="9"/>
        <w:rPr>
          <w:rFonts w:ascii="Arial" w:eastAsia="Arial" w:hAnsi="Arial" w:cs="Arial"/>
          <w:b/>
          <w:i w:val="0"/>
          <w:sz w:val="24"/>
        </w:rPr>
      </w:pPr>
      <w:r>
        <w:rPr>
          <w:rFonts w:ascii="Arial" w:eastAsia="Arial" w:hAnsi="Arial" w:cs="Arial"/>
          <w:b/>
          <w:i w:val="0"/>
          <w:sz w:val="24"/>
        </w:rPr>
        <w:t>_____________________________________ </w:t>
      </w:r>
    </w:p>
    <w:p>
      <w:pPr>
        <w:keepNext w:val="0"/>
        <w:keepLines w:val="0"/>
        <w:pageBreakBefore w:val="0"/>
        <w:widowControl/>
        <w:numPr>
          <w:ilvl w:val="0"/>
          <w:numId w:val="0"/>
        </w:numPr>
        <w:spacing w:before="0" w:after="0" w:line="288" w:lineRule="auto"/>
        <w:ind w:left="0" w:right="0" w:firstLine="0"/>
        <w:jc w:val="center"/>
        <w:outlineLvl w:val="9"/>
        <w:rPr>
          <w:rFonts w:ascii="Arial" w:eastAsia="Arial" w:hAnsi="Arial" w:cs="Arial"/>
          <w:b/>
          <w:i w:val="0"/>
          <w:sz w:val="24"/>
        </w:rPr>
      </w:pPr>
      <w:r>
        <w:rPr>
          <w:rFonts w:ascii="Arial" w:eastAsia="Arial" w:hAnsi="Arial" w:cs="Arial"/>
          <w:b/>
          <w:i w:val="0"/>
          <w:sz w:val="24"/>
        </w:rPr>
        <w:t>SCHEDULE 14A</w:t>
      </w:r>
    </w:p>
    <w:p>
      <w:pPr>
        <w:keepNext w:val="0"/>
        <w:keepLines w:val="0"/>
        <w:pageBreakBefore w:val="0"/>
        <w:widowControl/>
        <w:numPr>
          <w:ilvl w:val="0"/>
          <w:numId w:val="0"/>
        </w:numPr>
        <w:spacing w:before="0" w:after="0" w:line="288" w:lineRule="auto"/>
        <w:ind w:left="0" w:right="0" w:firstLine="0"/>
        <w:jc w:val="center"/>
        <w:outlineLvl w:val="9"/>
        <w:rPr>
          <w:rFonts w:ascii="Arial" w:eastAsia="Arial" w:hAnsi="Arial" w:cs="Arial"/>
          <w:b/>
          <w:i w:val="0"/>
          <w:sz w:val="24"/>
        </w:rPr>
      </w:pPr>
      <w:r>
        <w:rPr>
          <w:rFonts w:ascii="Arial" w:eastAsia="Arial" w:hAnsi="Arial" w:cs="Arial"/>
          <w:b/>
          <w:i w:val="0"/>
          <w:sz w:val="24"/>
        </w:rPr>
        <w:t>Proxy Statement Pursuant to Section 14(a) of the</w:t>
      </w:r>
    </w:p>
    <w:p>
      <w:pPr>
        <w:keepNext w:val="0"/>
        <w:keepLines w:val="0"/>
        <w:pageBreakBefore w:val="0"/>
        <w:widowControl/>
        <w:numPr>
          <w:ilvl w:val="0"/>
          <w:numId w:val="0"/>
        </w:numPr>
        <w:spacing w:before="0" w:after="0" w:line="288" w:lineRule="auto"/>
        <w:ind w:left="0" w:right="0" w:firstLine="0"/>
        <w:jc w:val="center"/>
        <w:outlineLvl w:val="9"/>
        <w:rPr>
          <w:rFonts w:ascii="Arial" w:eastAsia="Arial" w:hAnsi="Arial" w:cs="Arial"/>
          <w:b/>
          <w:i w:val="0"/>
          <w:sz w:val="24"/>
        </w:rPr>
      </w:pPr>
      <w:r>
        <w:rPr>
          <w:rFonts w:ascii="Arial" w:eastAsia="Arial" w:hAnsi="Arial" w:cs="Arial"/>
          <w:b/>
          <w:i w:val="0"/>
          <w:sz w:val="24"/>
        </w:rPr>
        <w:t>Securities Exchange Act of 1934</w:t>
      </w:r>
    </w:p>
    <w:p>
      <w:pPr>
        <w:keepNext w:val="0"/>
        <w:keepLines w:val="0"/>
        <w:pageBreakBefore w:val="0"/>
        <w:widowControl/>
        <w:numPr>
          <w:ilvl w:val="0"/>
          <w:numId w:val="0"/>
        </w:numPr>
        <w:spacing w:before="0" w:after="0" w:line="288" w:lineRule="auto"/>
        <w:ind w:left="0" w:right="0" w:firstLine="0"/>
        <w:jc w:val="center"/>
        <w:outlineLvl w:val="9"/>
        <w:rPr>
          <w:rFonts w:ascii="Arial" w:eastAsia="Arial" w:hAnsi="Arial" w:cs="Arial"/>
          <w:b/>
          <w:i w:val="0"/>
          <w:sz w:val="24"/>
        </w:rPr>
      </w:pPr>
      <w:r>
        <w:rPr>
          <w:rFonts w:ascii="Arial" w:eastAsia="Arial" w:hAnsi="Arial" w:cs="Arial"/>
          <w:b/>
          <w:i w:val="0"/>
          <w:sz w:val="24"/>
        </w:rPr>
        <w:t>(Amendment No.    )</w:t>
      </w:r>
    </w:p>
    <w:p>
      <w:pPr>
        <w:keepNext w:val="0"/>
        <w:keepLines w:val="0"/>
        <w:pageBreakBefore w:val="0"/>
        <w:widowControl/>
        <w:numPr>
          <w:ilvl w:val="0"/>
          <w:numId w:val="0"/>
        </w:numPr>
        <w:spacing w:before="0" w:after="0" w:line="288" w:lineRule="auto"/>
        <w:ind w:left="0" w:right="0" w:firstLine="0"/>
        <w:jc w:val="center"/>
        <w:outlineLvl w:val="9"/>
        <w:rPr>
          <w:rFonts w:ascii="Arial" w:eastAsia="Arial" w:hAnsi="Arial" w:cs="Arial"/>
          <w:b/>
          <w:i w:val="0"/>
          <w:sz w:val="24"/>
        </w:rPr>
      </w:pPr>
      <w:r>
        <w:rPr>
          <w:rFonts w:ascii="Arial" w:eastAsia="Arial" w:hAnsi="Arial" w:cs="Arial"/>
          <w:b/>
          <w:i w:val="0"/>
          <w:sz w:val="24"/>
        </w:rPr>
        <w:t> _____________________________________ </w:t>
      </w:r>
    </w:p>
    <w:p>
      <w:pPr>
        <w:keepNext w:val="0"/>
        <w:keepLines w:val="0"/>
        <w:pageBreakBefore w:val="0"/>
        <w:widowControl/>
        <w:numPr>
          <w:ilvl w:val="0"/>
          <w:numId w:val="0"/>
        </w:numPr>
        <w:spacing w:before="0" w:after="0" w:line="288" w:lineRule="auto"/>
        <w:ind w:left="0" w:right="0" w:firstLine="0"/>
        <w:jc w:val="both"/>
        <w:outlineLvl w:val="9"/>
        <w:rPr>
          <w:rFonts w:ascii="Times New Roman" w:eastAsia="Times New Roman" w:hAnsi="Times New Roman" w:cs="Times New Roman"/>
          <w:b w:val="0"/>
          <w:i w:val="0"/>
          <w:sz w:val="20"/>
        </w:rPr>
      </w:pPr>
      <w:r>
        <w:rPr>
          <w:rFonts w:ascii="Times New Roman" w:eastAsia="Times New Roman" w:hAnsi="Times New Roman" w:cs="Times New Roman"/>
          <w:b w:val="0"/>
          <w:i w:val="0"/>
          <w:sz w:val="20"/>
        </w:rPr>
        <w:t>                            </w:t>
      </w:r>
    </w:p>
    <w:tbl>
      <w:tblPr>
        <w:tblW w:w="108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65"/>
        <w:gridCol w:w="195"/>
        <w:gridCol w:w="2820"/>
        <w:gridCol w:w="7320"/>
      </w:tblGrid>
      <w:tr>
        <w:tblPrEx>
          <w:tblW w:w="108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85"/>
        </w:trPr>
        <w:tc>
          <w:tcPr>
            <w:tcW w:w="4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15" w:type="dxa"/>
            <w:gridSpan w:val="2"/>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88" w:lineRule="auto"/>
              <w:ind w:left="0" w:right="0" w:firstLine="0"/>
              <w:jc w:val="left"/>
              <w:outlineLvl w:val="9"/>
              <w:rPr>
                <w:rFonts w:ascii="Arial" w:eastAsia="Arial" w:hAnsi="Arial" w:cs="Arial"/>
                <w:b w:val="0"/>
                <w:i w:val="0"/>
                <w:sz w:val="20"/>
              </w:rPr>
            </w:pPr>
            <w:r>
              <w:rPr>
                <w:rFonts w:ascii="Arial" w:eastAsia="Arial" w:hAnsi="Arial" w:cs="Arial"/>
                <w:b w:val="0"/>
                <w:i w:val="0"/>
                <w:sz w:val="20"/>
              </w:rPr>
              <w:t>Filed by the Registrant  </w:t>
            </w:r>
            <w:r>
              <w:rPr>
                <w:rFonts w:ascii="Wingdings" w:eastAsia="Wingdings" w:hAnsi="Wingdings" w:cs="Wingdings"/>
                <w:b w:val="0"/>
                <w:i w:val="0"/>
                <w:sz w:val="20"/>
              </w:rPr>
              <w:t>x</w:t>
            </w:r>
          </w:p>
        </w:tc>
        <w:tc>
          <w:tcPr>
            <w:tcW w:w="732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88" w:lineRule="auto"/>
              <w:ind w:left="0" w:right="0" w:firstLine="0"/>
              <w:jc w:val="left"/>
              <w:outlineLvl w:val="9"/>
              <w:rPr>
                <w:rFonts w:ascii="Arial" w:eastAsia="Arial" w:hAnsi="Arial" w:cs="Arial"/>
                <w:b w:val="0"/>
                <w:i w:val="0"/>
                <w:sz w:val="20"/>
              </w:rPr>
            </w:pPr>
            <w:r>
              <w:rPr>
                <w:rFonts w:ascii="Arial" w:eastAsia="Arial" w:hAnsi="Arial" w:cs="Arial"/>
                <w:b w:val="0"/>
                <w:i w:val="0"/>
                <w:sz w:val="20"/>
              </w:rPr>
              <w:t>Filed by a Party other than the Registrant  </w:t>
            </w:r>
            <w:r>
              <w:rPr>
                <w:rFonts w:ascii="Wingdings" w:eastAsia="Wingdings" w:hAnsi="Wingdings" w:cs="Wingdings"/>
                <w:b w:val="0"/>
                <w:i w:val="0"/>
                <w:sz w:val="20"/>
              </w:rPr>
              <w:t>o</w:t>
            </w:r>
          </w:p>
        </w:tc>
      </w:tr>
      <w:tr>
        <w:tblPrEx>
          <w:tblW w:w="10800" w:type="dxa"/>
          <w:tblInd w:w="0" w:type="dxa"/>
          <w:tblLayout w:type="fixed"/>
          <w:tblCellMar>
            <w:left w:w="108" w:type="dxa"/>
            <w:right w:w="108" w:type="dxa"/>
          </w:tblCellMar>
        </w:tblPrEx>
        <w:trPr>
          <w:cantSplit/>
          <w:trHeight w:hRule="exact" w:val="285"/>
        </w:trPr>
        <w:tc>
          <w:tcPr>
            <w:tcW w:w="4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15" w:type="dxa"/>
            <w:gridSpan w:val="2"/>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88" w:lineRule="auto"/>
              <w:ind w:left="0" w:right="0" w:firstLine="0"/>
              <w:jc w:val="left"/>
              <w:outlineLvl w:val="9"/>
              <w:rPr>
                <w:rFonts w:ascii="Arial" w:eastAsia="Arial" w:hAnsi="Arial" w:cs="Arial"/>
                <w:b w:val="0"/>
                <w:i w:val="0"/>
                <w:sz w:val="20"/>
              </w:rPr>
            </w:pPr>
            <w:r>
              <w:rPr>
                <w:rFonts w:ascii="Arial" w:eastAsia="Arial" w:hAnsi="Arial" w:cs="Arial"/>
                <w:b w:val="0"/>
                <w:i w:val="0"/>
                <w:sz w:val="20"/>
              </w:rPr>
              <w:t>Check the appropriate box:</w:t>
            </w:r>
          </w:p>
        </w:tc>
        <w:tc>
          <w:tcPr>
            <w:tcW w:w="73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800" w:type="dxa"/>
          <w:tblInd w:w="0" w:type="dxa"/>
          <w:tblLayout w:type="fixed"/>
          <w:tblCellMar>
            <w:left w:w="108" w:type="dxa"/>
            <w:right w:w="108" w:type="dxa"/>
          </w:tblCellMar>
        </w:tblPrEx>
        <w:trPr>
          <w:cantSplit/>
          <w:trHeight w:hRule="exact" w:val="75"/>
        </w:trPr>
        <w:tc>
          <w:tcPr>
            <w:tcW w:w="4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8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800" w:type="dxa"/>
          <w:tblInd w:w="0" w:type="dxa"/>
          <w:tblLayout w:type="fixed"/>
          <w:tblCellMar>
            <w:left w:w="108" w:type="dxa"/>
            <w:right w:w="108" w:type="dxa"/>
          </w:tblCellMar>
        </w:tblPrEx>
        <w:trPr>
          <w:cantSplit/>
          <w:trHeight w:hRule="exact" w:val="285"/>
        </w:trPr>
        <w:tc>
          <w:tcPr>
            <w:tcW w:w="46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88" w:lineRule="auto"/>
              <w:ind w:left="0" w:right="0" w:firstLine="0"/>
              <w:jc w:val="center"/>
              <w:outlineLvl w:val="9"/>
              <w:rPr>
                <w:rFonts w:ascii="Wingdings" w:eastAsia="Wingdings" w:hAnsi="Wingdings" w:cs="Wingdings"/>
                <w:b w:val="0"/>
                <w:i w:val="0"/>
                <w:sz w:val="20"/>
              </w:rPr>
            </w:pPr>
            <w:r>
              <w:rPr>
                <w:rFonts w:ascii="Wingdings" w:eastAsia="Wingdings" w:hAnsi="Wingdings" w:cs="Wingdings"/>
                <w:b w:val="0"/>
                <w:i w:val="0"/>
                <w:sz w:val="20"/>
              </w:rPr>
              <w:t>o</w:t>
            </w: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140" w:type="dxa"/>
            <w:gridSpan w:val="2"/>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88" w:lineRule="auto"/>
              <w:ind w:left="0" w:right="0" w:firstLine="0"/>
              <w:jc w:val="left"/>
              <w:outlineLvl w:val="9"/>
              <w:rPr>
                <w:rFonts w:ascii="Arial" w:eastAsia="Arial" w:hAnsi="Arial" w:cs="Arial"/>
                <w:b w:val="0"/>
                <w:i w:val="0"/>
                <w:sz w:val="20"/>
              </w:rPr>
            </w:pPr>
            <w:r>
              <w:rPr>
                <w:rFonts w:ascii="Arial" w:eastAsia="Arial" w:hAnsi="Arial" w:cs="Arial"/>
                <w:b w:val="0"/>
                <w:i w:val="0"/>
                <w:sz w:val="20"/>
              </w:rPr>
              <w:t>Preliminary Proxy Statement</w:t>
            </w:r>
          </w:p>
        </w:tc>
      </w:tr>
      <w:tr>
        <w:tblPrEx>
          <w:tblW w:w="10800" w:type="dxa"/>
          <w:tblInd w:w="0" w:type="dxa"/>
          <w:tblLayout w:type="fixed"/>
          <w:tblCellMar>
            <w:left w:w="108" w:type="dxa"/>
            <w:right w:w="108" w:type="dxa"/>
          </w:tblCellMar>
        </w:tblPrEx>
        <w:trPr>
          <w:cantSplit/>
          <w:trHeight w:hRule="exact" w:val="75"/>
        </w:trPr>
        <w:tc>
          <w:tcPr>
            <w:tcW w:w="4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15" w:type="dxa"/>
            <w:gridSpan w:val="2"/>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800" w:type="dxa"/>
          <w:tblInd w:w="0" w:type="dxa"/>
          <w:tblLayout w:type="fixed"/>
          <w:tblCellMar>
            <w:left w:w="108" w:type="dxa"/>
            <w:right w:w="108" w:type="dxa"/>
          </w:tblCellMar>
        </w:tblPrEx>
        <w:trPr>
          <w:cantSplit/>
          <w:trHeight w:hRule="exact" w:val="285"/>
        </w:trPr>
        <w:tc>
          <w:tcPr>
            <w:tcW w:w="46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88" w:lineRule="auto"/>
              <w:ind w:left="0" w:right="0" w:firstLine="0"/>
              <w:jc w:val="center"/>
              <w:outlineLvl w:val="9"/>
              <w:rPr>
                <w:rFonts w:ascii="Wingdings" w:eastAsia="Wingdings" w:hAnsi="Wingdings" w:cs="Wingdings"/>
                <w:b w:val="0"/>
                <w:i w:val="0"/>
                <w:sz w:val="20"/>
              </w:rPr>
            </w:pPr>
            <w:r>
              <w:rPr>
                <w:rFonts w:ascii="Wingdings" w:eastAsia="Wingdings" w:hAnsi="Wingdings" w:cs="Wingdings"/>
                <w:b w:val="0"/>
                <w:i w:val="0"/>
                <w:sz w:val="20"/>
              </w:rPr>
              <w:t>o</w:t>
            </w: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140" w:type="dxa"/>
            <w:gridSpan w:val="2"/>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88" w:lineRule="auto"/>
              <w:ind w:left="0" w:right="0" w:firstLine="0"/>
              <w:jc w:val="left"/>
              <w:outlineLvl w:val="9"/>
              <w:rPr>
                <w:rFonts w:ascii="Arial" w:eastAsia="Arial" w:hAnsi="Arial" w:cs="Arial"/>
                <w:b/>
                <w:i w:val="0"/>
                <w:sz w:val="20"/>
              </w:rPr>
            </w:pPr>
            <w:r>
              <w:rPr>
                <w:rFonts w:ascii="Arial" w:eastAsia="Arial" w:hAnsi="Arial" w:cs="Arial"/>
                <w:b/>
                <w:i w:val="0"/>
                <w:sz w:val="20"/>
              </w:rPr>
              <w:t>Confidential, for Use of the Commission Only (as permitted by Rule 14a-6(e)(2))</w:t>
            </w:r>
          </w:p>
        </w:tc>
      </w:tr>
      <w:tr>
        <w:tblPrEx>
          <w:tblW w:w="10800" w:type="dxa"/>
          <w:tblInd w:w="0" w:type="dxa"/>
          <w:tblLayout w:type="fixed"/>
          <w:tblCellMar>
            <w:left w:w="108" w:type="dxa"/>
            <w:right w:w="108" w:type="dxa"/>
          </w:tblCellMar>
        </w:tblPrEx>
        <w:trPr>
          <w:cantSplit/>
          <w:trHeight w:hRule="exact" w:val="75"/>
        </w:trPr>
        <w:tc>
          <w:tcPr>
            <w:tcW w:w="4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15" w:type="dxa"/>
            <w:gridSpan w:val="2"/>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800" w:type="dxa"/>
          <w:tblInd w:w="0" w:type="dxa"/>
          <w:tblLayout w:type="fixed"/>
          <w:tblCellMar>
            <w:left w:w="108" w:type="dxa"/>
            <w:right w:w="108" w:type="dxa"/>
          </w:tblCellMar>
        </w:tblPrEx>
        <w:trPr>
          <w:cantSplit/>
          <w:trHeight w:hRule="exact" w:val="285"/>
        </w:trPr>
        <w:tc>
          <w:tcPr>
            <w:tcW w:w="46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88" w:lineRule="auto"/>
              <w:ind w:left="0" w:right="0" w:firstLine="0"/>
              <w:jc w:val="center"/>
              <w:outlineLvl w:val="9"/>
              <w:rPr>
                <w:rFonts w:ascii="Wingdings" w:eastAsia="Wingdings" w:hAnsi="Wingdings" w:cs="Wingdings"/>
                <w:b w:val="0"/>
                <w:i w:val="0"/>
                <w:sz w:val="20"/>
              </w:rPr>
            </w:pPr>
            <w:r>
              <w:rPr>
                <w:rFonts w:ascii="Wingdings" w:eastAsia="Wingdings" w:hAnsi="Wingdings" w:cs="Wingdings"/>
                <w:b w:val="0"/>
                <w:i w:val="0"/>
                <w:sz w:val="20"/>
              </w:rPr>
              <w:t>x</w:t>
            </w: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140" w:type="dxa"/>
            <w:gridSpan w:val="2"/>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88" w:lineRule="auto"/>
              <w:ind w:left="0" w:right="0" w:firstLine="0"/>
              <w:jc w:val="left"/>
              <w:outlineLvl w:val="9"/>
              <w:rPr>
                <w:rFonts w:ascii="Arial" w:eastAsia="Arial" w:hAnsi="Arial" w:cs="Arial"/>
                <w:b w:val="0"/>
                <w:i w:val="0"/>
                <w:sz w:val="20"/>
              </w:rPr>
            </w:pPr>
            <w:r>
              <w:rPr>
                <w:rFonts w:ascii="Arial" w:eastAsia="Arial" w:hAnsi="Arial" w:cs="Arial"/>
                <w:b w:val="0"/>
                <w:i w:val="0"/>
                <w:sz w:val="20"/>
              </w:rPr>
              <w:t>Definitive Proxy Statement</w:t>
            </w:r>
          </w:p>
        </w:tc>
      </w:tr>
      <w:tr>
        <w:tblPrEx>
          <w:tblW w:w="10800" w:type="dxa"/>
          <w:tblInd w:w="0" w:type="dxa"/>
          <w:tblLayout w:type="fixed"/>
          <w:tblCellMar>
            <w:left w:w="108" w:type="dxa"/>
            <w:right w:w="108" w:type="dxa"/>
          </w:tblCellMar>
        </w:tblPrEx>
        <w:trPr>
          <w:cantSplit/>
          <w:trHeight w:hRule="exact" w:val="75"/>
        </w:trPr>
        <w:tc>
          <w:tcPr>
            <w:tcW w:w="4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15" w:type="dxa"/>
            <w:gridSpan w:val="2"/>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800" w:type="dxa"/>
          <w:tblInd w:w="0" w:type="dxa"/>
          <w:tblLayout w:type="fixed"/>
          <w:tblCellMar>
            <w:left w:w="108" w:type="dxa"/>
            <w:right w:w="108" w:type="dxa"/>
          </w:tblCellMar>
        </w:tblPrEx>
        <w:trPr>
          <w:cantSplit/>
          <w:trHeight w:hRule="exact" w:val="285"/>
        </w:trPr>
        <w:tc>
          <w:tcPr>
            <w:tcW w:w="46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88" w:lineRule="auto"/>
              <w:ind w:left="0" w:right="0" w:firstLine="0"/>
              <w:jc w:val="center"/>
              <w:outlineLvl w:val="9"/>
              <w:rPr>
                <w:rFonts w:ascii="Wingdings" w:eastAsia="Wingdings" w:hAnsi="Wingdings" w:cs="Wingdings"/>
                <w:b w:val="0"/>
                <w:i w:val="0"/>
                <w:sz w:val="20"/>
              </w:rPr>
            </w:pPr>
            <w:r>
              <w:rPr>
                <w:rFonts w:ascii="Wingdings" w:eastAsia="Wingdings" w:hAnsi="Wingdings" w:cs="Wingdings"/>
                <w:b w:val="0"/>
                <w:i w:val="0"/>
                <w:sz w:val="20"/>
              </w:rPr>
              <w:t>o</w:t>
            </w: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140" w:type="dxa"/>
            <w:gridSpan w:val="2"/>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88" w:lineRule="auto"/>
              <w:ind w:left="0" w:right="0" w:firstLine="0"/>
              <w:jc w:val="left"/>
              <w:outlineLvl w:val="9"/>
              <w:rPr>
                <w:rFonts w:ascii="Arial" w:eastAsia="Arial" w:hAnsi="Arial" w:cs="Arial"/>
                <w:b w:val="0"/>
                <w:i w:val="0"/>
                <w:sz w:val="20"/>
              </w:rPr>
            </w:pPr>
            <w:r>
              <w:rPr>
                <w:rFonts w:ascii="Arial" w:eastAsia="Arial" w:hAnsi="Arial" w:cs="Arial"/>
                <w:b w:val="0"/>
                <w:i w:val="0"/>
                <w:sz w:val="20"/>
              </w:rPr>
              <w:t>Definitive Additional Materials</w:t>
            </w:r>
          </w:p>
        </w:tc>
      </w:tr>
      <w:tr>
        <w:tblPrEx>
          <w:tblW w:w="10800" w:type="dxa"/>
          <w:tblInd w:w="0" w:type="dxa"/>
          <w:tblLayout w:type="fixed"/>
          <w:tblCellMar>
            <w:left w:w="108" w:type="dxa"/>
            <w:right w:w="108" w:type="dxa"/>
          </w:tblCellMar>
        </w:tblPrEx>
        <w:trPr>
          <w:cantSplit/>
          <w:trHeight w:hRule="exact" w:val="75"/>
        </w:trPr>
        <w:tc>
          <w:tcPr>
            <w:tcW w:w="4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15" w:type="dxa"/>
            <w:gridSpan w:val="2"/>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800" w:type="dxa"/>
          <w:tblInd w:w="0" w:type="dxa"/>
          <w:tblLayout w:type="fixed"/>
          <w:tblCellMar>
            <w:left w:w="108" w:type="dxa"/>
            <w:right w:w="108" w:type="dxa"/>
          </w:tblCellMar>
        </w:tblPrEx>
        <w:trPr>
          <w:cantSplit/>
          <w:trHeight w:hRule="exact" w:val="285"/>
        </w:trPr>
        <w:tc>
          <w:tcPr>
            <w:tcW w:w="46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88" w:lineRule="auto"/>
              <w:ind w:left="0" w:right="0" w:firstLine="0"/>
              <w:jc w:val="center"/>
              <w:outlineLvl w:val="9"/>
              <w:rPr>
                <w:rFonts w:ascii="Wingdings" w:eastAsia="Wingdings" w:hAnsi="Wingdings" w:cs="Wingdings"/>
                <w:b w:val="0"/>
                <w:i w:val="0"/>
                <w:sz w:val="20"/>
              </w:rPr>
            </w:pPr>
            <w:r>
              <w:rPr>
                <w:rFonts w:ascii="Wingdings" w:eastAsia="Wingdings" w:hAnsi="Wingdings" w:cs="Wingdings"/>
                <w:b w:val="0"/>
                <w:i w:val="0"/>
                <w:sz w:val="20"/>
              </w:rPr>
              <w:t>o</w:t>
            </w:r>
          </w:p>
        </w:tc>
        <w:tc>
          <w:tcPr>
            <w:tcW w:w="1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0140" w:type="dxa"/>
            <w:gridSpan w:val="2"/>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r>
              <w:rPr>
                <w:rFonts w:ascii="Arial" w:eastAsia="Arial" w:hAnsi="Arial" w:cs="Arial"/>
                <w:b w:val="0"/>
                <w:i w:val="0"/>
                <w:color w:val="000000"/>
                <w:sz w:val="20"/>
                <w:u w:val="none"/>
              </w:rPr>
              <w:t>Soliciting Material Pursuant to §240.14a-12</w:t>
            </w:r>
          </w:p>
        </w:tc>
      </w:tr>
    </w:tbl>
    <w:p>
      <w:pPr>
        <w:keepNext w:val="0"/>
        <w:keepLines w:val="0"/>
        <w:pageBreakBefore w:val="0"/>
        <w:widowControl/>
        <w:numPr>
          <w:ilvl w:val="0"/>
          <w:numId w:val="0"/>
        </w:numPr>
        <w:spacing w:before="0" w:after="0" w:line="288" w:lineRule="auto"/>
        <w:ind w:left="0" w:right="0" w:firstLine="0"/>
        <w:jc w:val="both"/>
        <w:outlineLvl w:val="9"/>
        <w:rPr>
          <w:rFonts w:ascii="Times New Roman" w:eastAsia="Times New Roman" w:hAnsi="Times New Roman" w:cs="Times New Roman"/>
          <w:b w:val="0"/>
          <w:i w:val="0"/>
          <w:sz w:val="20"/>
        </w:rPr>
      </w:pPr>
    </w:p>
    <w:p>
      <w:pPr>
        <w:keepNext w:val="0"/>
        <w:keepLines w:val="0"/>
        <w:pageBreakBefore w:val="0"/>
        <w:widowControl/>
        <w:numPr>
          <w:ilvl w:val="0"/>
          <w:numId w:val="0"/>
        </w:numPr>
        <w:spacing w:before="0" w:after="60" w:line="288" w:lineRule="auto"/>
        <w:ind w:left="0" w:right="0" w:firstLine="0"/>
        <w:jc w:val="center"/>
        <w:outlineLvl w:val="9"/>
        <w:rPr>
          <w:rFonts w:ascii="Arial" w:eastAsia="Arial" w:hAnsi="Arial" w:cs="Arial"/>
          <w:b/>
          <w:i w:val="0"/>
          <w:sz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39.75pt">
            <v:imagedata r:id="rId4" o:title=""/>
            <o:lock v:ext="edit" aspectratio="t"/>
          </v:shape>
        </w:pict>
      </w:r>
    </w:p>
    <w:p>
      <w:pPr>
        <w:keepNext w:val="0"/>
        <w:keepLines w:val="0"/>
        <w:pageBreakBefore w:val="0"/>
        <w:widowControl/>
        <w:numPr>
          <w:ilvl w:val="0"/>
          <w:numId w:val="0"/>
        </w:numPr>
        <w:spacing w:before="0" w:after="60" w:line="288" w:lineRule="auto"/>
        <w:ind w:left="0" w:right="0" w:firstLine="0"/>
        <w:jc w:val="center"/>
        <w:outlineLvl w:val="9"/>
        <w:rPr>
          <w:rFonts w:ascii="Arial" w:eastAsia="Arial" w:hAnsi="Arial" w:cs="Arial"/>
          <w:b/>
          <w:i w:val="0"/>
          <w:sz w:val="24"/>
        </w:rPr>
      </w:pPr>
      <w:r>
        <w:rPr>
          <w:rFonts w:ascii="Arial" w:eastAsia="Arial" w:hAnsi="Arial" w:cs="Arial"/>
          <w:b/>
          <w:i w:val="0"/>
          <w:sz w:val="24"/>
        </w:rPr>
        <w:t>ENSTAR GROUP LIMITED</w:t>
      </w:r>
    </w:p>
    <w:p>
      <w:pPr>
        <w:keepNext w:val="0"/>
        <w:keepLines w:val="0"/>
        <w:pageBreakBefore w:val="0"/>
        <w:widowControl/>
        <w:numPr>
          <w:ilvl w:val="0"/>
          <w:numId w:val="0"/>
        </w:numPr>
        <w:spacing w:before="0" w:after="60" w:line="288" w:lineRule="auto"/>
        <w:ind w:left="0" w:right="0" w:firstLine="0"/>
        <w:jc w:val="center"/>
        <w:outlineLvl w:val="9"/>
        <w:rPr>
          <w:rFonts w:ascii="Arial" w:eastAsia="Arial" w:hAnsi="Arial" w:cs="Arial"/>
          <w:b/>
          <w:i w:val="0"/>
          <w:sz w:val="24"/>
        </w:rPr>
      </w:pPr>
      <w:r>
        <w:rPr>
          <w:rFonts w:ascii="Arial" w:eastAsia="Arial" w:hAnsi="Arial" w:cs="Arial"/>
          <w:b/>
          <w:i w:val="0"/>
          <w:sz w:val="24"/>
        </w:rPr>
        <w:t>(Name of Registrant as Specified In Its Charter)</w:t>
      </w:r>
    </w:p>
    <w:p>
      <w:pPr>
        <w:keepNext w:val="0"/>
        <w:keepLines w:val="0"/>
        <w:pageBreakBefore w:val="0"/>
        <w:widowControl/>
        <w:numPr>
          <w:ilvl w:val="0"/>
          <w:numId w:val="0"/>
        </w:numPr>
        <w:spacing w:before="0" w:after="100" w:line="288" w:lineRule="auto"/>
        <w:ind w:left="0" w:right="0" w:firstLine="0"/>
        <w:jc w:val="center"/>
        <w:outlineLvl w:val="9"/>
        <w:rPr>
          <w:rFonts w:ascii="Arial" w:eastAsia="Arial" w:hAnsi="Arial" w:cs="Arial"/>
          <w:b/>
          <w:i w:val="0"/>
          <w:sz w:val="24"/>
        </w:rPr>
      </w:pPr>
      <w:r>
        <w:rPr>
          <w:rFonts w:ascii="Arial" w:eastAsia="Arial" w:hAnsi="Arial" w:cs="Arial"/>
          <w:b/>
          <w:i w:val="0"/>
          <w:sz w:val="24"/>
        </w:rPr>
        <w:t>(Name of Person(s) Filing Proxy Statement, if other than the Registrant)</w:t>
      </w:r>
    </w:p>
    <w:tbl>
      <w:tblPr>
        <w:tblW w:w="108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65"/>
        <w:gridCol w:w="300"/>
        <w:gridCol w:w="480"/>
        <w:gridCol w:w="75"/>
        <w:gridCol w:w="9480"/>
      </w:tblGrid>
      <w:tr>
        <w:tblPrEx>
          <w:tblW w:w="108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00"/>
        </w:trPr>
        <w:tc>
          <w:tcPr>
            <w:tcW w:w="4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335" w:type="dxa"/>
            <w:gridSpan w:val="4"/>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val="0"/>
                <w:i w:val="0"/>
                <w:color w:val="000000"/>
                <w:sz w:val="20"/>
                <w:u w:val="none"/>
              </w:rPr>
              <w:t>Payment of Filing Fee (Check all boxes that apply):</w:t>
            </w:r>
          </w:p>
        </w:tc>
      </w:tr>
      <w:tr>
        <w:tblPrEx>
          <w:tblW w:w="10800" w:type="dxa"/>
          <w:tblInd w:w="0" w:type="dxa"/>
          <w:tblLayout w:type="fixed"/>
          <w:tblCellMar>
            <w:left w:w="108" w:type="dxa"/>
            <w:right w:w="108" w:type="dxa"/>
          </w:tblCellMar>
        </w:tblPrEx>
        <w:trPr>
          <w:cantSplit/>
          <w:trHeight w:hRule="exact" w:val="300"/>
        </w:trPr>
        <w:tc>
          <w:tcPr>
            <w:tcW w:w="46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center"/>
              <w:outlineLvl w:val="9"/>
              <w:rPr>
                <w:rFonts w:ascii="Wingdings" w:eastAsia="Wingdings" w:hAnsi="Wingdings" w:cs="Wingdings"/>
                <w:b w:val="0"/>
                <w:i w:val="0"/>
                <w:sz w:val="20"/>
              </w:rPr>
            </w:pPr>
            <w:r>
              <w:rPr>
                <w:rFonts w:ascii="Wingdings" w:eastAsia="Wingdings" w:hAnsi="Wingdings" w:cs="Wingdings"/>
                <w:b w:val="0"/>
                <w:i w:val="0"/>
                <w:sz w:val="20"/>
              </w:rPr>
              <w:t>x</w:t>
            </w: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35" w:type="dxa"/>
            <w:gridSpan w:val="3"/>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rPr>
                <w:rFonts w:ascii="Arial" w:eastAsia="Arial" w:hAnsi="Arial" w:cs="Arial"/>
                <w:b w:val="0"/>
                <w:i w:val="0"/>
                <w:sz w:val="20"/>
              </w:rPr>
              <w:t>No fee required.</w:t>
            </w:r>
          </w:p>
        </w:tc>
      </w:tr>
      <w:tr>
        <w:tblPrEx>
          <w:tblW w:w="10800" w:type="dxa"/>
          <w:tblInd w:w="0" w:type="dxa"/>
          <w:tblLayout w:type="fixed"/>
          <w:tblCellMar>
            <w:left w:w="108" w:type="dxa"/>
            <w:right w:w="108" w:type="dxa"/>
          </w:tblCellMar>
        </w:tblPrEx>
        <w:trPr>
          <w:cantSplit/>
          <w:trHeight w:hRule="exact" w:val="105"/>
        </w:trPr>
        <w:tc>
          <w:tcPr>
            <w:tcW w:w="4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4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800" w:type="dxa"/>
          <w:tblInd w:w="0" w:type="dxa"/>
          <w:tblLayout w:type="fixed"/>
          <w:tblCellMar>
            <w:left w:w="108" w:type="dxa"/>
            <w:right w:w="108" w:type="dxa"/>
          </w:tblCellMar>
        </w:tblPrEx>
        <w:trPr>
          <w:cantSplit/>
          <w:trHeight w:hRule="exact" w:val="300"/>
        </w:trPr>
        <w:tc>
          <w:tcPr>
            <w:tcW w:w="46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sz w:val="20"/>
              </w:rPr>
            </w:pPr>
            <w:r>
              <w:rPr>
                <w:rFonts w:ascii="Wingdings" w:eastAsia="Wingdings" w:hAnsi="Wingdings" w:cs="Wingdings"/>
                <w:b w:val="0"/>
                <w:i w:val="0"/>
                <w:sz w:val="20"/>
              </w:rPr>
              <w:t>o</w:t>
            </w: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35" w:type="dxa"/>
            <w:gridSpan w:val="3"/>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rPr>
                <w:rFonts w:ascii="Arial" w:eastAsia="Arial" w:hAnsi="Arial" w:cs="Arial"/>
                <w:b w:val="0"/>
                <w:i w:val="0"/>
                <w:sz w:val="20"/>
              </w:rPr>
              <w:t>Fee paid previously with preliminary materials.</w:t>
            </w:r>
          </w:p>
        </w:tc>
      </w:tr>
      <w:tr>
        <w:tblPrEx>
          <w:tblW w:w="10800" w:type="dxa"/>
          <w:tblInd w:w="0" w:type="dxa"/>
          <w:tblLayout w:type="fixed"/>
          <w:tblCellMar>
            <w:left w:w="108" w:type="dxa"/>
            <w:right w:w="108" w:type="dxa"/>
          </w:tblCellMar>
        </w:tblPrEx>
        <w:trPr>
          <w:cantSplit/>
          <w:trHeight w:hRule="exact" w:val="105"/>
        </w:trPr>
        <w:tc>
          <w:tcPr>
            <w:tcW w:w="4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4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800" w:type="dxa"/>
          <w:tblInd w:w="0" w:type="dxa"/>
          <w:tblLayout w:type="fixed"/>
          <w:tblCellMar>
            <w:left w:w="108" w:type="dxa"/>
            <w:right w:w="108" w:type="dxa"/>
          </w:tblCellMar>
        </w:tblPrEx>
        <w:trPr>
          <w:cantSplit/>
          <w:trHeight w:hRule="exact" w:val="285"/>
        </w:trPr>
        <w:tc>
          <w:tcPr>
            <w:tcW w:w="46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center"/>
              <w:outlineLvl w:val="9"/>
              <w:rPr>
                <w:rFonts w:ascii="Wingdings" w:eastAsia="Wingdings" w:hAnsi="Wingdings" w:cs="Wingdings"/>
                <w:b w:val="0"/>
                <w:i w:val="0"/>
                <w:sz w:val="20"/>
              </w:rPr>
            </w:pPr>
            <w:r>
              <w:rPr>
                <w:rFonts w:ascii="Wingdings" w:eastAsia="Wingdings" w:hAnsi="Wingdings" w:cs="Wingdings"/>
                <w:b w:val="0"/>
                <w:i w:val="0"/>
                <w:sz w:val="20"/>
              </w:rPr>
              <w:t>o</w:t>
            </w: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035" w:type="dxa"/>
            <w:gridSpan w:val="3"/>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rPr>
                <w:rFonts w:ascii="Arial" w:eastAsia="Arial" w:hAnsi="Arial" w:cs="Arial"/>
                <w:b w:val="0"/>
                <w:i w:val="0"/>
                <w:sz w:val="20"/>
              </w:rPr>
              <w:t>Fee computed on table in exhibit required by Item 25(b) per Exchange Act Rules 14a-6(i)(1) and 0-11.</w:t>
            </w:r>
          </w:p>
        </w:tc>
      </w:tr>
      <w:tr>
        <w:tblPrEx>
          <w:tblW w:w="10800" w:type="dxa"/>
          <w:tblInd w:w="0" w:type="dxa"/>
          <w:tblLayout w:type="fixed"/>
          <w:tblCellMar>
            <w:left w:w="108" w:type="dxa"/>
            <w:right w:w="108" w:type="dxa"/>
          </w:tblCellMar>
        </w:tblPrEx>
        <w:trPr>
          <w:cantSplit/>
          <w:trHeight w:hRule="exact" w:val="105"/>
        </w:trPr>
        <w:tc>
          <w:tcPr>
            <w:tcW w:w="46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48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9480"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60" w:after="0" w:line="288" w:lineRule="auto"/>
        <w:ind w:left="0" w:right="0" w:firstLine="0"/>
        <w:jc w:val="center"/>
        <w:outlineLvl w:val="9"/>
        <w:rPr>
          <w:rFonts w:ascii="Times New Roman" w:eastAsia="Times New Roman" w:hAnsi="Times New Roman" w:cs="Times New Roman"/>
          <w:b w:val="0"/>
          <w:i w:val="0"/>
          <w:sz w:val="10"/>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800"/>
      </w:tblGrid>
      <w:tr>
        <w:tblPrEx>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75"/>
          <w:jc w:val="center"/>
        </w:trPr>
        <w:tc>
          <w:tcPr>
            <w:tcW w:w="10800" w:type="dxa"/>
            <w:tcBorders>
              <w:top w:val="single" w:sz="8" w:space="0" w:color="000000"/>
              <w:left w:val="nil"/>
              <w:bottom w:val="single" w:sz="8"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60" w:line="288" w:lineRule="auto"/>
        <w:ind w:left="0" w:right="0" w:firstLine="0"/>
        <w:jc w:val="center"/>
        <w:outlineLvl w:val="9"/>
        <w:rPr>
          <w:rFonts w:ascii="Times New Roman" w:eastAsia="Times New Roman" w:hAnsi="Times New Roman" w:cs="Times New Roman"/>
          <w:b w:val="0"/>
          <w:i w:val="0"/>
          <w:sz w:val="2"/>
        </w:rPr>
      </w:pPr>
    </w:p>
    <w:p>
      <w:pPr>
        <w:keepNext w:val="0"/>
        <w:keepLines w:val="0"/>
        <w:pageBreakBefore w:val="0"/>
        <w:widowControl/>
        <w:numPr>
          <w:ilvl w:val="0"/>
          <w:numId w:val="0"/>
        </w:numPr>
        <w:spacing w:before="0" w:after="60" w:line="288" w:lineRule="auto"/>
        <w:ind w:left="0" w:right="0" w:firstLine="0"/>
        <w:jc w:val="center"/>
        <w:outlineLvl w:val="9"/>
        <w:rPr>
          <w:rFonts w:ascii="Times New Roman" w:eastAsia="Times New Roman" w:hAnsi="Times New Roman" w:cs="Times New Roman"/>
          <w:b w:val="0"/>
          <w:i w:val="0"/>
          <w:sz w:val="2"/>
        </w:rPr>
        <w:sectPr>
          <w:headerReference w:type="default" r:id="rId5"/>
          <w:footerReference w:type="default" r:id="rId6"/>
          <w:type w:val="continuous"/>
          <w:pgSz w:w="12240" w:h="15840"/>
          <w:pgMar w:top="720" w:right="720" w:bottom="720" w:left="720" w:header="0" w:footer="0" w:gutter="0"/>
          <w:cols w:space="708"/>
          <w:docGrid w:linePitch="360"/>
        </w:sectPr>
      </w:pPr>
    </w:p>
    <w:p>
      <w:pPr>
        <w:keepNext w:val="0"/>
        <w:keepLines w:val="0"/>
        <w:pageBreakBefore w:val="0"/>
        <w:widowControl w:val="0"/>
        <w:numPr>
          <w:ilvl w:val="0"/>
          <w:numId w:val="0"/>
        </w:numPr>
        <w:spacing w:before="0" w:after="0" w:line="300" w:lineRule="auto"/>
        <w:ind w:left="0" w:right="0" w:firstLine="0"/>
        <w:jc w:val="center"/>
        <w:outlineLvl w:val="9"/>
        <w:rPr>
          <w:rFonts w:ascii="Arial" w:eastAsia="Arial" w:hAnsi="Arial" w:cs="Arial"/>
          <w:b w:val="0"/>
          <w:i w:val="0"/>
          <w:sz w:val="20"/>
        </w:rPr>
      </w:pPr>
      <w:bookmarkStart w:id="0" w:name="Section2"/>
      <w:bookmarkEnd w:id="0"/>
      <w:r>
        <w:pict>
          <v:shape id="_x0000_i1026" type="#_x0000_t75" style="width:612pt;height:11in">
            <v:imagedata r:id="rId7" o:title=""/>
            <o:lock v:ext="edit" aspectratio="t"/>
          </v:shape>
        </w:pict>
      </w:r>
    </w:p>
    <w:p>
      <w:pPr>
        <w:keepNext w:val="0"/>
        <w:keepLines w:val="0"/>
        <w:pageBreakBefore w:val="0"/>
        <w:widowControl w:val="0"/>
        <w:numPr>
          <w:ilvl w:val="0"/>
          <w:numId w:val="0"/>
        </w:numPr>
        <w:spacing w:before="0" w:after="0" w:line="300" w:lineRule="auto"/>
        <w:ind w:left="0" w:right="0" w:firstLine="0"/>
        <w:jc w:val="center"/>
        <w:outlineLvl w:val="9"/>
        <w:rPr>
          <w:rFonts w:ascii="Arial" w:eastAsia="Arial" w:hAnsi="Arial" w:cs="Arial"/>
          <w:b w:val="0"/>
          <w:i w:val="0"/>
          <w:sz w:val="20"/>
        </w:rPr>
        <w:sectPr>
          <w:pgSz w:w="12240" w:h="15840"/>
          <w:pgMar w:top="0" w:right="0" w:bottom="0" w:left="0" w:header="0" w:footer="0"/>
          <w:cols w:space="708"/>
        </w:sectPr>
      </w:pPr>
    </w:p>
    <w:tbl>
      <w:tblPr>
        <w:tblW w:w="10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7845"/>
        <w:gridCol w:w="2700"/>
      </w:tblGrid>
      <w:tr>
        <w:tblPrEx>
          <w:tblW w:w="10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305"/>
          <w:jc w:val="center"/>
        </w:trPr>
        <w:tc>
          <w:tcPr>
            <w:tcW w:w="7845" w:type="dxa"/>
            <w:tcBorders>
              <w:top w:val="nil"/>
              <w:left w:val="nil"/>
              <w:bottom w:val="nil"/>
              <w:right w:val="nil"/>
            </w:tcBorders>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i w:val="0"/>
                <w:color w:val="171449"/>
                <w:sz w:val="48"/>
                <w:u w:val="none"/>
              </w:rPr>
              <w:t>Message from our Chairman</w:t>
            </w:r>
          </w:p>
        </w:tc>
        <w:tc>
          <w:tcPr>
            <w:tcW w:w="2700"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20"/>
              </w:rPr>
            </w:pPr>
            <w:r>
              <w:pict>
                <v:shape id="_x0000_i1027" type="#_x0000_t75" style="width:108pt;height:115.94pt">
                  <v:imagedata r:id="rId8" o:title=""/>
                  <o:lock v:ext="edit" aspectratio="t"/>
                </v:shape>
              </w:pict>
            </w:r>
          </w:p>
        </w:tc>
      </w:tr>
      <w:tr>
        <w:tblPrEx>
          <w:tblW w:w="10545" w:type="dxa"/>
          <w:jc w:val="center"/>
          <w:tblLayout w:type="fixed"/>
          <w:tblCellMar>
            <w:left w:w="108" w:type="dxa"/>
            <w:right w:w="108" w:type="dxa"/>
          </w:tblCellMar>
        </w:tblPrEx>
        <w:trPr>
          <w:cantSplit/>
          <w:trHeight w:hRule="exact" w:val="315"/>
          <w:jc w:val="center"/>
        </w:trPr>
        <w:tc>
          <w:tcPr>
            <w:tcW w:w="78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24"/>
                <w:u w:val="none"/>
              </w:rPr>
              <w:t>To My Fellow Shareholders,</w:t>
            </w:r>
          </w:p>
        </w:tc>
        <w:tc>
          <w:tcPr>
            <w:tcW w:w="2700" w:type="dxa"/>
            <w:vMerge/>
            <w:tcBorders>
              <w:top w:val="nil"/>
              <w:left w:val="nil"/>
              <w:bottom w:val="nil"/>
              <w:right w:val="nil"/>
            </w:tcBorders>
          </w:tcPr>
          <w:p>
            <w:pPr>
              <w:keepNext/>
              <w:pageBreakBefore w:val="0"/>
            </w:pPr>
          </w:p>
        </w:tc>
      </w:tr>
      <w:tr>
        <w:tblPrEx>
          <w:tblW w:w="10545" w:type="dxa"/>
          <w:jc w:val="center"/>
          <w:tblLayout w:type="fixed"/>
          <w:tblCellMar>
            <w:left w:w="108" w:type="dxa"/>
            <w:right w:w="108" w:type="dxa"/>
          </w:tblCellMar>
        </w:tblPrEx>
        <w:trPr>
          <w:cantSplit/>
          <w:trHeight w:hRule="exact" w:val="120"/>
          <w:jc w:val="center"/>
        </w:trPr>
        <w:tc>
          <w:tcPr>
            <w:tcW w:w="78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700" w:type="dxa"/>
            <w:vMerge/>
            <w:tcBorders>
              <w:top w:val="nil"/>
              <w:left w:val="nil"/>
              <w:bottom w:val="nil"/>
              <w:right w:val="nil"/>
            </w:tcBorders>
          </w:tcPr>
          <w:p>
            <w:pPr>
              <w:keepNext/>
              <w:pageBreakBefore w:val="0"/>
            </w:pPr>
          </w:p>
        </w:tc>
      </w:tr>
      <w:tr>
        <w:tblPrEx>
          <w:tblW w:w="10545" w:type="dxa"/>
          <w:jc w:val="center"/>
          <w:tblLayout w:type="fixed"/>
          <w:tblCellMar>
            <w:left w:w="108" w:type="dxa"/>
            <w:right w:w="108" w:type="dxa"/>
          </w:tblCellMar>
        </w:tblPrEx>
        <w:trPr>
          <w:cantSplit/>
          <w:trHeight w:hRule="exact" w:val="555"/>
          <w:jc w:val="center"/>
        </w:trPr>
        <w:tc>
          <w:tcPr>
            <w:tcW w:w="78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300" w:lineRule="auto"/>
              <w:jc w:val="both"/>
            </w:pPr>
            <w:r>
              <w:rPr>
                <w:rFonts w:ascii="Arial" w:eastAsia="Arial" w:hAnsi="Arial" w:cs="Arial"/>
                <w:b w:val="0"/>
                <w:i w:val="0"/>
                <w:color w:val="000000"/>
                <w:sz w:val="20"/>
                <w:u w:val="none"/>
              </w:rPr>
              <w:t>On behalf of the Board of Directors and the Enstar team, thank you for your investment and the confidence you've shown in our Company.</w:t>
            </w:r>
          </w:p>
        </w:tc>
        <w:tc>
          <w:tcPr>
            <w:tcW w:w="2700" w:type="dxa"/>
            <w:vMerge/>
            <w:tcBorders>
              <w:top w:val="nil"/>
              <w:left w:val="nil"/>
              <w:bottom w:val="nil"/>
              <w:right w:val="nil"/>
            </w:tcBorders>
          </w:tcPr>
          <w:p>
            <w:pPr>
              <w:keepNext/>
              <w:pageBreakBefore w:val="0"/>
            </w:pPr>
          </w:p>
        </w:tc>
      </w:tr>
      <w:tr>
        <w:tblPrEx>
          <w:tblW w:w="10545" w:type="dxa"/>
          <w:jc w:val="center"/>
          <w:tblLayout w:type="fixed"/>
          <w:tblCellMar>
            <w:left w:w="108" w:type="dxa"/>
            <w:right w:w="108" w:type="dxa"/>
          </w:tblCellMar>
        </w:tblPrEx>
        <w:trPr>
          <w:cantSplit/>
          <w:trHeight w:hRule="exact" w:val="120"/>
          <w:jc w:val="center"/>
        </w:trPr>
        <w:tc>
          <w:tcPr>
            <w:tcW w:w="78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7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545" w:type="dxa"/>
          <w:jc w:val="center"/>
          <w:tblLayout w:type="fixed"/>
          <w:tblCellMar>
            <w:left w:w="108" w:type="dxa"/>
            <w:right w:w="108" w:type="dxa"/>
          </w:tblCellMar>
        </w:tblPrEx>
        <w:trPr>
          <w:cantSplit/>
          <w:trHeight w:hRule="exact" w:val="9765"/>
          <w:jc w:val="center"/>
        </w:trPr>
        <w:tc>
          <w:tcPr>
            <w:tcW w:w="10545" w:type="dxa"/>
            <w:gridSpan w:val="2"/>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In 2023, Enstar celebrated its 30</w:t>
            </w:r>
            <w:r>
              <w:rPr>
                <w:rFonts w:ascii="Arial" w:eastAsia="Arial" w:hAnsi="Arial" w:cs="Arial"/>
                <w:b w:val="0"/>
                <w:i w:val="0"/>
                <w:sz w:val="20"/>
              </w:rPr>
              <w:t>-year anniversary</w:t>
            </w:r>
            <w:r>
              <w:rPr>
                <w:rFonts w:ascii="Arial" w:eastAsia="Arial" w:hAnsi="Arial" w:cs="Arial"/>
                <w:b w:val="0"/>
                <w:i w:val="0"/>
                <w:sz w:val="20"/>
              </w:rPr>
              <w:t xml:space="preserve"> and </w:t>
            </w:r>
            <w:r>
              <w:rPr>
                <w:rFonts w:ascii="Arial" w:eastAsia="Arial" w:hAnsi="Arial" w:cs="Arial"/>
                <w:b w:val="0"/>
                <w:i w:val="0"/>
                <w:sz w:val="20"/>
              </w:rPr>
              <w:t>history of success</w:t>
            </w:r>
            <w:r>
              <w:rPr>
                <w:rFonts w:ascii="Arial" w:eastAsia="Arial" w:hAnsi="Arial" w:cs="Arial"/>
                <w:b w:val="0"/>
                <w:i w:val="0"/>
                <w:sz w:val="20"/>
              </w:rPr>
              <w:t xml:space="preserve">. </w:t>
            </w:r>
            <w:r>
              <w:rPr>
                <w:rFonts w:ascii="Arial" w:eastAsia="Arial" w:hAnsi="Arial" w:cs="Arial"/>
                <w:b w:val="0"/>
                <w:i w:val="0"/>
                <w:sz w:val="20"/>
              </w:rPr>
              <w:t xml:space="preserve">Our annual shareholder meeting is an opportunity to reflect on where we are today, and to look toward a future </w:t>
            </w:r>
            <w:r>
              <w:rPr>
                <w:rFonts w:ascii="Arial" w:eastAsia="Arial" w:hAnsi="Arial" w:cs="Arial"/>
                <w:b w:val="0"/>
                <w:i w:val="0"/>
                <w:sz w:val="20"/>
              </w:rPr>
              <w:t>of</w:t>
            </w:r>
            <w:r>
              <w:rPr>
                <w:rFonts w:ascii="Arial" w:eastAsia="Arial" w:hAnsi="Arial" w:cs="Arial"/>
                <w:b w:val="0"/>
                <w:i w:val="0"/>
                <w:sz w:val="20"/>
              </w:rPr>
              <w:t xml:space="preserve"> </w:t>
            </w:r>
            <w:r>
              <w:rPr>
                <w:rFonts w:ascii="Arial" w:eastAsia="Arial" w:hAnsi="Arial" w:cs="Arial"/>
                <w:b w:val="0"/>
                <w:i w:val="0"/>
                <w:sz w:val="20"/>
              </w:rPr>
              <w:t xml:space="preserve">innovation and </w:t>
            </w:r>
            <w:r>
              <w:rPr>
                <w:rFonts w:ascii="Arial" w:eastAsia="Arial" w:hAnsi="Arial" w:cs="Arial"/>
                <w:b w:val="0"/>
                <w:i w:val="0"/>
                <w:sz w:val="20"/>
              </w:rPr>
              <w:t>sustainable growth</w:t>
            </w:r>
            <w:r>
              <w:rPr>
                <w:rFonts w:ascii="Arial" w:eastAsia="Arial" w:hAnsi="Arial" w:cs="Arial"/>
                <w:b w:val="0"/>
                <w:i w:val="0"/>
                <w:sz w:val="20"/>
              </w:rPr>
              <w:t xml:space="preserve"> with </w:t>
            </w:r>
            <w:r>
              <w:rPr>
                <w:rFonts w:ascii="Arial" w:eastAsia="Arial" w:hAnsi="Arial" w:cs="Arial"/>
                <w:b w:val="0"/>
                <w:i w:val="0"/>
                <w:sz w:val="20"/>
              </w:rPr>
              <w:t xml:space="preserve">the </w:t>
            </w:r>
            <w:r>
              <w:rPr>
                <w:rFonts w:ascii="Arial" w:eastAsia="Arial" w:hAnsi="Arial" w:cs="Arial"/>
                <w:b w:val="0"/>
                <w:i w:val="0"/>
                <w:sz w:val="20"/>
              </w:rPr>
              <w:t xml:space="preserve">valued </w:t>
            </w:r>
            <w:r>
              <w:rPr>
                <w:rFonts w:ascii="Arial" w:eastAsia="Arial" w:hAnsi="Arial" w:cs="Arial"/>
                <w:b w:val="0"/>
                <w:i w:val="0"/>
                <w:sz w:val="20"/>
              </w:rPr>
              <w:t xml:space="preserve">input </w:t>
            </w:r>
            <w:r>
              <w:rPr>
                <w:rFonts w:ascii="Arial" w:eastAsia="Arial" w:hAnsi="Arial" w:cs="Arial"/>
                <w:b w:val="0"/>
                <w:i w:val="0"/>
                <w:sz w:val="20"/>
              </w:rPr>
              <w:t>of</w:t>
            </w:r>
            <w:r>
              <w:rPr>
                <w:rFonts w:ascii="Arial" w:eastAsia="Arial" w:hAnsi="Arial" w:cs="Arial"/>
                <w:b w:val="0"/>
                <w:i w:val="0"/>
                <w:sz w:val="20"/>
              </w:rPr>
              <w:t xml:space="preserve"> our shareholders</w:t>
            </w:r>
            <w:r>
              <w:rPr>
                <w:rFonts w:ascii="Arial" w:eastAsia="Arial" w:hAnsi="Arial" w:cs="Arial"/>
                <w:b w:val="0"/>
                <w:i w:val="0"/>
                <w:sz w:val="20"/>
              </w:rPr>
              <w:t>.</w:t>
            </w:r>
            <w:r>
              <w:rPr>
                <w:rFonts w:ascii="Arial" w:eastAsia="Arial" w:hAnsi="Arial" w:cs="Arial"/>
                <w:b w:val="0"/>
                <w:i w:val="0"/>
                <w:sz w:val="20"/>
              </w:rPr>
              <w:t xml:space="preserve"> We’ll hold this year’s meeting </w:t>
            </w:r>
            <w:r>
              <w:rPr>
                <w:rFonts w:ascii="Arial" w:eastAsia="Arial" w:hAnsi="Arial" w:cs="Arial"/>
                <w:b w:val="0"/>
                <w:i w:val="0"/>
                <w:sz w:val="20"/>
              </w:rPr>
              <w:t xml:space="preserve">virtually on </w:t>
            </w:r>
            <w:r>
              <w:rPr>
                <w:rFonts w:ascii="Arial" w:eastAsia="Arial" w:hAnsi="Arial" w:cs="Arial"/>
                <w:b w:val="0"/>
                <w:i w:val="0"/>
                <w:color w:val="000000"/>
                <w:sz w:val="20"/>
                <w:u w:val="none"/>
              </w:rPr>
              <w:t>Thursday, June 6, 2024</w:t>
            </w:r>
            <w:r>
              <w:rPr>
                <w:rFonts w:ascii="Arial" w:eastAsia="Arial" w:hAnsi="Arial" w:cs="Arial"/>
                <w:b w:val="0"/>
                <w:i w:val="0"/>
                <w:sz w:val="20"/>
              </w:rPr>
              <w:t xml:space="preserve"> at 9:00 a.m. Atlantic time</w:t>
            </w:r>
            <w:r>
              <w:rPr>
                <w:rFonts w:ascii="Arial" w:eastAsia="Arial" w:hAnsi="Arial" w:cs="Arial"/>
                <w:b w:val="0"/>
                <w:i w:val="0"/>
                <w:sz w:val="20"/>
              </w:rPr>
              <w:t xml:space="preserve">, and as always, </w:t>
            </w:r>
            <w:r>
              <w:rPr>
                <w:rFonts w:ascii="Arial" w:eastAsia="Arial" w:hAnsi="Arial" w:cs="Arial"/>
                <w:b w:val="0"/>
                <w:i w:val="0"/>
                <w:sz w:val="20"/>
              </w:rPr>
              <w:t>we</w:t>
            </w:r>
            <w:r>
              <w:rPr>
                <w:rFonts w:ascii="Arial" w:eastAsia="Arial" w:hAnsi="Arial" w:cs="Arial"/>
                <w:b w:val="0"/>
                <w:i w:val="0"/>
                <w:sz w:val="20"/>
              </w:rPr>
              <w:t xml:space="preserve"> hope you’ll join </w:t>
            </w:r>
            <w:r>
              <w:rPr>
                <w:rFonts w:ascii="Arial" w:eastAsia="Arial" w:hAnsi="Arial" w:cs="Arial"/>
                <w:b w:val="0"/>
                <w:i w:val="0"/>
                <w:sz w:val="20"/>
              </w:rPr>
              <w:t>us.</w:t>
            </w:r>
          </w:p>
          <w:p>
            <w:pPr>
              <w:pageBreakBefore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2023 was a</w:t>
            </w:r>
            <w:r>
              <w:rPr>
                <w:rFonts w:ascii="Arial" w:eastAsia="Arial" w:hAnsi="Arial" w:cs="Arial"/>
                <w:b w:val="0"/>
                <w:i w:val="0"/>
                <w:sz w:val="20"/>
              </w:rPr>
              <w:t>nother solid</w:t>
            </w:r>
            <w:r>
              <w:rPr>
                <w:rFonts w:ascii="Arial" w:eastAsia="Arial" w:hAnsi="Arial" w:cs="Arial"/>
                <w:b w:val="0"/>
                <w:i w:val="0"/>
                <w:sz w:val="20"/>
              </w:rPr>
              <w:t xml:space="preserve"> year in which </w:t>
            </w:r>
            <w:r>
              <w:rPr>
                <w:rFonts w:ascii="Arial" w:eastAsia="Arial" w:hAnsi="Arial" w:cs="Arial"/>
                <w:b w:val="0"/>
                <w:i w:val="0"/>
                <w:sz w:val="20"/>
              </w:rPr>
              <w:t>Enstar</w:t>
            </w:r>
            <w:r>
              <w:rPr>
                <w:rFonts w:ascii="Arial" w:eastAsia="Arial" w:hAnsi="Arial" w:cs="Arial"/>
                <w:b w:val="0"/>
                <w:i w:val="0"/>
                <w:sz w:val="20"/>
              </w:rPr>
              <w:t xml:space="preserve"> delivered strong growth, building shareholder value </w:t>
            </w:r>
            <w:r>
              <w:rPr>
                <w:rFonts w:ascii="Arial" w:eastAsia="Arial" w:hAnsi="Arial" w:cs="Arial"/>
                <w:b w:val="0"/>
                <w:i w:val="0"/>
                <w:sz w:val="20"/>
              </w:rPr>
              <w:t>while</w:t>
            </w:r>
            <w:r>
              <w:rPr>
                <w:rFonts w:ascii="Arial" w:eastAsia="Arial" w:hAnsi="Arial" w:cs="Arial"/>
                <w:b w:val="0"/>
                <w:i w:val="0"/>
                <w:sz w:val="20"/>
              </w:rPr>
              <w:t xml:space="preserve"> further strengthening our position as the leading provider of innovative legacy solutions. </w:t>
            </w:r>
            <w:r>
              <w:rPr>
                <w:rFonts w:ascii="Arial" w:eastAsia="Arial" w:hAnsi="Arial" w:cs="Arial"/>
                <w:b w:val="0"/>
                <w:i w:val="0"/>
                <w:sz w:val="20"/>
              </w:rPr>
              <w:t xml:space="preserve">We recorded full year net income of $1.1 billion attributable to ordinary shareholders, </w:t>
            </w:r>
            <w:r>
              <w:rPr>
                <w:rFonts w:ascii="Arial" w:eastAsia="Arial" w:hAnsi="Arial" w:cs="Arial"/>
                <w:b w:val="0"/>
                <w:i w:val="0"/>
                <w:sz w:val="20"/>
              </w:rPr>
              <w:t>delivered</w:t>
            </w:r>
            <w:r>
              <w:rPr>
                <w:rFonts w:ascii="Arial" w:eastAsia="Arial" w:hAnsi="Arial" w:cs="Arial"/>
                <w:b w:val="0"/>
                <w:i w:val="0"/>
                <w:sz w:val="20"/>
              </w:rPr>
              <w:t xml:space="preserve"> </w:t>
            </w:r>
            <w:r>
              <w:rPr>
                <w:rFonts w:ascii="Arial" w:eastAsia="Arial" w:hAnsi="Arial" w:cs="Arial"/>
                <w:b w:val="0"/>
                <w:i w:val="0"/>
                <w:sz w:val="20"/>
              </w:rPr>
              <w:t xml:space="preserve">a </w:t>
            </w:r>
            <w:r>
              <w:rPr>
                <w:rFonts w:ascii="Arial" w:eastAsia="Arial" w:hAnsi="Arial" w:cs="Arial"/>
                <w:b w:val="0"/>
                <w:i w:val="0"/>
                <w:sz w:val="20"/>
              </w:rPr>
              <w:t>r</w:t>
            </w:r>
            <w:r>
              <w:rPr>
                <w:rFonts w:ascii="Arial" w:eastAsia="Arial" w:hAnsi="Arial" w:cs="Arial"/>
                <w:b w:val="0"/>
                <w:i w:val="0"/>
                <w:sz w:val="20"/>
              </w:rPr>
              <w:t xml:space="preserve">eturn on </w:t>
            </w:r>
            <w:r>
              <w:rPr>
                <w:rFonts w:ascii="Arial" w:eastAsia="Arial" w:hAnsi="Arial" w:cs="Arial"/>
                <w:b w:val="0"/>
                <w:i w:val="0"/>
                <w:sz w:val="20"/>
              </w:rPr>
              <w:t>eq</w:t>
            </w:r>
            <w:r>
              <w:rPr>
                <w:rFonts w:ascii="Arial" w:eastAsia="Arial" w:hAnsi="Arial" w:cs="Arial"/>
                <w:b w:val="0"/>
                <w:i w:val="0"/>
                <w:sz w:val="20"/>
              </w:rPr>
              <w:t>uity of 24.2</w:t>
            </w:r>
            <w:r>
              <w:rPr>
                <w:rFonts w:ascii="Arial" w:eastAsia="Arial" w:hAnsi="Arial" w:cs="Arial"/>
                <w:b w:val="0"/>
                <w:i w:val="0"/>
                <w:sz w:val="20"/>
              </w:rPr>
              <w:t>%</w:t>
            </w:r>
            <w:r>
              <w:rPr>
                <w:rFonts w:ascii="Arial" w:eastAsia="Arial" w:hAnsi="Arial" w:cs="Arial"/>
                <w:b w:val="0"/>
                <w:i w:val="0"/>
                <w:sz w:val="20"/>
              </w:rPr>
              <w:t xml:space="preserve"> and </w:t>
            </w:r>
            <w:r>
              <w:rPr>
                <w:rFonts w:ascii="Arial" w:eastAsia="Arial" w:hAnsi="Arial" w:cs="Arial"/>
                <w:b w:val="0"/>
                <w:i w:val="0"/>
                <w:sz w:val="20"/>
              </w:rPr>
              <w:t>b</w:t>
            </w:r>
            <w:r>
              <w:rPr>
                <w:rFonts w:ascii="Arial" w:eastAsia="Arial" w:hAnsi="Arial" w:cs="Arial"/>
                <w:b w:val="0"/>
                <w:i w:val="0"/>
                <w:sz w:val="20"/>
              </w:rPr>
              <w:t xml:space="preserve">ook </w:t>
            </w:r>
            <w:r>
              <w:rPr>
                <w:rFonts w:ascii="Arial" w:eastAsia="Arial" w:hAnsi="Arial" w:cs="Arial"/>
                <w:b w:val="0"/>
                <w:i w:val="0"/>
                <w:sz w:val="20"/>
              </w:rPr>
              <w:t>v</w:t>
            </w:r>
            <w:r>
              <w:rPr>
                <w:rFonts w:ascii="Arial" w:eastAsia="Arial" w:hAnsi="Arial" w:cs="Arial"/>
                <w:b w:val="0"/>
                <w:i w:val="0"/>
                <w:sz w:val="20"/>
              </w:rPr>
              <w:t xml:space="preserve">alue </w:t>
            </w:r>
            <w:r>
              <w:rPr>
                <w:rFonts w:ascii="Arial" w:eastAsia="Arial" w:hAnsi="Arial" w:cs="Arial"/>
                <w:b w:val="0"/>
                <w:i w:val="0"/>
                <w:sz w:val="20"/>
              </w:rPr>
              <w:t>p</w:t>
            </w:r>
            <w:r>
              <w:rPr>
                <w:rFonts w:ascii="Arial" w:eastAsia="Arial" w:hAnsi="Arial" w:cs="Arial"/>
                <w:b w:val="0"/>
                <w:i w:val="0"/>
                <w:sz w:val="20"/>
              </w:rPr>
              <w:t xml:space="preserve">er </w:t>
            </w:r>
            <w:r>
              <w:rPr>
                <w:rFonts w:ascii="Arial" w:eastAsia="Arial" w:hAnsi="Arial" w:cs="Arial"/>
                <w:b w:val="0"/>
                <w:i w:val="0"/>
                <w:sz w:val="20"/>
              </w:rPr>
              <w:t>s</w:t>
            </w:r>
            <w:r>
              <w:rPr>
                <w:rFonts w:ascii="Arial" w:eastAsia="Arial" w:hAnsi="Arial" w:cs="Arial"/>
                <w:b w:val="0"/>
                <w:i w:val="0"/>
                <w:sz w:val="20"/>
              </w:rPr>
              <w:t>hare growth of 3</w:t>
            </w:r>
            <w:r>
              <w:rPr>
                <w:rFonts w:ascii="Arial" w:eastAsia="Arial" w:hAnsi="Arial" w:cs="Arial"/>
                <w:b w:val="0"/>
                <w:i w:val="0"/>
                <w:sz w:val="20"/>
              </w:rPr>
              <w:t>1</w:t>
            </w:r>
            <w:r>
              <w:rPr>
                <w:rFonts w:ascii="Arial" w:eastAsia="Arial" w:hAnsi="Arial" w:cs="Arial"/>
                <w:b w:val="0"/>
                <w:i w:val="0"/>
                <w:sz w:val="20"/>
              </w:rPr>
              <w:t xml:space="preserve">.0%. </w:t>
            </w:r>
          </w:p>
          <w:p>
            <w:pPr>
              <w:pageBreakBefore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Enstar continued its positive momentum as </w:t>
            </w:r>
            <w:r>
              <w:rPr>
                <w:rFonts w:ascii="Arial" w:eastAsia="Arial" w:hAnsi="Arial" w:cs="Arial"/>
                <w:b w:val="0"/>
                <w:i w:val="0"/>
                <w:sz w:val="20"/>
              </w:rPr>
              <w:t>a</w:t>
            </w:r>
            <w:r>
              <w:rPr>
                <w:rFonts w:ascii="Arial" w:eastAsia="Arial" w:hAnsi="Arial" w:cs="Arial"/>
                <w:b w:val="0"/>
                <w:i w:val="0"/>
                <w:sz w:val="20"/>
              </w:rPr>
              <w:t xml:space="preserve"> legacy partner of choice in 2023</w:t>
            </w:r>
            <w:r>
              <w:rPr>
                <w:rFonts w:ascii="Arial" w:eastAsia="Arial" w:hAnsi="Arial" w:cs="Arial"/>
                <w:b w:val="0"/>
                <w:i w:val="0"/>
                <w:sz w:val="20"/>
              </w:rPr>
              <w:t xml:space="preserve"> through the completion of </w:t>
            </w:r>
            <w:r>
              <w:rPr>
                <w:rFonts w:ascii="Arial" w:eastAsia="Arial" w:hAnsi="Arial" w:cs="Arial"/>
                <w:b w:val="0"/>
                <w:i w:val="0"/>
                <w:sz w:val="20"/>
              </w:rPr>
              <w:t xml:space="preserve">high-quality transactions that support our partners' strategic goals. These included </w:t>
            </w:r>
            <w:r>
              <w:rPr>
                <w:rFonts w:ascii="Arial" w:eastAsia="Arial" w:hAnsi="Arial" w:cs="Arial"/>
                <w:b w:val="0"/>
                <w:i w:val="0"/>
                <w:sz w:val="20"/>
              </w:rPr>
              <w:t>a $2 billion loss portfolio transfer with our longstanding partner and leading multinational insurer, QBE, and a bespoke transaction with American International Group (AIG) in November.</w:t>
            </w:r>
            <w:r>
              <w:rPr>
                <w:rFonts w:ascii="Arial" w:eastAsia="Arial" w:hAnsi="Arial" w:cs="Arial"/>
                <w:b w:val="0"/>
                <w:i w:val="0"/>
                <w:sz w:val="20"/>
              </w:rPr>
              <w:t xml:space="preserve"> </w:t>
            </w:r>
            <w:r>
              <w:rPr>
                <w:rFonts w:ascii="Arial" w:eastAsia="Arial" w:hAnsi="Arial" w:cs="Arial"/>
                <w:b w:val="0"/>
                <w:i w:val="0"/>
                <w:sz w:val="20"/>
              </w:rPr>
              <w:t xml:space="preserve">We also continue </w:t>
            </w:r>
            <w:r>
              <w:rPr>
                <w:rFonts w:ascii="Arial" w:eastAsia="Arial" w:hAnsi="Arial" w:cs="Arial"/>
                <w:b w:val="0"/>
                <w:i w:val="0"/>
                <w:sz w:val="20"/>
              </w:rPr>
              <w:t>to be good stewards of capital, returning $532 million to investors through accretive share repurchases in 2023</w:t>
            </w:r>
            <w:r>
              <w:rPr>
                <w:rFonts w:ascii="Arial" w:eastAsia="Arial" w:hAnsi="Arial" w:cs="Arial"/>
                <w:b w:val="0"/>
                <w:i w:val="0"/>
                <w:sz w:val="20"/>
              </w:rPr>
              <w:t>, while maintaining</w:t>
            </w:r>
            <w:r>
              <w:rPr>
                <w:rFonts w:ascii="Arial" w:eastAsia="Arial" w:hAnsi="Arial" w:cs="Arial"/>
                <w:b w:val="0"/>
                <w:i w:val="0"/>
                <w:sz w:val="20"/>
              </w:rPr>
              <w:t xml:space="preserve"> </w:t>
            </w:r>
            <w:r>
              <w:rPr>
                <w:rFonts w:ascii="Arial" w:eastAsia="Arial" w:hAnsi="Arial" w:cs="Arial"/>
                <w:b w:val="0"/>
                <w:i w:val="0"/>
                <w:sz w:val="20"/>
              </w:rPr>
              <w:t>a strong</w:t>
            </w:r>
            <w:r>
              <w:rPr>
                <w:rFonts w:ascii="Arial" w:eastAsia="Arial" w:hAnsi="Arial" w:cs="Arial"/>
                <w:b w:val="0"/>
                <w:i w:val="0"/>
                <w:sz w:val="20"/>
              </w:rPr>
              <w:t xml:space="preserve"> capital and liquidity position</w:t>
            </w:r>
            <w:r>
              <w:rPr>
                <w:rFonts w:ascii="Arial" w:eastAsia="Arial" w:hAnsi="Arial" w:cs="Arial"/>
                <w:b w:val="0"/>
                <w:i w:val="0"/>
                <w:sz w:val="20"/>
              </w:rPr>
              <w:t xml:space="preserve"> to support future transactions</w:t>
            </w:r>
            <w:r>
              <w:rPr>
                <w:rFonts w:ascii="Arial" w:eastAsia="Arial" w:hAnsi="Arial" w:cs="Arial"/>
                <w:b w:val="0"/>
                <w:i w:val="0"/>
                <w:sz w:val="20"/>
              </w:rPr>
              <w:t>. This</w:t>
            </w:r>
            <w:r>
              <w:rPr>
                <w:rFonts w:ascii="Arial" w:eastAsia="Arial" w:hAnsi="Arial" w:cs="Arial"/>
                <w:b w:val="0"/>
                <w:i w:val="0"/>
                <w:sz w:val="20"/>
              </w:rPr>
              <w:t xml:space="preserve"> was</w:t>
            </w:r>
            <w:r>
              <w:rPr>
                <w:rFonts w:ascii="Arial" w:eastAsia="Arial" w:hAnsi="Arial" w:cs="Arial"/>
                <w:b w:val="0"/>
                <w:i w:val="0"/>
                <w:sz w:val="20"/>
              </w:rPr>
              <w:t xml:space="preserve"> validated in March 2024 by the global rating agency, Standard &amp; Poor’s, with the issuance of an ‘A’ Insurer Financial Strength Rating to our primary reinsur</w:t>
            </w:r>
            <w:r>
              <w:rPr>
                <w:rFonts w:ascii="Arial" w:eastAsia="Arial" w:hAnsi="Arial" w:cs="Arial"/>
                <w:b w:val="0"/>
                <w:i w:val="0"/>
                <w:sz w:val="20"/>
              </w:rPr>
              <w:t>ance subsidiary</w:t>
            </w:r>
            <w:r>
              <w:rPr>
                <w:rFonts w:ascii="Arial" w:eastAsia="Arial" w:hAnsi="Arial" w:cs="Arial"/>
                <w:b w:val="0"/>
                <w:i w:val="0"/>
                <w:sz w:val="20"/>
              </w:rPr>
              <w:t>, Cavello Bay</w:t>
            </w:r>
            <w:r>
              <w:rPr>
                <w:rFonts w:ascii="Arial" w:eastAsia="Arial" w:hAnsi="Arial" w:cs="Arial"/>
                <w:b w:val="0"/>
                <w:i w:val="0"/>
                <w:sz w:val="20"/>
              </w:rPr>
              <w:t xml:space="preserve">.  </w:t>
            </w:r>
          </w:p>
          <w:p>
            <w:pPr>
              <w:pageBreakBefore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 Board made several important executive changes in 2023</w:t>
            </w:r>
            <w:r>
              <w:rPr>
                <w:rFonts w:ascii="Arial" w:eastAsia="Arial" w:hAnsi="Arial" w:cs="Arial"/>
                <w:b w:val="0"/>
                <w:i w:val="0"/>
                <w:sz w:val="20"/>
              </w:rPr>
              <w:t>. I’m pleased that Orla Gregory accepted her appointment as President of Enstar in March 2023, after serving for several years as our Group Chief Financial and Chief Operating Officer. Also in March 2023, Matthew Kirk was promoted from his role as Group Treasurer to Group Chief Financial Officer, and Paul Brockman, who has been with Enstar since 2012, was appointed Group Chief Operating Officer.</w:t>
            </w:r>
          </w:p>
          <w:p>
            <w:pPr>
              <w:pageBreakBefore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With every year, our environmental, social, and governance (ESG) principles become more integrated into our business, and the Board has been </w:t>
            </w:r>
            <w:r>
              <w:rPr>
                <w:rFonts w:ascii="Arial" w:eastAsia="Arial" w:hAnsi="Arial" w:cs="Arial"/>
                <w:b w:val="0"/>
                <w:i w:val="0"/>
                <w:sz w:val="20"/>
              </w:rPr>
              <w:t>encouraged</w:t>
            </w:r>
            <w:r>
              <w:rPr>
                <w:rFonts w:ascii="Arial" w:eastAsia="Arial" w:hAnsi="Arial" w:cs="Arial"/>
                <w:b w:val="0"/>
                <w:i w:val="0"/>
                <w:sz w:val="20"/>
              </w:rPr>
              <w:t xml:space="preserve"> by the progress Enstar continues to make on this front. </w:t>
            </w:r>
            <w:r>
              <w:rPr>
                <w:rFonts w:ascii="Arial" w:eastAsia="Arial" w:hAnsi="Arial" w:cs="Arial"/>
                <w:b w:val="0"/>
                <w:i w:val="0"/>
                <w:sz w:val="20"/>
              </w:rPr>
              <w:t>In 2023</w:t>
            </w:r>
            <w:r>
              <w:rPr>
                <w:rFonts w:ascii="Arial" w:eastAsia="Arial" w:hAnsi="Arial" w:cs="Arial"/>
                <w:b w:val="0"/>
                <w:i w:val="0"/>
                <w:sz w:val="20"/>
              </w:rPr>
              <w:t>,</w:t>
            </w:r>
            <w:r>
              <w:rPr>
                <w:rFonts w:ascii="Arial" w:eastAsia="Arial" w:hAnsi="Arial" w:cs="Arial"/>
                <w:b w:val="0"/>
                <w:i w:val="0"/>
                <w:sz w:val="20"/>
              </w:rPr>
              <w:t xml:space="preserve"> we appointed </w:t>
            </w:r>
            <w:r>
              <w:rPr>
                <w:rFonts w:ascii="Arial" w:eastAsia="Arial" w:hAnsi="Arial" w:cs="Arial"/>
                <w:b w:val="0"/>
                <w:i w:val="0"/>
                <w:sz w:val="20"/>
              </w:rPr>
              <w:t>a</w:t>
            </w:r>
            <w:r>
              <w:rPr>
                <w:rFonts w:ascii="Arial" w:eastAsia="Arial" w:hAnsi="Arial" w:cs="Arial"/>
                <w:b w:val="0"/>
                <w:i w:val="0"/>
                <w:sz w:val="20"/>
              </w:rPr>
              <w:t xml:space="preserve"> </w:t>
            </w:r>
            <w:r>
              <w:rPr>
                <w:rFonts w:ascii="Arial" w:eastAsia="Arial" w:hAnsi="Arial" w:cs="Arial"/>
                <w:b w:val="0"/>
                <w:i w:val="0"/>
                <w:sz w:val="20"/>
              </w:rPr>
              <w:t>Head of ESG</w:t>
            </w:r>
            <w:r>
              <w:rPr>
                <w:rFonts w:ascii="Arial" w:eastAsia="Arial" w:hAnsi="Arial" w:cs="Arial"/>
                <w:b w:val="0"/>
                <w:i w:val="0"/>
                <w:sz w:val="20"/>
              </w:rPr>
              <w:t xml:space="preserve">, </w:t>
            </w:r>
            <w:r>
              <w:rPr>
                <w:rFonts w:ascii="Arial" w:eastAsia="Arial" w:hAnsi="Arial" w:cs="Arial"/>
                <w:b w:val="0"/>
                <w:i w:val="0"/>
                <w:sz w:val="20"/>
              </w:rPr>
              <w:t>took</w:t>
            </w:r>
            <w:r>
              <w:rPr>
                <w:rFonts w:ascii="Arial" w:eastAsia="Arial" w:hAnsi="Arial" w:cs="Arial"/>
                <w:b w:val="0"/>
                <w:i w:val="0"/>
                <w:sz w:val="20"/>
              </w:rPr>
              <w:t xml:space="preserve"> practical steps to reduce our operational CO2 emissions, adopted new ESG reporting standards, and worked with suppliers, including third-party investment managers, in alignment with our own ESG framework. Our Annual ESG Report presents in detail these and other ESG actions and plans.</w:t>
            </w:r>
          </w:p>
          <w:p>
            <w:pPr>
              <w:pageBreakBefore w:val="0"/>
              <w:numPr>
                <w:ilvl w:val="0"/>
                <w:numId w:val="0"/>
              </w:numPr>
              <w:spacing w:before="0" w:after="120" w:line="300" w:lineRule="auto"/>
              <w:ind w:left="0" w:right="0" w:firstLine="0"/>
              <w:jc w:val="both"/>
              <w:outlineLvl w:val="9"/>
              <w:rPr>
                <w:rFonts w:ascii="Arial" w:eastAsia="Arial" w:hAnsi="Arial" w:cs="Arial"/>
                <w:b/>
                <w:i w:val="0"/>
                <w:color w:val="000000"/>
                <w:sz w:val="20"/>
                <w:u w:val="none"/>
                <w:shd w:val="clear" w:color="auto" w:fill="FFFF00"/>
              </w:rPr>
            </w:pPr>
            <w:r>
              <w:rPr>
                <w:rFonts w:ascii="Arial" w:eastAsia="Arial" w:hAnsi="Arial" w:cs="Arial"/>
                <w:b w:val="0"/>
                <w:i w:val="0"/>
                <w:sz w:val="20"/>
              </w:rPr>
              <w:t xml:space="preserve">During 2023 and early 2024, I was joined by </w:t>
            </w:r>
            <w:r>
              <w:rPr>
                <w:rFonts w:ascii="Arial" w:eastAsia="Arial" w:hAnsi="Arial" w:cs="Arial"/>
                <w:b w:val="0"/>
                <w:i w:val="0"/>
                <w:sz w:val="20"/>
              </w:rPr>
              <w:t>Rick Becker</w:t>
            </w:r>
            <w:r>
              <w:rPr>
                <w:rFonts w:ascii="Arial" w:eastAsia="Arial" w:hAnsi="Arial" w:cs="Arial"/>
                <w:b w:val="0"/>
                <w:i w:val="0"/>
                <w:sz w:val="20"/>
              </w:rPr>
              <w:t>, Chair of</w:t>
            </w:r>
            <w:r>
              <w:rPr>
                <w:rFonts w:ascii="Arial" w:eastAsia="Arial" w:hAnsi="Arial" w:cs="Arial"/>
                <w:b w:val="0"/>
                <w:i w:val="0"/>
                <w:sz w:val="20"/>
              </w:rPr>
              <w:t xml:space="preserve"> </w:t>
            </w:r>
            <w:r>
              <w:rPr>
                <w:rFonts w:ascii="Arial" w:eastAsia="Arial" w:hAnsi="Arial" w:cs="Arial"/>
                <w:b w:val="0"/>
                <w:i w:val="0"/>
                <w:sz w:val="20"/>
              </w:rPr>
              <w:t xml:space="preserve">the Board’s </w:t>
            </w:r>
            <w:r>
              <w:rPr>
                <w:rFonts w:ascii="Arial" w:eastAsia="Arial" w:hAnsi="Arial" w:cs="Arial"/>
                <w:b w:val="0"/>
                <w:i w:val="0"/>
                <w:sz w:val="20"/>
              </w:rPr>
              <w:t xml:space="preserve">Human Resources and </w:t>
            </w:r>
            <w:r>
              <w:rPr>
                <w:rFonts w:ascii="Arial" w:eastAsia="Arial" w:hAnsi="Arial" w:cs="Arial"/>
                <w:b w:val="0"/>
                <w:i w:val="0"/>
                <w:sz w:val="20"/>
              </w:rPr>
              <w:t>Compensation</w:t>
            </w:r>
            <w:r>
              <w:rPr>
                <w:rFonts w:ascii="Arial" w:eastAsia="Arial" w:hAnsi="Arial" w:cs="Arial"/>
                <w:b w:val="0"/>
                <w:i w:val="0"/>
                <w:sz w:val="20"/>
              </w:rPr>
              <w:t xml:space="preserve"> </w:t>
            </w:r>
            <w:r>
              <w:rPr>
                <w:rFonts w:ascii="Arial" w:eastAsia="Arial" w:hAnsi="Arial" w:cs="Arial"/>
                <w:b w:val="0"/>
                <w:i w:val="0"/>
                <w:sz w:val="20"/>
              </w:rPr>
              <w:t>Committee, in</w:t>
            </w:r>
            <w:r>
              <w:rPr>
                <w:rFonts w:ascii="Arial" w:eastAsia="Arial" w:hAnsi="Arial" w:cs="Arial"/>
                <w:b w:val="0"/>
                <w:i w:val="0"/>
                <w:sz w:val="20"/>
              </w:rPr>
              <w:t xml:space="preserve"> </w:t>
            </w:r>
            <w:r>
              <w:rPr>
                <w:rFonts w:ascii="Arial" w:eastAsia="Arial" w:hAnsi="Arial" w:cs="Arial"/>
                <w:b w:val="0"/>
                <w:i w:val="0"/>
                <w:sz w:val="20"/>
              </w:rPr>
              <w:t xml:space="preserve">dialogue with shareholders. </w:t>
            </w:r>
            <w:r>
              <w:rPr>
                <w:rFonts w:ascii="Arial" w:eastAsia="Arial" w:hAnsi="Arial" w:cs="Arial"/>
                <w:b w:val="0"/>
                <w:i w:val="0"/>
                <w:sz w:val="20"/>
              </w:rPr>
              <w:t>W</w:t>
            </w:r>
            <w:r>
              <w:rPr>
                <w:rFonts w:ascii="Arial" w:eastAsia="Arial" w:hAnsi="Arial" w:cs="Arial"/>
                <w:b w:val="0"/>
                <w:i w:val="0"/>
                <w:sz w:val="20"/>
              </w:rPr>
              <w:t>e met with</w:t>
            </w:r>
            <w:r>
              <w:rPr>
                <w:rFonts w:ascii="Arial" w:eastAsia="Arial" w:hAnsi="Arial" w:cs="Arial"/>
                <w:b w:val="0"/>
                <w:i w:val="0"/>
                <w:sz w:val="20"/>
              </w:rPr>
              <w:t xml:space="preserve"> </w:t>
            </w:r>
            <w:r>
              <w:rPr>
                <w:rFonts w:ascii="Arial" w:eastAsia="Arial" w:hAnsi="Arial" w:cs="Arial"/>
                <w:b w:val="0"/>
                <w:i w:val="0"/>
                <w:sz w:val="20"/>
              </w:rPr>
              <w:t xml:space="preserve">holders of approximately </w:t>
            </w:r>
            <w:r>
              <w:rPr>
                <w:rFonts w:ascii="Arial" w:eastAsia="Arial" w:hAnsi="Arial" w:cs="Arial"/>
                <w:b w:val="0"/>
                <w:i w:val="0"/>
                <w:color w:val="000000"/>
                <w:sz w:val="20"/>
                <w:u w:val="none"/>
              </w:rPr>
              <w:t>23%</w:t>
            </w:r>
            <w:r>
              <w:rPr>
                <w:rFonts w:ascii="Arial" w:eastAsia="Arial" w:hAnsi="Arial" w:cs="Arial"/>
                <w:b w:val="0"/>
                <w:i w:val="0"/>
                <w:sz w:val="20"/>
              </w:rPr>
              <w:t xml:space="preserve"> of our institutionally held shares. We</w:t>
            </w:r>
            <w:r>
              <w:rPr>
                <w:rFonts w:ascii="Arial" w:eastAsia="Arial" w:hAnsi="Arial" w:cs="Arial"/>
                <w:b w:val="0"/>
                <w:i w:val="0"/>
                <w:sz w:val="20"/>
              </w:rPr>
              <w:t xml:space="preserve"> </w:t>
            </w:r>
            <w:r>
              <w:rPr>
                <w:rFonts w:ascii="Arial" w:eastAsia="Arial" w:hAnsi="Arial" w:cs="Arial"/>
                <w:b w:val="0"/>
                <w:i w:val="0"/>
                <w:sz w:val="20"/>
              </w:rPr>
              <w:t>discussed the Board’s composition and our oversight of the</w:t>
            </w:r>
            <w:r>
              <w:rPr>
                <w:rFonts w:ascii="Arial" w:eastAsia="Arial" w:hAnsi="Arial" w:cs="Arial"/>
                <w:b w:val="0"/>
                <w:i w:val="0"/>
                <w:sz w:val="20"/>
              </w:rPr>
              <w:t xml:space="preserve"> </w:t>
            </w:r>
            <w:r>
              <w:rPr>
                <w:rFonts w:ascii="Arial" w:eastAsia="Arial" w:hAnsi="Arial" w:cs="Arial"/>
                <w:b w:val="0"/>
                <w:i w:val="0"/>
                <w:sz w:val="20"/>
              </w:rPr>
              <w:t>C</w:t>
            </w:r>
            <w:r>
              <w:rPr>
                <w:rFonts w:ascii="Arial" w:eastAsia="Arial" w:hAnsi="Arial" w:cs="Arial"/>
                <w:b w:val="0"/>
                <w:i w:val="0"/>
                <w:sz w:val="20"/>
              </w:rPr>
              <w:t xml:space="preserve">ompany’s progress </w:t>
            </w:r>
            <w:r>
              <w:rPr>
                <w:rFonts w:ascii="Arial" w:eastAsia="Arial" w:hAnsi="Arial" w:cs="Arial"/>
                <w:b w:val="0"/>
                <w:i w:val="0"/>
                <w:sz w:val="20"/>
              </w:rPr>
              <w:t>of</w:t>
            </w:r>
            <w:r>
              <w:rPr>
                <w:rFonts w:ascii="Arial" w:eastAsia="Arial" w:hAnsi="Arial" w:cs="Arial"/>
                <w:b w:val="0"/>
                <w:i w:val="0"/>
                <w:sz w:val="20"/>
              </w:rPr>
              <w:t xml:space="preserve"> its </w:t>
            </w:r>
            <w:r>
              <w:rPr>
                <w:rFonts w:ascii="Arial" w:eastAsia="Arial" w:hAnsi="Arial" w:cs="Arial"/>
                <w:b w:val="0"/>
                <w:i w:val="0"/>
                <w:sz w:val="20"/>
              </w:rPr>
              <w:t xml:space="preserve">ESG </w:t>
            </w:r>
            <w:r>
              <w:rPr>
                <w:rFonts w:ascii="Arial" w:eastAsia="Arial" w:hAnsi="Arial" w:cs="Arial"/>
                <w:b w:val="0"/>
                <w:i w:val="0"/>
                <w:sz w:val="20"/>
              </w:rPr>
              <w:t>strategy</w:t>
            </w:r>
            <w:r>
              <w:rPr>
                <w:rFonts w:ascii="Arial" w:eastAsia="Arial" w:hAnsi="Arial" w:cs="Arial"/>
                <w:b w:val="0"/>
                <w:i w:val="0"/>
                <w:sz w:val="20"/>
              </w:rPr>
              <w:t>. In response to the results of our 2023 “Say on Pay”</w:t>
            </w:r>
            <w:r>
              <w:rPr>
                <w:rFonts w:ascii="Arial" w:eastAsia="Arial" w:hAnsi="Arial" w:cs="Arial"/>
                <w:b w:val="0"/>
                <w:i w:val="0"/>
                <w:sz w:val="20"/>
              </w:rPr>
              <w:t xml:space="preserve"> </w:t>
            </w:r>
            <w:r>
              <w:rPr>
                <w:rFonts w:ascii="Arial" w:eastAsia="Arial" w:hAnsi="Arial" w:cs="Arial"/>
                <w:b w:val="0"/>
                <w:i w:val="0"/>
                <w:sz w:val="20"/>
              </w:rPr>
              <w:t>vote, our</w:t>
            </w:r>
            <w:r>
              <w:rPr>
                <w:rFonts w:ascii="Arial" w:eastAsia="Arial" w:hAnsi="Arial" w:cs="Arial"/>
                <w:b w:val="0"/>
                <w:i w:val="0"/>
                <w:sz w:val="20"/>
              </w:rPr>
              <w:t xml:space="preserve"> </w:t>
            </w:r>
            <w:r>
              <w:rPr>
                <w:rFonts w:ascii="Arial" w:eastAsia="Arial" w:hAnsi="Arial" w:cs="Arial"/>
                <w:b w:val="0"/>
                <w:i w:val="0"/>
                <w:sz w:val="20"/>
              </w:rPr>
              <w:t>dialogue also focused on Board and Committee oversight of</w:t>
            </w:r>
            <w:r>
              <w:rPr>
                <w:rFonts w:ascii="Arial" w:eastAsia="Arial" w:hAnsi="Arial" w:cs="Arial"/>
                <w:b w:val="0"/>
                <w:i w:val="0"/>
                <w:sz w:val="20"/>
              </w:rPr>
              <w:t xml:space="preserve"> </w:t>
            </w:r>
            <w:r>
              <w:rPr>
                <w:rFonts w:ascii="Arial" w:eastAsia="Arial" w:hAnsi="Arial" w:cs="Arial"/>
                <w:b w:val="0"/>
                <w:i w:val="0"/>
                <w:sz w:val="20"/>
              </w:rPr>
              <w:t>Enstar</w:t>
            </w:r>
            <w:r>
              <w:rPr>
                <w:rFonts w:ascii="Arial" w:eastAsia="Arial" w:hAnsi="Arial" w:cs="Arial"/>
                <w:b w:val="0"/>
                <w:i w:val="0"/>
                <w:sz w:val="20"/>
              </w:rPr>
              <w:t>’s executive compensation practices and disclosures.</w:t>
            </w:r>
            <w:r>
              <w:rPr>
                <w:rFonts w:ascii="Arial" w:eastAsia="Arial" w:hAnsi="Arial" w:cs="Arial"/>
                <w:b w:val="0"/>
                <w:i w:val="0"/>
                <w:sz w:val="20"/>
              </w:rPr>
              <w:t xml:space="preserve"> </w:t>
            </w:r>
            <w:r>
              <w:rPr>
                <w:rFonts w:ascii="Arial" w:eastAsia="Arial" w:hAnsi="Arial" w:cs="Arial"/>
                <w:b w:val="0"/>
                <w:i w:val="0"/>
                <w:sz w:val="20"/>
              </w:rPr>
              <w:t>T</w:t>
            </w:r>
            <w:r>
              <w:rPr>
                <w:rFonts w:ascii="Arial" w:eastAsia="Arial" w:hAnsi="Arial" w:cs="Arial"/>
                <w:b w:val="0"/>
                <w:i w:val="0"/>
                <w:sz w:val="20"/>
              </w:rPr>
              <w:t>he</w:t>
            </w:r>
            <w:r>
              <w:rPr>
                <w:rFonts w:ascii="Arial" w:eastAsia="Arial" w:hAnsi="Arial" w:cs="Arial"/>
                <w:b w:val="0"/>
                <w:i w:val="0"/>
                <w:sz w:val="20"/>
              </w:rPr>
              <w:t xml:space="preserve"> feedback we heard from shareholders</w:t>
            </w:r>
            <w:r>
              <w:rPr>
                <w:rFonts w:ascii="Arial" w:eastAsia="Arial" w:hAnsi="Arial" w:cs="Arial"/>
                <w:b w:val="0"/>
                <w:i w:val="0"/>
                <w:sz w:val="20"/>
              </w:rPr>
              <w:t xml:space="preserve"> </w:t>
            </w:r>
            <w:r>
              <w:rPr>
                <w:rFonts w:ascii="Arial" w:eastAsia="Arial" w:hAnsi="Arial" w:cs="Arial"/>
                <w:b w:val="0"/>
                <w:i w:val="0"/>
                <w:sz w:val="20"/>
              </w:rPr>
              <w:t>during these convers</w:t>
            </w:r>
            <w:r>
              <w:rPr>
                <w:rFonts w:ascii="Arial" w:eastAsia="Arial" w:hAnsi="Arial" w:cs="Arial"/>
                <w:b w:val="0"/>
                <w:i w:val="0"/>
                <w:sz w:val="20"/>
              </w:rPr>
              <w:t xml:space="preserve">ations </w:t>
            </w:r>
            <w:r>
              <w:rPr>
                <w:rFonts w:ascii="Arial" w:eastAsia="Arial" w:hAnsi="Arial" w:cs="Arial"/>
                <w:b w:val="0"/>
                <w:i w:val="0"/>
                <w:sz w:val="20"/>
              </w:rPr>
              <w:t>is d</w:t>
            </w:r>
            <w:r>
              <w:rPr>
                <w:rFonts w:ascii="Arial" w:eastAsia="Arial" w:hAnsi="Arial" w:cs="Arial"/>
                <w:b w:val="0"/>
                <w:i w:val="0"/>
                <w:sz w:val="20"/>
              </w:rPr>
              <w:t>escribed</w:t>
            </w:r>
            <w:r>
              <w:rPr>
                <w:rFonts w:ascii="Arial" w:eastAsia="Arial" w:hAnsi="Arial" w:cs="Arial"/>
                <w:b w:val="0"/>
                <w:i w:val="0"/>
                <w:sz w:val="20"/>
              </w:rPr>
              <w:t xml:space="preserve"> in greater detail in the section herein entitled "Results of Shareholder Vote on Compensation and Shareholder Engagement</w:t>
            </w:r>
            <w:r>
              <w:rPr>
                <w:rFonts w:ascii="Arial" w:eastAsia="Arial" w:hAnsi="Arial" w:cs="Arial"/>
                <w:b w:val="0"/>
                <w:i w:val="0"/>
                <w:sz w:val="20"/>
              </w:rPr>
              <w:t>.</w:t>
            </w:r>
            <w:r>
              <w:rPr>
                <w:rFonts w:ascii="Arial" w:eastAsia="Arial" w:hAnsi="Arial" w:cs="Arial"/>
                <w:b w:val="0"/>
                <w:i w:val="0"/>
                <w:sz w:val="20"/>
              </w:rPr>
              <w:t>"</w:t>
            </w:r>
            <w:r>
              <w:rPr>
                <w:rFonts w:ascii="Arial" w:eastAsia="Arial" w:hAnsi="Arial" w:cs="Arial"/>
                <w:b w:val="0"/>
                <w:i w:val="0"/>
                <w:sz w:val="20"/>
              </w:rPr>
              <w:t xml:space="preserve"> </w:t>
            </w:r>
            <w:r>
              <w:rPr>
                <w:rFonts w:ascii="Arial" w:eastAsia="Arial" w:hAnsi="Arial" w:cs="Arial"/>
                <w:b w:val="0"/>
                <w:i w:val="0"/>
                <w:sz w:val="20"/>
              </w:rPr>
              <w:t>I greatly appreciate the time taken by our investors to provide the</w:t>
            </w:r>
            <w:r>
              <w:rPr>
                <w:rFonts w:ascii="Arial" w:eastAsia="Arial" w:hAnsi="Arial" w:cs="Arial"/>
                <w:b w:val="0"/>
                <w:i w:val="0"/>
                <w:sz w:val="20"/>
              </w:rPr>
              <w:t xml:space="preserve"> </w:t>
            </w:r>
            <w:r>
              <w:rPr>
                <w:rFonts w:ascii="Arial" w:eastAsia="Arial" w:hAnsi="Arial" w:cs="Arial"/>
                <w:b w:val="0"/>
                <w:i w:val="0"/>
                <w:sz w:val="20"/>
              </w:rPr>
              <w:t xml:space="preserve">Board with valuable insight on how they believe our </w:t>
            </w:r>
            <w:r>
              <w:rPr>
                <w:rFonts w:ascii="Arial" w:eastAsia="Arial" w:hAnsi="Arial" w:cs="Arial"/>
                <w:b w:val="0"/>
                <w:i w:val="0"/>
                <w:sz w:val="20"/>
              </w:rPr>
              <w:t>C</w:t>
            </w:r>
            <w:r>
              <w:rPr>
                <w:rFonts w:ascii="Arial" w:eastAsia="Arial" w:hAnsi="Arial" w:cs="Arial"/>
                <w:b w:val="0"/>
                <w:i w:val="0"/>
                <w:sz w:val="20"/>
              </w:rPr>
              <w:t xml:space="preserve">ompany </w:t>
            </w:r>
            <w:r>
              <w:rPr>
                <w:rFonts w:ascii="Arial" w:eastAsia="Arial" w:hAnsi="Arial" w:cs="Arial"/>
                <w:b w:val="0"/>
                <w:i w:val="0"/>
                <w:sz w:val="20"/>
              </w:rPr>
              <w:t>can improv</w:t>
            </w:r>
            <w:r>
              <w:rPr>
                <w:rFonts w:ascii="Arial" w:eastAsia="Arial" w:hAnsi="Arial" w:cs="Arial"/>
                <w:b w:val="0"/>
                <w:i w:val="0"/>
                <w:sz w:val="20"/>
              </w:rPr>
              <w:t>e, and I look forward to our continued dialogue.</w:t>
            </w:r>
          </w:p>
          <w:p>
            <w:pPr>
              <w:pageBreakBefore w:val="0"/>
              <w:numPr>
                <w:ilvl w:val="0"/>
                <w:numId w:val="0"/>
              </w:numPr>
              <w:spacing w:before="0" w:after="3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I'm inspired by what we've accomplished and </w:t>
            </w:r>
            <w:r>
              <w:rPr>
                <w:rFonts w:ascii="Arial" w:eastAsia="Arial" w:hAnsi="Arial" w:cs="Arial"/>
                <w:b w:val="0"/>
                <w:i w:val="0"/>
                <w:sz w:val="20"/>
              </w:rPr>
              <w:t xml:space="preserve">excited about the promise of our future. </w:t>
            </w:r>
            <w:r>
              <w:rPr>
                <w:rFonts w:ascii="Arial" w:eastAsia="Arial" w:hAnsi="Arial" w:cs="Arial"/>
                <w:b w:val="0"/>
                <w:i w:val="0"/>
                <w:sz w:val="20"/>
              </w:rPr>
              <w:t>I encourage you to vote as soon as possible</w:t>
            </w:r>
            <w:r>
              <w:rPr>
                <w:rFonts w:ascii="Arial" w:eastAsia="Arial" w:hAnsi="Arial" w:cs="Arial"/>
                <w:b w:val="0"/>
                <w:i w:val="0"/>
                <w:sz w:val="20"/>
              </w:rPr>
              <w:t xml:space="preserve">, and I thank you for your continued support of Enstar. </w:t>
            </w:r>
          </w:p>
        </w:tc>
      </w:tr>
      <w:tr>
        <w:tblPrEx>
          <w:tblW w:w="10545" w:type="dxa"/>
          <w:jc w:val="center"/>
          <w:tblLayout w:type="fixed"/>
          <w:tblCellMar>
            <w:left w:w="108" w:type="dxa"/>
            <w:right w:w="108" w:type="dxa"/>
          </w:tblCellMar>
        </w:tblPrEx>
        <w:trPr>
          <w:cantSplit/>
          <w:trHeight w:hRule="exact" w:val="120"/>
          <w:jc w:val="center"/>
        </w:trPr>
        <w:tc>
          <w:tcPr>
            <w:tcW w:w="10545" w:type="dxa"/>
            <w:gridSpan w:val="2"/>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545" w:type="dxa"/>
          <w:jc w:val="center"/>
          <w:tblLayout w:type="fixed"/>
          <w:tblCellMar>
            <w:left w:w="108" w:type="dxa"/>
            <w:right w:w="108" w:type="dxa"/>
          </w:tblCellMar>
        </w:tblPrEx>
        <w:trPr>
          <w:cantSplit/>
          <w:trHeight w:hRule="exact" w:val="1665"/>
          <w:jc w:val="center"/>
        </w:trPr>
        <w:tc>
          <w:tcPr>
            <w:tcW w:w="10545" w:type="dxa"/>
            <w:gridSpan w:val="2"/>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0" w:line="240" w:lineRule="auto"/>
              <w:ind w:left="0" w:right="0" w:firstLine="0"/>
              <w:jc w:val="left"/>
              <w:outlineLvl w:val="1"/>
              <w:rPr>
                <w:rFonts w:ascii="Arial" w:eastAsia="Arial" w:hAnsi="Arial" w:cs="Arial"/>
                <w:b w:val="0"/>
                <w:i w:val="0"/>
                <w:sz w:val="20"/>
              </w:rPr>
            </w:pPr>
            <w:r>
              <w:rPr>
                <w:rFonts w:ascii="Arial" w:eastAsia="Arial" w:hAnsi="Arial" w:cs="Arial"/>
                <w:b w:val="0"/>
                <w:i w:val="0"/>
                <w:sz w:val="20"/>
              </w:rPr>
              <w:t>Sincerely,</w:t>
            </w:r>
          </w:p>
          <w:p>
            <w:pPr>
              <w:pageBreakBefore w:val="0"/>
              <w:numPr>
                <w:ilvl w:val="0"/>
                <w:numId w:val="0"/>
              </w:numPr>
              <w:spacing w:before="0" w:after="0" w:line="240" w:lineRule="auto"/>
              <w:ind w:left="0" w:right="0" w:firstLine="0"/>
              <w:jc w:val="left"/>
              <w:outlineLvl w:val="9"/>
              <w:rPr>
                <w:rFonts w:ascii="Arial" w:eastAsia="Arial" w:hAnsi="Arial" w:cs="Arial"/>
                <w:b w:val="0"/>
                <w:i w:val="0"/>
                <w:sz w:val="20"/>
              </w:rPr>
            </w:pPr>
          </w:p>
          <w:p>
            <w:pPr>
              <w:pageBreakBefore w:val="0"/>
              <w:numPr>
                <w:ilvl w:val="0"/>
                <w:numId w:val="0"/>
              </w:numPr>
              <w:spacing w:before="0" w:after="0" w:line="240" w:lineRule="auto"/>
              <w:ind w:left="0" w:right="0" w:firstLine="0"/>
              <w:jc w:val="left"/>
              <w:outlineLvl w:val="9"/>
              <w:rPr>
                <w:rFonts w:ascii="Arial" w:eastAsia="Arial" w:hAnsi="Arial" w:cs="Arial"/>
                <w:b w:val="0"/>
                <w:i w:val="0"/>
                <w:sz w:val="20"/>
              </w:rPr>
            </w:pPr>
            <w:r>
              <w:pict>
                <v:shape id="_x0000_s1028" type="#_x0000_t75" style="width:64.8pt;height:33.65pt;margin-top:0;margin-left:0;mso-position-horizontal:left;position:absolute;z-index:251658240">
                  <v:imagedata r:id="rId9" o:title=""/>
                  <o:lock v:ext="edit" aspectratio="t"/>
                  <w10:wrap type="square"/>
                </v:shape>
              </w:pict>
            </w:r>
          </w:p>
          <w:p>
            <w:pPr>
              <w:pageBreakBefore w:val="0"/>
              <w:numPr>
                <w:ilvl w:val="0"/>
                <w:numId w:val="0"/>
              </w:numPr>
              <w:spacing w:before="0" w:after="0" w:line="240" w:lineRule="auto"/>
              <w:ind w:left="0" w:right="0" w:firstLine="0"/>
              <w:jc w:val="left"/>
              <w:outlineLvl w:val="9"/>
              <w:rPr>
                <w:rFonts w:ascii="Arial" w:eastAsia="Arial" w:hAnsi="Arial" w:cs="Arial"/>
                <w:b w:val="0"/>
                <w:i w:val="0"/>
                <w:sz w:val="20"/>
              </w:rPr>
            </w:pPr>
            <w:r>
              <w:rPr>
                <w:rFonts w:ascii="Arial" w:eastAsia="Arial" w:hAnsi="Arial" w:cs="Arial"/>
                <w:b w:val="0"/>
                <w:i w:val="0"/>
                <w:sz w:val="20"/>
              </w:rPr>
              <w:t>Robert J. Campbell</w:t>
            </w:r>
          </w:p>
          <w:p>
            <w:pPr>
              <w:pageBreakBefore w:val="0"/>
              <w:numPr>
                <w:ilvl w:val="0"/>
                <w:numId w:val="0"/>
              </w:numPr>
              <w:spacing w:before="0" w:after="30" w:line="240" w:lineRule="auto"/>
              <w:ind w:left="0" w:right="0" w:firstLine="0"/>
              <w:jc w:val="left"/>
              <w:outlineLvl w:val="9"/>
              <w:rPr>
                <w:rFonts w:ascii="Arial" w:eastAsia="Arial" w:hAnsi="Arial" w:cs="Arial"/>
                <w:b w:val="0"/>
                <w:i w:val="0"/>
                <w:sz w:val="20"/>
              </w:rPr>
            </w:pPr>
            <w:r>
              <w:rPr>
                <w:rFonts w:ascii="Arial" w:eastAsia="Arial" w:hAnsi="Arial" w:cs="Arial"/>
                <w:b w:val="0"/>
                <w:i w:val="0"/>
                <w:sz w:val="20"/>
              </w:rPr>
              <w:t>Chairman of the Board</w:t>
            </w:r>
          </w:p>
        </w:tc>
      </w:tr>
    </w:tbl>
    <w:p>
      <w:pPr>
        <w:keepNext/>
        <w:keepLines/>
        <w:pageBreakBefore w:val="0"/>
        <w:widowControl w:val="0"/>
        <w:numPr>
          <w:ilvl w:val="0"/>
          <w:numId w:val="0"/>
        </w:numPr>
        <w:spacing w:before="0" w:after="60" w:line="300" w:lineRule="auto"/>
        <w:ind w:left="0" w:right="0" w:firstLine="0"/>
        <w:jc w:val="center"/>
        <w:outlineLvl w:val="9"/>
        <w:rPr>
          <w:sz w:val="2"/>
        </w:rPr>
      </w:pPr>
    </w:p>
    <w:p>
      <w:pPr>
        <w:keepNext/>
        <w:keepLines/>
        <w:pageBreakBefore w:val="0"/>
        <w:widowControl w:val="0"/>
        <w:numPr>
          <w:ilvl w:val="0"/>
          <w:numId w:val="0"/>
        </w:numPr>
        <w:spacing w:before="0" w:after="60" w:line="300" w:lineRule="auto"/>
        <w:ind w:left="0" w:right="0" w:firstLine="0"/>
        <w:jc w:val="center"/>
        <w:outlineLvl w:val="9"/>
        <w:rPr>
          <w:sz w:val="2"/>
        </w:rPr>
        <w:sectPr>
          <w:headerReference w:type="default" r:id="rId10"/>
          <w:footerReference w:type="default" r:id="rId11"/>
          <w:pgSz w:w="12240" w:h="15840"/>
          <w:pgMar w:top="720" w:right="720" w:bottom="720" w:left="720" w:header="0" w:footer="0"/>
          <w:pgNumType w:fmt="lowerRoman" w:start="1"/>
          <w:cols w:space="708"/>
        </w:sectPr>
      </w:pPr>
    </w:p>
    <w:p>
      <w:pPr>
        <w:keepNext w:val="0"/>
        <w:keepLines w:val="0"/>
        <w:pageBreakBefore w:val="0"/>
        <w:widowControl/>
        <w:numPr>
          <w:ilvl w:val="0"/>
          <w:numId w:val="0"/>
        </w:numPr>
        <w:spacing w:before="0" w:after="180" w:line="288" w:lineRule="auto"/>
        <w:ind w:left="0" w:right="0" w:firstLine="0"/>
        <w:jc w:val="left"/>
        <w:outlineLvl w:val="9"/>
        <w:rPr>
          <w:rFonts w:ascii="Times New Roman" w:eastAsia="Times New Roman" w:hAnsi="Times New Roman" w:cs="Times New Roman"/>
          <w:b w:val="0"/>
          <w:i w:val="0"/>
          <w:color w:val="FF0090"/>
          <w:sz w:val="20"/>
          <w:u w:val="none"/>
        </w:rPr>
      </w:pPr>
      <w:bookmarkStart w:id="1" w:name="Section4"/>
      <w:bookmarkEnd w:id="1"/>
    </w:p>
    <w:p>
      <w:pPr>
        <w:keepNext w:val="0"/>
        <w:keepLines w:val="0"/>
        <w:pageBreakBefore w:val="0"/>
        <w:widowControl/>
        <w:numPr>
          <w:ilvl w:val="0"/>
          <w:numId w:val="0"/>
        </w:numPr>
        <w:spacing w:before="0" w:after="0" w:line="288" w:lineRule="auto"/>
        <w:ind w:left="0" w:right="0" w:firstLine="0"/>
        <w:jc w:val="left"/>
        <w:outlineLvl w:val="0"/>
        <w:rPr>
          <w:rFonts w:ascii="Arial" w:eastAsia="Arial" w:hAnsi="Arial" w:cs="Arial"/>
          <w:b/>
          <w:i w:val="0"/>
          <w:color w:val="171449"/>
          <w:sz w:val="48"/>
          <w:u w:val="none"/>
        </w:rPr>
      </w:pPr>
      <w:r>
        <w:rPr>
          <w:rFonts w:ascii="Arial" w:eastAsia="Arial" w:hAnsi="Arial" w:cs="Arial"/>
          <w:b/>
          <w:i w:val="0"/>
          <w:color w:val="171449"/>
          <w:sz w:val="48"/>
          <w:u w:val="none"/>
        </w:rPr>
        <w:t xml:space="preserve">Notice of </w:t>
      </w:r>
      <w:r>
        <w:rPr>
          <w:rFonts w:ascii="Arial" w:eastAsia="Arial" w:hAnsi="Arial" w:cs="Arial"/>
          <w:b/>
          <w:i w:val="0"/>
          <w:color w:val="171449"/>
          <w:sz w:val="48"/>
          <w:u w:val="none"/>
        </w:rPr>
        <w:t>2024</w:t>
      </w:r>
      <w:r>
        <w:rPr>
          <w:rFonts w:ascii="Arial" w:eastAsia="Arial" w:hAnsi="Arial" w:cs="Arial"/>
          <w:b/>
          <w:i w:val="0"/>
          <w:color w:val="171449"/>
          <w:sz w:val="48"/>
          <w:u w:val="none"/>
        </w:rPr>
        <w:t xml:space="preserve"> Annual </w:t>
      </w: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48"/>
          <w:u w:val="none"/>
        </w:rPr>
      </w:pPr>
      <w:r>
        <w:rPr>
          <w:rFonts w:ascii="Arial" w:eastAsia="Arial" w:hAnsi="Arial" w:cs="Arial"/>
          <w:b/>
          <w:i w:val="0"/>
          <w:color w:val="171449"/>
          <w:sz w:val="48"/>
          <w:u w:val="none"/>
        </w:rPr>
        <w:t>General Meeting of Shareholders</w:t>
      </w: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0"/>
          <w:u w:val="none"/>
        </w:rPr>
      </w:pPr>
    </w:p>
    <w:tbl>
      <w:tblPr>
        <w:tblW w:w="108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5340"/>
        <w:gridCol w:w="240"/>
        <w:gridCol w:w="5220"/>
      </w:tblGrid>
      <w:tr>
        <w:tblPrEx>
          <w:tblW w:w="108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975"/>
        </w:trPr>
        <w:tc>
          <w:tcPr>
            <w:tcW w:w="5340" w:type="dxa"/>
            <w:vMerge w:val="restart"/>
            <w:tcBorders>
              <w:top w:val="nil"/>
              <w:left w:val="nil"/>
              <w:bottom w:val="nil"/>
              <w:right w:val="nil"/>
            </w:tcBorders>
            <w:shd w:val="clear" w:color="auto" w:fill="FFFFFF"/>
            <w:tcMar>
              <w:top w:w="0" w:type="dxa"/>
              <w:left w:w="53" w:type="dxa"/>
              <w:bottom w:w="0" w:type="dxa"/>
              <w:right w:w="53" w:type="dxa"/>
            </w:tcMar>
            <w:vAlign w:val="top"/>
          </w:tcPr>
          <w:p>
            <w:pPr>
              <w:keepNext/>
              <w:pageBreakBefore w:val="0"/>
              <w:numPr>
                <w:ilvl w:val="0"/>
                <w:numId w:val="0"/>
              </w:numPr>
              <w:spacing w:before="23" w:after="120" w:line="300" w:lineRule="auto"/>
              <w:ind w:left="0" w:right="0" w:firstLine="0"/>
              <w:jc w:val="both"/>
              <w:outlineLvl w:val="9"/>
              <w:rPr>
                <w:rFonts w:ascii="Wingdings" w:eastAsia="Wingdings" w:hAnsi="Wingdings" w:cs="Wingdings"/>
                <w:b w:val="0"/>
                <w:i w:val="0"/>
                <w:sz w:val="20"/>
              </w:rPr>
            </w:pPr>
            <w:r>
              <w:rPr>
                <w:rFonts w:ascii="Arial" w:eastAsia="Arial" w:hAnsi="Arial" w:cs="Arial"/>
                <w:b w:val="0"/>
                <w:i w:val="0"/>
                <w:sz w:val="20"/>
              </w:rPr>
              <w:t xml:space="preserve">You are cordially invited to attend the </w:t>
            </w:r>
            <w:r>
              <w:rPr>
                <w:rFonts w:ascii="Arial" w:eastAsia="Arial" w:hAnsi="Arial" w:cs="Arial"/>
                <w:b w:val="0"/>
                <w:i w:val="0"/>
                <w:sz w:val="20"/>
              </w:rPr>
              <w:t>A</w:t>
            </w:r>
            <w:r>
              <w:rPr>
                <w:rFonts w:ascii="Arial" w:eastAsia="Arial" w:hAnsi="Arial" w:cs="Arial"/>
                <w:b w:val="0"/>
                <w:i w:val="0"/>
                <w:sz w:val="20"/>
              </w:rPr>
              <w:t xml:space="preserve">nnual </w:t>
            </w:r>
            <w:r>
              <w:rPr>
                <w:rFonts w:ascii="Arial" w:eastAsia="Arial" w:hAnsi="Arial" w:cs="Arial"/>
                <w:b w:val="0"/>
                <w:i w:val="0"/>
                <w:sz w:val="20"/>
              </w:rPr>
              <w:t>G</w:t>
            </w:r>
            <w:r>
              <w:rPr>
                <w:rFonts w:ascii="Arial" w:eastAsia="Arial" w:hAnsi="Arial" w:cs="Arial"/>
                <w:b w:val="0"/>
                <w:i w:val="0"/>
                <w:sz w:val="20"/>
              </w:rPr>
              <w:t xml:space="preserve">eneral </w:t>
            </w:r>
            <w:r>
              <w:rPr>
                <w:rFonts w:ascii="Arial" w:eastAsia="Arial" w:hAnsi="Arial" w:cs="Arial"/>
                <w:b w:val="0"/>
                <w:i w:val="0"/>
                <w:sz w:val="20"/>
              </w:rPr>
              <w:t>M</w:t>
            </w:r>
            <w:r>
              <w:rPr>
                <w:rFonts w:ascii="Arial" w:eastAsia="Arial" w:hAnsi="Arial" w:cs="Arial"/>
                <w:b w:val="0"/>
                <w:i w:val="0"/>
                <w:sz w:val="20"/>
              </w:rPr>
              <w:t xml:space="preserve">eeting of shareholders of Enstar Group Limited (the "Company"), on </w:t>
            </w:r>
            <w:r>
              <w:rPr>
                <w:rFonts w:ascii="Arial" w:eastAsia="Arial" w:hAnsi="Arial" w:cs="Arial"/>
                <w:b w:val="0"/>
                <w:i w:val="0"/>
                <w:color w:val="000000"/>
                <w:sz w:val="20"/>
                <w:u w:val="none"/>
              </w:rPr>
              <w:t>Thursday, June 6, 2024</w:t>
            </w:r>
            <w:r>
              <w:rPr>
                <w:rFonts w:ascii="Arial" w:eastAsia="Arial" w:hAnsi="Arial" w:cs="Arial"/>
                <w:b w:val="0"/>
                <w:i w:val="0"/>
                <w:sz w:val="20"/>
              </w:rPr>
              <w:t xml:space="preserve">, at 9:00 a.m., Atlantic time (8:00 a.m. Eastern time). The annual general meeting of shareholders will be held as a virtual meeting only over live webcast, accessible at the following website address: </w:t>
            </w:r>
            <w:r>
              <w:rPr>
                <w:rFonts w:ascii="Arial" w:eastAsia="Arial" w:hAnsi="Arial" w:cs="Arial"/>
                <w:b w:val="0"/>
                <w:i w:val="0"/>
                <w:color w:val="4494D1"/>
                <w:sz w:val="20"/>
                <w:u w:val="none"/>
              </w:rPr>
              <w:t>www.virtualshareholdermeeting.com/ESGR</w:t>
            </w:r>
            <w:r>
              <w:rPr>
                <w:rFonts w:ascii="Arial" w:eastAsia="Arial" w:hAnsi="Arial" w:cs="Arial"/>
                <w:b w:val="0"/>
                <w:i w:val="0"/>
                <w:color w:val="4494D1"/>
                <w:sz w:val="20"/>
                <w:u w:val="none"/>
              </w:rPr>
              <w:t>2024</w:t>
            </w:r>
            <w:r>
              <w:rPr>
                <w:rFonts w:ascii="Arial" w:eastAsia="Arial" w:hAnsi="Arial" w:cs="Arial"/>
                <w:b w:val="0"/>
                <w:i w:val="0"/>
                <w:sz w:val="20"/>
              </w:rPr>
              <w:t xml:space="preserve">. </w:t>
            </w:r>
          </w:p>
          <w:p>
            <w:pPr>
              <w:pageBreakBefore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So long as you were a holder of record of the Company's voting ordinary shares as of the close of business on </w:t>
            </w:r>
            <w:r>
              <w:rPr>
                <w:rFonts w:ascii="Arial" w:eastAsia="Arial" w:hAnsi="Arial" w:cs="Arial"/>
                <w:b w:val="0"/>
                <w:i w:val="0"/>
                <w:color w:val="000000"/>
                <w:sz w:val="20"/>
                <w:u w:val="none"/>
              </w:rPr>
              <w:t>April 8, 2024</w:t>
            </w:r>
            <w:r>
              <w:rPr>
                <w:rFonts w:ascii="Arial" w:eastAsia="Arial" w:hAnsi="Arial" w:cs="Arial"/>
                <w:b w:val="0"/>
                <w:i w:val="0"/>
                <w:sz w:val="20"/>
              </w:rPr>
              <w:t>, you or your proxy holder can attend, submit your questions, and vote your shares electronically at the annual general meeting by visiting the meeting website address and using your control number included in the proxy materials. During the meeting, you will be able to ask questions and will have the opportunity to vote to the same extent as you would at an in-person meeting of shareholders.</w:t>
            </w:r>
          </w:p>
          <w:p>
            <w:pPr>
              <w:pageBreakBefore w:val="0"/>
              <w:numPr>
                <w:ilvl w:val="0"/>
                <w:numId w:val="0"/>
              </w:numPr>
              <w:spacing w:before="120" w:after="6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To ensure that your vote is counted at the meeting, please vote as promptly as possible. Submitting your proxy now will not prevent you from voting your shares at the meeting if you desire to do so, as your vote by proxy is revocable at your option in the manner described in the proxy statement.</w:t>
            </w:r>
          </w:p>
          <w:p>
            <w:pPr>
              <w:pageBreakBefore w:val="0"/>
              <w:numPr>
                <w:ilvl w:val="0"/>
                <w:numId w:val="0"/>
              </w:numPr>
              <w:spacing w:before="18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By Order of the Board of Directors,</w:t>
            </w:r>
          </w:p>
          <w:p>
            <w:pPr>
              <w:pageBreakBefore w:val="0"/>
              <w:numPr>
                <w:ilvl w:val="0"/>
                <w:numId w:val="0"/>
              </w:numPr>
              <w:spacing w:before="0" w:after="120" w:line="300" w:lineRule="auto"/>
              <w:ind w:left="0" w:right="0" w:firstLine="0"/>
              <w:jc w:val="both"/>
              <w:outlineLvl w:val="9"/>
              <w:rPr>
                <w:rFonts w:ascii="Arial" w:eastAsia="Arial" w:hAnsi="Arial" w:cs="Arial"/>
                <w:b w:val="0"/>
                <w:i w:val="0"/>
                <w:sz w:val="20"/>
              </w:rPr>
            </w:pPr>
            <w:r>
              <w:pict>
                <v:shape id="_x0000_s1029" type="#_x0000_t75" style="width:126pt;height:31.1pt;margin-top:0;margin-left:0;mso-position-horizontal:left;position:absolute;z-index:251659264">
                  <v:imagedata r:id="rId12" o:title=""/>
                  <o:lock v:ext="edit" aspectratio="t"/>
                  <w10:wrap type="square"/>
                </v:shape>
              </w:pict>
            </w:r>
          </w:p>
          <w:p>
            <w:pPr>
              <w:pageBreakBefore w:val="0"/>
              <w:numPr>
                <w:ilvl w:val="0"/>
                <w:numId w:val="0"/>
              </w:numPr>
              <w:spacing w:before="0" w:after="0" w:line="288" w:lineRule="auto"/>
              <w:ind w:left="0" w:right="0" w:firstLine="0"/>
              <w:jc w:val="left"/>
              <w:outlineLvl w:val="9"/>
              <w:rPr>
                <w:rFonts w:ascii="Arial" w:eastAsia="Arial" w:hAnsi="Arial" w:cs="Arial"/>
                <w:b/>
                <w:i w:val="0"/>
                <w:color w:val="4494D1"/>
                <w:sz w:val="20"/>
                <w:u w:val="none"/>
              </w:rPr>
            </w:pPr>
            <w:r>
              <w:rPr>
                <w:rFonts w:ascii="Arial" w:eastAsia="Arial" w:hAnsi="Arial" w:cs="Arial"/>
                <w:b/>
                <w:i w:val="0"/>
                <w:color w:val="4494D1"/>
                <w:sz w:val="20"/>
                <w:u w:val="none"/>
              </w:rPr>
              <w:t>Audrey B. Taranto</w:t>
            </w:r>
          </w:p>
          <w:p>
            <w:pPr>
              <w:pageBreakBefore w:val="0"/>
              <w:numPr>
                <w:ilvl w:val="0"/>
                <w:numId w:val="0"/>
              </w:numPr>
              <w:spacing w:before="0" w:after="0" w:line="288" w:lineRule="auto"/>
              <w:ind w:left="0" w:right="0" w:firstLine="0"/>
              <w:jc w:val="left"/>
              <w:outlineLvl w:val="9"/>
              <w:rPr>
                <w:rFonts w:ascii="Arial" w:eastAsia="Arial" w:hAnsi="Arial" w:cs="Arial"/>
                <w:b/>
                <w:i w:val="0"/>
                <w:sz w:val="20"/>
              </w:rPr>
            </w:pPr>
            <w:r>
              <w:rPr>
                <w:rFonts w:ascii="Arial" w:eastAsia="Arial" w:hAnsi="Arial" w:cs="Arial"/>
                <w:b/>
                <w:i w:val="0"/>
                <w:sz w:val="20"/>
              </w:rPr>
              <w:t>General Counsel and Corporate Secretary</w:t>
            </w:r>
          </w:p>
          <w:p>
            <w:pPr>
              <w:pageBreakBefore w:val="0"/>
              <w:numPr>
                <w:ilvl w:val="0"/>
                <w:numId w:val="0"/>
              </w:numPr>
              <w:spacing w:before="0" w:after="0" w:line="288" w:lineRule="auto"/>
              <w:ind w:left="0" w:right="0" w:firstLine="0"/>
              <w:jc w:val="left"/>
              <w:outlineLvl w:val="9"/>
              <w:rPr>
                <w:rFonts w:ascii="Arial" w:eastAsia="Arial" w:hAnsi="Arial" w:cs="Arial"/>
                <w:b w:val="0"/>
                <w:i w:val="0"/>
                <w:sz w:val="20"/>
              </w:rPr>
            </w:pPr>
            <w:r>
              <w:rPr>
                <w:rFonts w:ascii="Arial" w:eastAsia="Arial" w:hAnsi="Arial" w:cs="Arial"/>
                <w:b w:val="0"/>
                <w:i w:val="0"/>
                <w:sz w:val="20"/>
              </w:rPr>
              <w:t>Hamilton, Bermuda</w:t>
            </w:r>
          </w:p>
          <w:p>
            <w:pPr>
              <w:pageBreakBefore w:val="0"/>
              <w:numPr>
                <w:ilvl w:val="0"/>
                <w:numId w:val="0"/>
              </w:numPr>
              <w:spacing w:before="0" w:after="0" w:line="288" w:lineRule="auto"/>
              <w:ind w:left="0" w:right="0" w:firstLine="0"/>
              <w:jc w:val="left"/>
              <w:outlineLvl w:val="9"/>
              <w:rPr>
                <w:rFonts w:ascii="Arial" w:eastAsia="Arial" w:hAnsi="Arial" w:cs="Arial"/>
                <w:b w:val="0"/>
                <w:i w:val="0"/>
                <w:sz w:val="20"/>
              </w:rPr>
            </w:pPr>
            <w:r>
              <w:rPr>
                <w:rFonts w:ascii="Arial" w:eastAsia="Arial" w:hAnsi="Arial" w:cs="Arial"/>
                <w:b w:val="0"/>
                <w:i w:val="0"/>
                <w:color w:val="000000"/>
                <w:sz w:val="20"/>
                <w:u w:val="none"/>
              </w:rPr>
              <w:t>April 26, 2024</w:t>
            </w:r>
          </w:p>
          <w:p>
            <w:pPr>
              <w:pageBreakBefore w:val="0"/>
              <w:numPr>
                <w:ilvl w:val="0"/>
                <w:numId w:val="0"/>
              </w:numPr>
              <w:spacing w:before="240" w:after="0" w:line="312" w:lineRule="auto"/>
              <w:ind w:left="0" w:right="0" w:firstLine="0"/>
              <w:jc w:val="both"/>
              <w:outlineLvl w:val="9"/>
              <w:rPr>
                <w:rFonts w:ascii="Arial" w:eastAsia="Arial" w:hAnsi="Arial" w:cs="Arial"/>
                <w:b/>
                <w:i w:val="0"/>
                <w:sz w:val="20"/>
              </w:rPr>
            </w:pPr>
          </w:p>
          <w:p>
            <w:pPr>
              <w:pageBreakBefore w:val="0"/>
              <w:numPr>
                <w:ilvl w:val="0"/>
                <w:numId w:val="0"/>
              </w:numPr>
              <w:spacing w:before="0" w:after="0" w:line="240" w:lineRule="auto"/>
              <w:ind w:left="0" w:right="0" w:firstLine="0"/>
              <w:jc w:val="both"/>
              <w:outlineLvl w:val="9"/>
              <w:rPr>
                <w:rFonts w:ascii="Arial" w:eastAsia="Arial" w:hAnsi="Arial" w:cs="Arial"/>
                <w:b/>
                <w:i w:val="0"/>
                <w:sz w:val="18"/>
              </w:rPr>
            </w:pPr>
          </w:p>
          <w:p>
            <w:pPr>
              <w:pageBreakBefore w:val="0"/>
              <w:numPr>
                <w:ilvl w:val="0"/>
                <w:numId w:val="0"/>
              </w:numPr>
              <w:spacing w:before="0" w:after="0" w:line="240" w:lineRule="auto"/>
              <w:ind w:left="0" w:right="0" w:firstLine="0"/>
              <w:jc w:val="both"/>
              <w:outlineLvl w:val="9"/>
              <w:rPr>
                <w:rFonts w:ascii="Arial" w:eastAsia="Arial" w:hAnsi="Arial" w:cs="Arial"/>
                <w:b/>
                <w:i w:val="0"/>
                <w:sz w:val="18"/>
              </w:rPr>
            </w:pPr>
          </w:p>
          <w:p>
            <w:pPr>
              <w:pageBreakBefore w:val="0"/>
              <w:numPr>
                <w:ilvl w:val="0"/>
                <w:numId w:val="0"/>
              </w:numPr>
              <w:spacing w:before="0" w:after="0" w:line="240" w:lineRule="auto"/>
              <w:ind w:left="0" w:right="0" w:firstLine="0"/>
              <w:jc w:val="both"/>
              <w:outlineLvl w:val="9"/>
              <w:rPr>
                <w:rFonts w:ascii="Arial" w:eastAsia="Arial" w:hAnsi="Arial" w:cs="Arial"/>
                <w:b/>
                <w:i w:val="0"/>
                <w:sz w:val="18"/>
              </w:rPr>
            </w:pPr>
          </w:p>
          <w:p>
            <w:pPr>
              <w:pageBreakBefore w:val="0"/>
              <w:numPr>
                <w:ilvl w:val="0"/>
                <w:numId w:val="0"/>
              </w:numPr>
              <w:spacing w:before="0" w:after="0" w:line="240" w:lineRule="auto"/>
              <w:ind w:left="0" w:right="0" w:firstLine="0"/>
              <w:jc w:val="both"/>
              <w:outlineLvl w:val="9"/>
              <w:rPr>
                <w:rFonts w:ascii="Arial" w:eastAsia="Arial" w:hAnsi="Arial" w:cs="Arial"/>
                <w:b/>
                <w:i w:val="0"/>
                <w:sz w:val="18"/>
              </w:rPr>
            </w:pPr>
          </w:p>
          <w:p>
            <w:pPr>
              <w:pageBreakBefore w:val="0"/>
              <w:numPr>
                <w:ilvl w:val="0"/>
                <w:numId w:val="0"/>
              </w:numPr>
              <w:spacing w:before="0" w:after="0" w:line="300" w:lineRule="auto"/>
              <w:ind w:left="0" w:right="0" w:firstLine="0"/>
              <w:jc w:val="both"/>
              <w:outlineLvl w:val="9"/>
              <w:rPr>
                <w:rFonts w:ascii="Arial" w:eastAsia="Arial" w:hAnsi="Arial" w:cs="Arial"/>
                <w:b/>
                <w:i w:val="0"/>
                <w:sz w:val="18"/>
              </w:rPr>
            </w:pPr>
          </w:p>
          <w:p>
            <w:pPr>
              <w:pageBreakBefore w:val="0"/>
              <w:numPr>
                <w:ilvl w:val="0"/>
                <w:numId w:val="0"/>
              </w:numPr>
              <w:spacing w:before="180" w:after="30" w:line="300" w:lineRule="auto"/>
              <w:ind w:left="0" w:right="0" w:firstLine="0"/>
              <w:jc w:val="both"/>
              <w:outlineLvl w:val="9"/>
              <w:rPr>
                <w:rFonts w:ascii="Arial" w:eastAsia="Arial" w:hAnsi="Arial" w:cs="Arial"/>
                <w:b/>
                <w:i w:val="0"/>
                <w:sz w:val="18"/>
              </w:rPr>
            </w:pPr>
            <w:r>
              <w:rPr>
                <w:rFonts w:ascii="Arial" w:eastAsia="Arial" w:hAnsi="Arial" w:cs="Arial"/>
                <w:b/>
                <w:i w:val="0"/>
                <w:sz w:val="18"/>
              </w:rPr>
              <w:t xml:space="preserve">Important Notice Regarding the Availability of Proxy Materials for the Annual General Meeting of Shareholders to be held on </w:t>
            </w:r>
            <w:r>
              <w:rPr>
                <w:rFonts w:ascii="Arial" w:eastAsia="Arial" w:hAnsi="Arial" w:cs="Arial"/>
                <w:b/>
                <w:i w:val="0"/>
                <w:color w:val="000000"/>
                <w:sz w:val="18"/>
                <w:u w:val="none"/>
              </w:rPr>
              <w:t>June 6, 2024</w:t>
            </w:r>
            <w:r>
              <w:rPr>
                <w:rFonts w:ascii="Arial" w:eastAsia="Arial" w:hAnsi="Arial" w:cs="Arial"/>
                <w:b/>
                <w:i w:val="0"/>
                <w:sz w:val="18"/>
              </w:rPr>
              <w:t xml:space="preserve">. This notice of meeting, the proxy statement, the proxy card and the annual report to shareholders for the year ended </w:t>
            </w:r>
            <w:r>
              <w:rPr>
                <w:rFonts w:ascii="Arial" w:eastAsia="Arial" w:hAnsi="Arial" w:cs="Arial"/>
                <w:b/>
                <w:i w:val="0"/>
                <w:color w:val="000000"/>
                <w:sz w:val="18"/>
                <w:u w:val="none"/>
              </w:rPr>
              <w:t>December 31, 2023</w:t>
            </w:r>
            <w:r>
              <w:rPr>
                <w:rFonts w:ascii="Arial" w:eastAsia="Arial" w:hAnsi="Arial" w:cs="Arial"/>
                <w:b/>
                <w:i w:val="0"/>
                <w:sz w:val="18"/>
              </w:rPr>
              <w:t xml:space="preserve"> are available electronically at www.proxyvote.com/ESGR.</w:t>
            </w:r>
          </w:p>
        </w:tc>
        <w:tc>
          <w:tcPr>
            <w:tcW w:w="240" w:type="dxa"/>
            <w:vMerge w:val="restart"/>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20" w:type="dxa"/>
            <w:tcBorders>
              <w:top w:val="single" w:sz="12" w:space="0" w:color="4494D1"/>
              <w:left w:val="single" w:sz="12" w:space="0" w:color="4494D1"/>
              <w:bottom w:val="nil"/>
              <w:right w:val="single" w:sz="12" w:space="0" w:color="4494D1"/>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Wingdings" w:eastAsia="Wingdings" w:hAnsi="Wingdings" w:cs="Wingdings"/>
                <w:b w:val="0"/>
                <w:i w:val="0"/>
                <w:color w:val="4494D1"/>
                <w:sz w:val="28"/>
                <w:u w:val="none"/>
              </w:rPr>
            </w:pPr>
          </w:p>
          <w:p>
            <w:pPr>
              <w:pageBreakBefore w:val="0"/>
              <w:numPr>
                <w:ilvl w:val="0"/>
                <w:numId w:val="0"/>
              </w:numPr>
              <w:spacing w:before="0" w:after="0" w:line="240" w:lineRule="auto"/>
              <w:ind w:left="0" w:right="0" w:hanging="90"/>
              <w:jc w:val="left"/>
              <w:outlineLvl w:val="9"/>
              <w:rPr>
                <w:rFonts w:ascii="Wingdings" w:eastAsia="Wingdings" w:hAnsi="Wingdings" w:cs="Wingdings"/>
                <w:b w:val="0"/>
                <w:i w:val="0"/>
                <w:color w:val="4494D1"/>
                <w:sz w:val="90"/>
                <w:u w:val="none"/>
              </w:rPr>
            </w:pPr>
            <w:r>
              <w:pict>
                <v:shape id="_x0000_s1030" type="#_x0000_t75" style="width:45pt;height:45pt;margin-top:0;margin-left:0;mso-position-horizontal:left;position:absolute;z-index:251660288">
                  <v:imagedata r:id="rId13" o:title=""/>
                  <o:lock v:ext="edit" aspectratio="t"/>
                  <w10:wrap type="square"/>
                </v:shape>
              </w:pict>
            </w:r>
          </w:p>
        </w:tc>
      </w:tr>
      <w:tr>
        <w:tblPrEx>
          <w:tblW w:w="10800" w:type="dxa"/>
          <w:tblInd w:w="0" w:type="dxa"/>
          <w:tblLayout w:type="fixed"/>
          <w:tblCellMar>
            <w:left w:w="108" w:type="dxa"/>
            <w:right w:w="108" w:type="dxa"/>
          </w:tblCellMar>
        </w:tblPrEx>
        <w:trPr>
          <w:cantSplit/>
          <w:trHeight w:hRule="exact" w:val="135"/>
        </w:trPr>
        <w:tc>
          <w:tcPr>
            <w:tcW w:w="5340" w:type="dxa"/>
            <w:vMerge/>
            <w:tcBorders>
              <w:top w:val="nil"/>
              <w:left w:val="nil"/>
              <w:bottom w:val="nil"/>
              <w:right w:val="nil"/>
            </w:tcBorders>
          </w:tcPr>
          <w:p>
            <w:pPr>
              <w:keepNext/>
              <w:pageBreakBefore w:val="0"/>
            </w:pPr>
          </w:p>
        </w:tc>
        <w:tc>
          <w:tcPr>
            <w:tcW w:w="240" w:type="dxa"/>
            <w:vMerge/>
            <w:tcBorders>
              <w:top w:val="nil"/>
              <w:left w:val="nil"/>
              <w:bottom w:val="nil"/>
              <w:right w:val="nil"/>
            </w:tcBorders>
          </w:tcPr>
          <w:p>
            <w:pPr>
              <w:keepNext/>
              <w:pageBreakBefore w:val="0"/>
            </w:pPr>
          </w:p>
        </w:tc>
        <w:tc>
          <w:tcPr>
            <w:tcW w:w="5220" w:type="dxa"/>
            <w:tcBorders>
              <w:top w:val="nil"/>
              <w:left w:val="single" w:sz="12" w:space="0" w:color="4494D1"/>
              <w:bottom w:val="nil"/>
              <w:right w:val="single" w:sz="12" w:space="0" w:color="4494D1"/>
            </w:tcBorders>
            <w:shd w:val="clear" w:color="auto" w:fill="FFFFFF"/>
            <w:tcMar>
              <w:top w:w="0" w:type="dxa"/>
              <w:left w:w="0" w:type="dxa"/>
              <w:bottom w:w="0" w:type="dxa"/>
              <w:right w:w="0" w:type="dxa"/>
            </w:tcMar>
            <w:vAlign w:val="bottom"/>
          </w:tcPr>
          <w:p>
            <w:pPr>
              <w:keepNext/>
              <w:pageBreakBefore w:val="0"/>
              <w:spacing w:before="0" w:after="0"/>
            </w:pPr>
          </w:p>
        </w:tc>
      </w:tr>
      <w:tr>
        <w:tblPrEx>
          <w:tblW w:w="10800" w:type="dxa"/>
          <w:tblInd w:w="0" w:type="dxa"/>
          <w:tblLayout w:type="fixed"/>
          <w:tblCellMar>
            <w:left w:w="108" w:type="dxa"/>
            <w:right w:w="108" w:type="dxa"/>
          </w:tblCellMar>
        </w:tblPrEx>
        <w:trPr>
          <w:cantSplit/>
          <w:trHeight w:hRule="exact" w:val="360"/>
        </w:trPr>
        <w:tc>
          <w:tcPr>
            <w:tcW w:w="5340" w:type="dxa"/>
            <w:vMerge/>
            <w:tcBorders>
              <w:top w:val="nil"/>
              <w:left w:val="nil"/>
              <w:bottom w:val="nil"/>
              <w:right w:val="nil"/>
            </w:tcBorders>
          </w:tcPr>
          <w:p>
            <w:pPr>
              <w:keepNext/>
              <w:pageBreakBefore w:val="0"/>
            </w:pPr>
          </w:p>
        </w:tc>
        <w:tc>
          <w:tcPr>
            <w:tcW w:w="240" w:type="dxa"/>
            <w:vMerge/>
            <w:tcBorders>
              <w:top w:val="nil"/>
              <w:left w:val="nil"/>
              <w:bottom w:val="nil"/>
              <w:right w:val="nil"/>
            </w:tcBorders>
          </w:tcPr>
          <w:p>
            <w:pPr>
              <w:keepNext/>
              <w:pageBreakBefore w:val="0"/>
            </w:pPr>
          </w:p>
        </w:tc>
        <w:tc>
          <w:tcPr>
            <w:tcW w:w="5220" w:type="dxa"/>
            <w:tcBorders>
              <w:top w:val="nil"/>
              <w:left w:val="single" w:sz="12" w:space="0" w:color="4494D1"/>
              <w:bottom w:val="nil"/>
              <w:right w:val="single" w:sz="12" w:space="0" w:color="4494D1"/>
            </w:tcBorders>
            <w:shd w:val="clear" w:color="auto" w:fill="FFFFFF"/>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i w:val="0"/>
                <w:color w:val="000000"/>
                <w:sz w:val="20"/>
                <w:u w:val="none"/>
              </w:rPr>
              <w:t xml:space="preserve"> Time and Date</w:t>
            </w:r>
          </w:p>
        </w:tc>
      </w:tr>
      <w:tr>
        <w:tblPrEx>
          <w:tblW w:w="10800" w:type="dxa"/>
          <w:tblInd w:w="0" w:type="dxa"/>
          <w:tblLayout w:type="fixed"/>
          <w:tblCellMar>
            <w:left w:w="108" w:type="dxa"/>
            <w:right w:w="108" w:type="dxa"/>
          </w:tblCellMar>
        </w:tblPrEx>
        <w:trPr>
          <w:cantSplit/>
          <w:trHeight w:hRule="exact" w:val="705"/>
        </w:trPr>
        <w:tc>
          <w:tcPr>
            <w:tcW w:w="5340" w:type="dxa"/>
            <w:vMerge/>
            <w:tcBorders>
              <w:top w:val="nil"/>
              <w:left w:val="nil"/>
              <w:bottom w:val="nil"/>
              <w:right w:val="nil"/>
            </w:tcBorders>
          </w:tcPr>
          <w:p>
            <w:pPr>
              <w:keepNext/>
              <w:pageBreakBefore w:val="0"/>
            </w:pPr>
          </w:p>
        </w:tc>
        <w:tc>
          <w:tcPr>
            <w:tcW w:w="240" w:type="dxa"/>
            <w:vMerge/>
            <w:tcBorders>
              <w:top w:val="nil"/>
              <w:left w:val="nil"/>
              <w:bottom w:val="nil"/>
              <w:right w:val="nil"/>
            </w:tcBorders>
          </w:tcPr>
          <w:p>
            <w:pPr>
              <w:keepNext/>
              <w:pageBreakBefore w:val="0"/>
            </w:pPr>
          </w:p>
        </w:tc>
        <w:tc>
          <w:tcPr>
            <w:tcW w:w="5220" w:type="dxa"/>
            <w:tcBorders>
              <w:top w:val="nil"/>
              <w:left w:val="single" w:sz="12" w:space="0" w:color="4494D1"/>
              <w:bottom w:val="single" w:sz="12" w:space="0" w:color="4494D1"/>
              <w:right w:val="single" w:sz="12" w:space="0" w:color="4494D1"/>
            </w:tcBorders>
            <w:shd w:val="clear" w:color="auto" w:fill="FFFFFF"/>
            <w:tcMar>
              <w:top w:w="0" w:type="dxa"/>
              <w:left w:w="53" w:type="dxa"/>
              <w:bottom w:w="0" w:type="dxa"/>
              <w:right w:w="53" w:type="dxa"/>
            </w:tcMar>
            <w:vAlign w:val="top"/>
          </w:tcPr>
          <w:p>
            <w:pPr>
              <w:keepNext/>
              <w:pageBreakBefore w:val="0"/>
              <w:numPr>
                <w:ilvl w:val="0"/>
                <w:numId w:val="0"/>
              </w:numPr>
              <w:spacing w:before="53" w:after="0" w:line="240" w:lineRule="auto"/>
              <w:ind w:left="0" w:right="0" w:firstLine="0"/>
              <w:jc w:val="left"/>
              <w:outlineLvl w:val="9"/>
              <w:rPr>
                <w:rFonts w:ascii="Wingdings" w:eastAsia="Wingdings" w:hAnsi="Wingdings" w:cs="Wingdings"/>
                <w:b w:val="0"/>
                <w:i w:val="0"/>
                <w:color w:val="4494D1"/>
                <w:sz w:val="20"/>
                <w:u w:val="none"/>
              </w:rPr>
            </w:pPr>
            <w:r>
              <w:rPr>
                <w:rFonts w:ascii="Arial" w:eastAsia="Arial" w:hAnsi="Arial" w:cs="Arial"/>
                <w:b w:val="0"/>
                <w:i w:val="0"/>
                <w:color w:val="4494D1"/>
                <w:sz w:val="20"/>
                <w:u w:val="none"/>
              </w:rPr>
              <w:t xml:space="preserve"> </w:t>
            </w:r>
            <w:r>
              <w:rPr>
                <w:rFonts w:ascii="Arial" w:eastAsia="Arial" w:hAnsi="Arial" w:cs="Arial"/>
                <w:b w:val="0"/>
                <w:i w:val="0"/>
                <w:sz w:val="20"/>
              </w:rPr>
              <w:t>9:00 a.m. Atlantic time (8:00 a.m. Eastern time), on</w:t>
            </w:r>
          </w:p>
          <w:p>
            <w:pPr>
              <w:pageBreakBefore w:val="0"/>
              <w:numPr>
                <w:ilvl w:val="0"/>
                <w:numId w:val="0"/>
              </w:numPr>
              <w:spacing w:before="0" w:after="30" w:line="288" w:lineRule="auto"/>
              <w:ind w:left="0" w:right="0" w:firstLine="0"/>
              <w:jc w:val="left"/>
              <w:outlineLvl w:val="9"/>
              <w:rPr>
                <w:rFonts w:ascii="Wingdings" w:eastAsia="Wingdings" w:hAnsi="Wingdings" w:cs="Wingdings"/>
                <w:b w:val="0"/>
                <w:i w:val="0"/>
                <w:sz w:val="20"/>
              </w:rPr>
            </w:pPr>
            <w:r>
              <w:rPr>
                <w:rFonts w:ascii="Arial" w:eastAsia="Arial" w:hAnsi="Arial" w:cs="Arial"/>
                <w:b w:val="0"/>
                <w:i w:val="0"/>
                <w:sz w:val="20"/>
              </w:rPr>
              <w:t xml:space="preserve"> </w:t>
            </w:r>
            <w:r>
              <w:rPr>
                <w:rFonts w:ascii="Arial" w:eastAsia="Arial" w:hAnsi="Arial" w:cs="Arial"/>
                <w:b w:val="0"/>
                <w:i w:val="0"/>
                <w:color w:val="000000"/>
                <w:sz w:val="20"/>
                <w:u w:val="none"/>
              </w:rPr>
              <w:t>Thursday, June 6, 2024</w:t>
            </w:r>
          </w:p>
        </w:tc>
      </w:tr>
      <w:tr>
        <w:tblPrEx>
          <w:tblW w:w="10800" w:type="dxa"/>
          <w:tblInd w:w="0" w:type="dxa"/>
          <w:tblLayout w:type="fixed"/>
          <w:tblCellMar>
            <w:left w:w="108" w:type="dxa"/>
            <w:right w:w="108" w:type="dxa"/>
          </w:tblCellMar>
        </w:tblPrEx>
        <w:trPr>
          <w:cantSplit/>
          <w:trHeight w:hRule="exact" w:val="105"/>
        </w:trPr>
        <w:tc>
          <w:tcPr>
            <w:tcW w:w="5340" w:type="dxa"/>
            <w:vMerge/>
            <w:tcBorders>
              <w:top w:val="nil"/>
              <w:left w:val="nil"/>
              <w:bottom w:val="nil"/>
              <w:right w:val="nil"/>
            </w:tcBorders>
          </w:tcPr>
          <w:p>
            <w:pPr>
              <w:keepNext/>
              <w:pageBreakBefore w:val="0"/>
            </w:pPr>
          </w:p>
        </w:tc>
        <w:tc>
          <w:tcPr>
            <w:tcW w:w="240" w:type="dxa"/>
            <w:vMerge/>
            <w:tcBorders>
              <w:top w:val="nil"/>
              <w:left w:val="nil"/>
              <w:bottom w:val="nil"/>
              <w:right w:val="nil"/>
            </w:tcBorders>
          </w:tcPr>
          <w:p>
            <w:pPr>
              <w:keepNext/>
              <w:pageBreakBefore w:val="0"/>
            </w:pPr>
          </w:p>
        </w:tc>
        <w:tc>
          <w:tcPr>
            <w:tcW w:w="5220" w:type="dxa"/>
            <w:tcBorders>
              <w:top w:val="single" w:sz="12" w:space="0" w:color="4494D1"/>
              <w:left w:val="nil"/>
              <w:bottom w:val="single" w:sz="12" w:space="0" w:color="4494D1"/>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10800" w:type="dxa"/>
          <w:tblInd w:w="0" w:type="dxa"/>
          <w:tblLayout w:type="fixed"/>
          <w:tblCellMar>
            <w:left w:w="108" w:type="dxa"/>
            <w:right w:w="108" w:type="dxa"/>
          </w:tblCellMar>
        </w:tblPrEx>
        <w:trPr>
          <w:cantSplit/>
          <w:trHeight w:hRule="exact" w:val="975"/>
        </w:trPr>
        <w:tc>
          <w:tcPr>
            <w:tcW w:w="5340" w:type="dxa"/>
            <w:vMerge/>
            <w:tcBorders>
              <w:top w:val="nil"/>
              <w:left w:val="nil"/>
              <w:bottom w:val="nil"/>
              <w:right w:val="nil"/>
            </w:tcBorders>
          </w:tcPr>
          <w:p>
            <w:pPr>
              <w:keepNext/>
              <w:pageBreakBefore w:val="0"/>
            </w:pPr>
          </w:p>
        </w:tc>
        <w:tc>
          <w:tcPr>
            <w:tcW w:w="240" w:type="dxa"/>
            <w:vMerge/>
            <w:tcBorders>
              <w:top w:val="nil"/>
              <w:left w:val="nil"/>
              <w:bottom w:val="nil"/>
              <w:right w:val="nil"/>
            </w:tcBorders>
          </w:tcPr>
          <w:p>
            <w:pPr>
              <w:keepNext/>
              <w:pageBreakBefore w:val="0"/>
            </w:pPr>
          </w:p>
        </w:tc>
        <w:tc>
          <w:tcPr>
            <w:tcW w:w="5220" w:type="dxa"/>
            <w:tcBorders>
              <w:top w:val="single" w:sz="12" w:space="0" w:color="4494D1"/>
              <w:left w:val="single" w:sz="12" w:space="0" w:color="4494D1"/>
              <w:bottom w:val="nil"/>
              <w:right w:val="single" w:sz="12" w:space="0" w:color="4494D1"/>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Wingdings" w:eastAsia="Wingdings" w:hAnsi="Wingdings" w:cs="Wingdings"/>
                <w:b w:val="0"/>
                <w:i w:val="0"/>
                <w:color w:val="4494D1"/>
                <w:sz w:val="90"/>
                <w:u w:val="none"/>
              </w:rPr>
            </w:pPr>
            <w:r>
              <w:rPr>
                <w:rFonts w:ascii="Wingdings" w:eastAsia="Wingdings" w:hAnsi="Wingdings" w:cs="Wingdings"/>
                <w:b w:val="0"/>
                <w:i w:val="0"/>
                <w:color w:val="4494D1"/>
                <w:sz w:val="4"/>
                <w:u w:val="none"/>
              </w:rPr>
              <w:t xml:space="preserve"> </w:t>
            </w:r>
            <w:r>
              <w:pict>
                <v:shape id="_x0000_i1031" type="#_x0000_t75" style="width:41.25pt;height:41.25pt">
                  <v:imagedata r:id="rId14" o:title=""/>
                  <o:lock v:ext="edit" aspectratio="t"/>
                </v:shape>
              </w:pict>
            </w:r>
          </w:p>
        </w:tc>
      </w:tr>
      <w:tr>
        <w:tblPrEx>
          <w:tblW w:w="10800" w:type="dxa"/>
          <w:tblInd w:w="0" w:type="dxa"/>
          <w:tblLayout w:type="fixed"/>
          <w:tblCellMar>
            <w:left w:w="108" w:type="dxa"/>
            <w:right w:w="108" w:type="dxa"/>
          </w:tblCellMar>
        </w:tblPrEx>
        <w:trPr>
          <w:cantSplit/>
          <w:trHeight w:hRule="exact" w:val="135"/>
        </w:trPr>
        <w:tc>
          <w:tcPr>
            <w:tcW w:w="5340" w:type="dxa"/>
            <w:vMerge/>
            <w:tcBorders>
              <w:top w:val="nil"/>
              <w:left w:val="nil"/>
              <w:bottom w:val="nil"/>
              <w:right w:val="nil"/>
            </w:tcBorders>
          </w:tcPr>
          <w:p>
            <w:pPr>
              <w:keepNext/>
              <w:pageBreakBefore w:val="0"/>
            </w:pPr>
          </w:p>
        </w:tc>
        <w:tc>
          <w:tcPr>
            <w:tcW w:w="240" w:type="dxa"/>
            <w:vMerge/>
            <w:tcBorders>
              <w:top w:val="nil"/>
              <w:left w:val="nil"/>
              <w:bottom w:val="nil"/>
              <w:right w:val="nil"/>
            </w:tcBorders>
          </w:tcPr>
          <w:p>
            <w:pPr>
              <w:keepNext/>
              <w:pageBreakBefore w:val="0"/>
            </w:pPr>
          </w:p>
        </w:tc>
        <w:tc>
          <w:tcPr>
            <w:tcW w:w="5220" w:type="dxa"/>
            <w:tcBorders>
              <w:top w:val="nil"/>
              <w:left w:val="single" w:sz="12" w:space="0" w:color="4494D1"/>
              <w:bottom w:val="nil"/>
              <w:right w:val="single" w:sz="12" w:space="0" w:color="4494D1"/>
            </w:tcBorders>
            <w:tcMar>
              <w:top w:w="0" w:type="dxa"/>
              <w:left w:w="0" w:type="dxa"/>
              <w:bottom w:w="0" w:type="dxa"/>
              <w:right w:w="0" w:type="dxa"/>
            </w:tcMar>
            <w:vAlign w:val="bottom"/>
          </w:tcPr>
          <w:p>
            <w:pPr>
              <w:keepNext/>
              <w:pageBreakBefore w:val="0"/>
              <w:spacing w:before="0" w:after="0"/>
            </w:pPr>
          </w:p>
        </w:tc>
      </w:tr>
      <w:tr>
        <w:tblPrEx>
          <w:tblW w:w="10800" w:type="dxa"/>
          <w:tblInd w:w="0" w:type="dxa"/>
          <w:tblLayout w:type="fixed"/>
          <w:tblCellMar>
            <w:left w:w="108" w:type="dxa"/>
            <w:right w:w="108" w:type="dxa"/>
          </w:tblCellMar>
        </w:tblPrEx>
        <w:trPr>
          <w:cantSplit/>
          <w:trHeight w:hRule="exact" w:val="360"/>
        </w:trPr>
        <w:tc>
          <w:tcPr>
            <w:tcW w:w="5340" w:type="dxa"/>
            <w:vMerge/>
            <w:tcBorders>
              <w:top w:val="nil"/>
              <w:left w:val="nil"/>
              <w:bottom w:val="nil"/>
              <w:right w:val="nil"/>
            </w:tcBorders>
          </w:tcPr>
          <w:p>
            <w:pPr>
              <w:keepNext/>
              <w:pageBreakBefore w:val="0"/>
            </w:pPr>
          </w:p>
        </w:tc>
        <w:tc>
          <w:tcPr>
            <w:tcW w:w="240" w:type="dxa"/>
            <w:vMerge/>
            <w:tcBorders>
              <w:top w:val="nil"/>
              <w:left w:val="nil"/>
              <w:bottom w:val="nil"/>
              <w:right w:val="nil"/>
            </w:tcBorders>
          </w:tcPr>
          <w:p>
            <w:pPr>
              <w:keepNext/>
              <w:pageBreakBefore w:val="0"/>
            </w:pPr>
          </w:p>
        </w:tc>
        <w:tc>
          <w:tcPr>
            <w:tcW w:w="5220" w:type="dxa"/>
            <w:tcBorders>
              <w:top w:val="nil"/>
              <w:left w:val="single" w:sz="12" w:space="0" w:color="4494D1"/>
              <w:bottom w:val="nil"/>
              <w:right w:val="single" w:sz="12" w:space="0" w:color="4494D1"/>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i w:val="0"/>
                <w:color w:val="000000"/>
                <w:sz w:val="20"/>
                <w:u w:val="none"/>
              </w:rPr>
              <w:t xml:space="preserve"> Meeting Website Address</w:t>
            </w:r>
          </w:p>
        </w:tc>
      </w:tr>
      <w:tr>
        <w:tblPrEx>
          <w:tblW w:w="10800" w:type="dxa"/>
          <w:tblInd w:w="0" w:type="dxa"/>
          <w:tblLayout w:type="fixed"/>
          <w:tblCellMar>
            <w:left w:w="108" w:type="dxa"/>
            <w:right w:w="108" w:type="dxa"/>
          </w:tblCellMar>
        </w:tblPrEx>
        <w:trPr>
          <w:cantSplit/>
          <w:trHeight w:hRule="exact" w:val="480"/>
        </w:trPr>
        <w:tc>
          <w:tcPr>
            <w:tcW w:w="5340" w:type="dxa"/>
            <w:vMerge/>
            <w:tcBorders>
              <w:top w:val="nil"/>
              <w:left w:val="nil"/>
              <w:bottom w:val="nil"/>
              <w:right w:val="nil"/>
            </w:tcBorders>
          </w:tcPr>
          <w:p>
            <w:pPr>
              <w:keepNext/>
              <w:pageBreakBefore w:val="0"/>
            </w:pPr>
          </w:p>
        </w:tc>
        <w:tc>
          <w:tcPr>
            <w:tcW w:w="240" w:type="dxa"/>
            <w:vMerge/>
            <w:tcBorders>
              <w:top w:val="nil"/>
              <w:left w:val="nil"/>
              <w:bottom w:val="nil"/>
              <w:right w:val="nil"/>
            </w:tcBorders>
          </w:tcPr>
          <w:p>
            <w:pPr>
              <w:keepNext/>
              <w:pageBreakBefore w:val="0"/>
            </w:pPr>
          </w:p>
        </w:tc>
        <w:tc>
          <w:tcPr>
            <w:tcW w:w="5220" w:type="dxa"/>
            <w:tcBorders>
              <w:top w:val="nil"/>
              <w:left w:val="single" w:sz="12" w:space="0" w:color="4494D1"/>
              <w:bottom w:val="single" w:sz="12" w:space="0" w:color="4494D1"/>
              <w:right w:val="single" w:sz="12" w:space="0" w:color="4494D1"/>
            </w:tcBorders>
            <w:tcMar>
              <w:top w:w="0" w:type="dxa"/>
              <w:left w:w="53" w:type="dxa"/>
              <w:bottom w:w="0" w:type="dxa"/>
              <w:right w:w="53" w:type="dxa"/>
            </w:tcMar>
            <w:vAlign w:val="top"/>
          </w:tcPr>
          <w:p>
            <w:pPr>
              <w:keepNext/>
              <w:pageBreakBefore w:val="0"/>
              <w:numPr>
                <w:ilvl w:val="0"/>
                <w:numId w:val="0"/>
              </w:numPr>
              <w:spacing w:before="53" w:after="30" w:line="288" w:lineRule="auto"/>
              <w:ind w:left="0" w:right="0" w:firstLine="0"/>
              <w:jc w:val="left"/>
              <w:outlineLvl w:val="9"/>
              <w:rPr>
                <w:rFonts w:ascii="Wingdings" w:eastAsia="Wingdings" w:hAnsi="Wingdings" w:cs="Wingdings"/>
                <w:b w:val="0"/>
                <w:i w:val="0"/>
                <w:sz w:val="20"/>
              </w:rPr>
            </w:pPr>
            <w:r>
              <w:rPr>
                <w:rFonts w:ascii="Arial" w:eastAsia="Arial" w:hAnsi="Arial" w:cs="Arial"/>
                <w:b w:val="0"/>
                <w:i w:val="0"/>
                <w:sz w:val="20"/>
              </w:rPr>
              <w:t xml:space="preserve"> www.virtualshareholdermeeting.com/ESGR</w:t>
            </w:r>
            <w:r>
              <w:rPr>
                <w:rFonts w:ascii="Arial" w:eastAsia="Arial" w:hAnsi="Arial" w:cs="Arial"/>
                <w:b w:val="0"/>
                <w:i w:val="0"/>
                <w:color w:val="000000"/>
                <w:sz w:val="20"/>
                <w:u w:val="none"/>
              </w:rPr>
              <w:t>2024</w:t>
            </w:r>
          </w:p>
        </w:tc>
      </w:tr>
      <w:tr>
        <w:tblPrEx>
          <w:tblW w:w="10800" w:type="dxa"/>
          <w:tblInd w:w="0" w:type="dxa"/>
          <w:tblLayout w:type="fixed"/>
          <w:tblCellMar>
            <w:left w:w="108" w:type="dxa"/>
            <w:right w:w="108" w:type="dxa"/>
          </w:tblCellMar>
        </w:tblPrEx>
        <w:trPr>
          <w:cantSplit/>
          <w:trHeight w:hRule="exact" w:val="105"/>
        </w:trPr>
        <w:tc>
          <w:tcPr>
            <w:tcW w:w="5340" w:type="dxa"/>
            <w:vMerge/>
            <w:tcBorders>
              <w:top w:val="nil"/>
              <w:left w:val="nil"/>
              <w:bottom w:val="nil"/>
              <w:right w:val="nil"/>
            </w:tcBorders>
          </w:tcPr>
          <w:p>
            <w:pPr>
              <w:keepNext/>
              <w:pageBreakBefore w:val="0"/>
            </w:pPr>
          </w:p>
        </w:tc>
        <w:tc>
          <w:tcPr>
            <w:tcW w:w="240" w:type="dxa"/>
            <w:vMerge/>
            <w:tcBorders>
              <w:top w:val="nil"/>
              <w:left w:val="nil"/>
              <w:bottom w:val="nil"/>
              <w:right w:val="nil"/>
            </w:tcBorders>
          </w:tcPr>
          <w:p>
            <w:pPr>
              <w:keepNext/>
              <w:pageBreakBefore w:val="0"/>
            </w:pPr>
          </w:p>
        </w:tc>
        <w:tc>
          <w:tcPr>
            <w:tcW w:w="5220" w:type="dxa"/>
            <w:tcBorders>
              <w:top w:val="single" w:sz="12" w:space="0" w:color="4494D1"/>
              <w:left w:val="nil"/>
              <w:bottom w:val="single" w:sz="12" w:space="0" w:color="4494D1"/>
              <w:right w:val="nil"/>
            </w:tcBorders>
            <w:tcMar>
              <w:top w:w="0" w:type="dxa"/>
              <w:left w:w="0" w:type="dxa"/>
              <w:bottom w:w="0" w:type="dxa"/>
              <w:right w:w="0" w:type="dxa"/>
            </w:tcMar>
            <w:vAlign w:val="bottom"/>
          </w:tcPr>
          <w:p>
            <w:pPr>
              <w:keepNext/>
              <w:pageBreakBefore w:val="0"/>
              <w:spacing w:before="0" w:after="0"/>
            </w:pPr>
          </w:p>
        </w:tc>
      </w:tr>
      <w:tr>
        <w:tblPrEx>
          <w:tblW w:w="10800" w:type="dxa"/>
          <w:tblInd w:w="0" w:type="dxa"/>
          <w:tblLayout w:type="fixed"/>
          <w:tblCellMar>
            <w:left w:w="108" w:type="dxa"/>
            <w:right w:w="108" w:type="dxa"/>
          </w:tblCellMar>
        </w:tblPrEx>
        <w:trPr>
          <w:cantSplit/>
          <w:trHeight w:hRule="exact" w:val="975"/>
        </w:trPr>
        <w:tc>
          <w:tcPr>
            <w:tcW w:w="5340" w:type="dxa"/>
            <w:vMerge/>
            <w:tcBorders>
              <w:top w:val="nil"/>
              <w:left w:val="nil"/>
              <w:bottom w:val="nil"/>
              <w:right w:val="nil"/>
            </w:tcBorders>
          </w:tcPr>
          <w:p>
            <w:pPr>
              <w:keepNext/>
              <w:pageBreakBefore w:val="0"/>
            </w:pPr>
          </w:p>
        </w:tc>
        <w:tc>
          <w:tcPr>
            <w:tcW w:w="240" w:type="dxa"/>
            <w:vMerge/>
            <w:tcBorders>
              <w:top w:val="nil"/>
              <w:left w:val="nil"/>
              <w:bottom w:val="nil"/>
              <w:right w:val="nil"/>
            </w:tcBorders>
          </w:tcPr>
          <w:p>
            <w:pPr>
              <w:keepNext/>
              <w:pageBreakBefore w:val="0"/>
            </w:pPr>
          </w:p>
        </w:tc>
        <w:tc>
          <w:tcPr>
            <w:tcW w:w="5220" w:type="dxa"/>
            <w:tcBorders>
              <w:top w:val="single" w:sz="12" w:space="0" w:color="4494D1"/>
              <w:left w:val="single" w:sz="12" w:space="0" w:color="4494D1"/>
              <w:bottom w:val="nil"/>
              <w:right w:val="single" w:sz="12" w:space="0" w:color="4494D1"/>
            </w:tcBorders>
            <w:tcMar>
              <w:top w:w="0" w:type="dxa"/>
              <w:left w:w="53" w:type="dxa"/>
              <w:bottom w:w="0" w:type="dxa"/>
              <w:right w:w="53" w:type="dxa"/>
            </w:tcMar>
            <w:vAlign w:val="top"/>
          </w:tcPr>
          <w:p>
            <w:pPr>
              <w:keepNext/>
              <w:pageBreakBefore w:val="0"/>
              <w:numPr>
                <w:ilvl w:val="0"/>
                <w:numId w:val="0"/>
              </w:numPr>
              <w:spacing w:before="23" w:after="30" w:line="240" w:lineRule="auto"/>
              <w:ind w:left="0" w:right="0" w:hanging="90"/>
              <w:jc w:val="left"/>
              <w:outlineLvl w:val="9"/>
              <w:rPr>
                <w:rFonts w:ascii="Wingdings 2" w:eastAsia="Wingdings 2" w:hAnsi="Wingdings 2" w:cs="Wingdings 2"/>
                <w:b w:val="0"/>
                <w:i w:val="0"/>
                <w:color w:val="4494D1"/>
                <w:sz w:val="90"/>
                <w:u w:val="none"/>
              </w:rPr>
            </w:pPr>
            <w:r>
              <w:pict>
                <v:shape id="_x0000_s1032" type="#_x0000_t75" style="width:41.25pt;height:41.25pt;margin-top:0;margin-left:0;mso-position-horizontal:left;position:absolute;z-index:251661312">
                  <v:imagedata r:id="rId15" o:title=""/>
                  <o:lock v:ext="edit" aspectratio="t"/>
                  <w10:wrap type="square"/>
                </v:shape>
              </w:pict>
            </w:r>
          </w:p>
        </w:tc>
      </w:tr>
      <w:tr>
        <w:tblPrEx>
          <w:tblW w:w="10800" w:type="dxa"/>
          <w:tblInd w:w="0" w:type="dxa"/>
          <w:tblLayout w:type="fixed"/>
          <w:tblCellMar>
            <w:left w:w="108" w:type="dxa"/>
            <w:right w:w="108" w:type="dxa"/>
          </w:tblCellMar>
        </w:tblPrEx>
        <w:trPr>
          <w:cantSplit/>
          <w:trHeight w:hRule="exact" w:val="135"/>
        </w:trPr>
        <w:tc>
          <w:tcPr>
            <w:tcW w:w="5340" w:type="dxa"/>
            <w:vMerge/>
            <w:tcBorders>
              <w:top w:val="nil"/>
              <w:left w:val="nil"/>
              <w:bottom w:val="nil"/>
              <w:right w:val="nil"/>
            </w:tcBorders>
          </w:tcPr>
          <w:p>
            <w:pPr>
              <w:keepNext/>
              <w:pageBreakBefore w:val="0"/>
            </w:pPr>
          </w:p>
        </w:tc>
        <w:tc>
          <w:tcPr>
            <w:tcW w:w="240" w:type="dxa"/>
            <w:vMerge/>
            <w:tcBorders>
              <w:top w:val="nil"/>
              <w:left w:val="nil"/>
              <w:bottom w:val="nil"/>
              <w:right w:val="nil"/>
            </w:tcBorders>
          </w:tcPr>
          <w:p>
            <w:pPr>
              <w:keepNext/>
              <w:pageBreakBefore w:val="0"/>
            </w:pPr>
          </w:p>
        </w:tc>
        <w:tc>
          <w:tcPr>
            <w:tcW w:w="5220" w:type="dxa"/>
            <w:tcBorders>
              <w:top w:val="nil"/>
              <w:left w:val="single" w:sz="12" w:space="0" w:color="4494D1"/>
              <w:bottom w:val="nil"/>
              <w:right w:val="single" w:sz="12" w:space="0" w:color="4494D1"/>
            </w:tcBorders>
            <w:tcMar>
              <w:top w:w="0" w:type="dxa"/>
              <w:left w:w="0" w:type="dxa"/>
              <w:bottom w:w="0" w:type="dxa"/>
              <w:right w:w="0" w:type="dxa"/>
            </w:tcMar>
            <w:vAlign w:val="bottom"/>
          </w:tcPr>
          <w:p>
            <w:pPr>
              <w:keepNext/>
              <w:pageBreakBefore w:val="0"/>
              <w:spacing w:before="0" w:after="0"/>
            </w:pPr>
          </w:p>
        </w:tc>
      </w:tr>
      <w:tr>
        <w:tblPrEx>
          <w:tblW w:w="10800" w:type="dxa"/>
          <w:tblInd w:w="0" w:type="dxa"/>
          <w:tblLayout w:type="fixed"/>
          <w:tblCellMar>
            <w:left w:w="108" w:type="dxa"/>
            <w:right w:w="108" w:type="dxa"/>
          </w:tblCellMar>
        </w:tblPrEx>
        <w:trPr>
          <w:cantSplit/>
          <w:trHeight w:hRule="exact" w:val="360"/>
        </w:trPr>
        <w:tc>
          <w:tcPr>
            <w:tcW w:w="5340" w:type="dxa"/>
            <w:vMerge/>
            <w:tcBorders>
              <w:top w:val="nil"/>
              <w:left w:val="nil"/>
              <w:bottom w:val="nil"/>
              <w:right w:val="nil"/>
            </w:tcBorders>
          </w:tcPr>
          <w:p>
            <w:pPr>
              <w:keepNext/>
              <w:pageBreakBefore w:val="0"/>
            </w:pPr>
          </w:p>
        </w:tc>
        <w:tc>
          <w:tcPr>
            <w:tcW w:w="240" w:type="dxa"/>
            <w:vMerge/>
            <w:tcBorders>
              <w:top w:val="nil"/>
              <w:left w:val="nil"/>
              <w:bottom w:val="nil"/>
              <w:right w:val="nil"/>
            </w:tcBorders>
          </w:tcPr>
          <w:p>
            <w:pPr>
              <w:keepNext/>
              <w:pageBreakBefore w:val="0"/>
            </w:pPr>
          </w:p>
        </w:tc>
        <w:tc>
          <w:tcPr>
            <w:tcW w:w="5220" w:type="dxa"/>
            <w:tcBorders>
              <w:top w:val="nil"/>
              <w:left w:val="single" w:sz="12" w:space="0" w:color="4494D1"/>
              <w:bottom w:val="nil"/>
              <w:right w:val="single" w:sz="12" w:space="0" w:color="4494D1"/>
            </w:tcBorders>
            <w:tcMar>
              <w:top w:w="0" w:type="dxa"/>
              <w:left w:w="53" w:type="dxa"/>
              <w:bottom w:w="0" w:type="dxa"/>
              <w:right w:w="53" w:type="dxa"/>
            </w:tcMar>
            <w:vAlign w:val="top"/>
          </w:tcPr>
          <w:p>
            <w:pPr>
              <w:keepNext/>
              <w:pageBreakBefore w:val="0"/>
              <w:spacing w:before="53" w:after="30" w:line="240" w:lineRule="auto"/>
              <w:ind w:firstLine="90"/>
              <w:jc w:val="left"/>
            </w:pPr>
            <w:r>
              <w:rPr>
                <w:rFonts w:ascii="Arial" w:eastAsia="Arial" w:hAnsi="Arial" w:cs="Arial"/>
                <w:b/>
                <w:i w:val="0"/>
                <w:color w:val="000000"/>
                <w:sz w:val="20"/>
                <w:u w:val="none"/>
              </w:rPr>
              <w:t>Items of Business</w:t>
            </w:r>
          </w:p>
        </w:tc>
      </w:tr>
      <w:tr>
        <w:tblPrEx>
          <w:tblW w:w="10800" w:type="dxa"/>
          <w:tblInd w:w="0" w:type="dxa"/>
          <w:tblLayout w:type="fixed"/>
          <w:tblCellMar>
            <w:left w:w="108" w:type="dxa"/>
            <w:right w:w="108" w:type="dxa"/>
          </w:tblCellMar>
        </w:tblPrEx>
        <w:trPr>
          <w:cantSplit/>
          <w:trHeight w:hRule="exact" w:val="2805"/>
        </w:trPr>
        <w:tc>
          <w:tcPr>
            <w:tcW w:w="5340" w:type="dxa"/>
            <w:vMerge/>
            <w:tcBorders>
              <w:top w:val="nil"/>
              <w:left w:val="nil"/>
              <w:bottom w:val="nil"/>
              <w:right w:val="nil"/>
            </w:tcBorders>
          </w:tcPr>
          <w:p>
            <w:pPr>
              <w:keepNext/>
              <w:pageBreakBefore w:val="0"/>
            </w:pPr>
          </w:p>
        </w:tc>
        <w:tc>
          <w:tcPr>
            <w:tcW w:w="240" w:type="dxa"/>
            <w:vMerge/>
            <w:tcBorders>
              <w:top w:val="nil"/>
              <w:left w:val="nil"/>
              <w:bottom w:val="nil"/>
              <w:right w:val="nil"/>
            </w:tcBorders>
          </w:tcPr>
          <w:p>
            <w:pPr>
              <w:keepNext/>
              <w:pageBreakBefore w:val="0"/>
            </w:pPr>
          </w:p>
        </w:tc>
        <w:tc>
          <w:tcPr>
            <w:tcW w:w="5220" w:type="dxa"/>
            <w:tcBorders>
              <w:top w:val="nil"/>
              <w:left w:val="single" w:sz="12" w:space="0" w:color="4494D1"/>
              <w:bottom w:val="single" w:sz="12" w:space="0" w:color="4494D1"/>
              <w:right w:val="single" w:sz="12" w:space="0" w:color="4494D1"/>
            </w:tcBorders>
            <w:tcMar>
              <w:top w:w="0" w:type="dxa"/>
              <w:left w:w="53" w:type="dxa"/>
              <w:bottom w:w="0" w:type="dxa"/>
              <w:right w:w="53" w:type="dxa"/>
            </w:tcMar>
            <w:vAlign w:val="top"/>
          </w:tcPr>
          <w:p>
            <w:pPr>
              <w:keepNext/>
              <w:pageBreakBefore w:val="0"/>
              <w:numPr>
                <w:ilvl w:val="0"/>
                <w:numId w:val="14"/>
              </w:numPr>
              <w:spacing w:before="53" w:after="120" w:line="300" w:lineRule="auto"/>
              <w:ind w:left="360" w:right="0" w:hanging="270"/>
              <w:jc w:val="both"/>
              <w:outlineLvl w:val="9"/>
              <w:rPr>
                <w:rFonts w:ascii="Arial" w:eastAsia="Arial" w:hAnsi="Arial" w:cs="Arial"/>
                <w:b w:val="0"/>
                <w:i w:val="0"/>
                <w:sz w:val="20"/>
              </w:rPr>
            </w:pPr>
            <w:r>
              <w:rPr>
                <w:rFonts w:ascii="Arial" w:eastAsia="Arial" w:hAnsi="Arial" w:cs="Arial"/>
                <w:b w:val="0"/>
                <w:i w:val="0"/>
                <w:sz w:val="20"/>
              </w:rPr>
              <w:t xml:space="preserve">To vote on a proposal to elect twelve directors nominated by our Board to hold office until </w:t>
            </w:r>
            <w:r>
              <w:rPr>
                <w:rFonts w:ascii="Arial" w:eastAsia="Arial" w:hAnsi="Arial" w:cs="Arial"/>
                <w:b w:val="0"/>
                <w:i w:val="0"/>
                <w:color w:val="000000"/>
                <w:sz w:val="20"/>
                <w:u w:val="none"/>
              </w:rPr>
              <w:t>2025</w:t>
            </w:r>
          </w:p>
          <w:p>
            <w:pPr>
              <w:pageBreakBefore w:val="0"/>
              <w:numPr>
                <w:ilvl w:val="0"/>
                <w:numId w:val="15"/>
              </w:numPr>
              <w:spacing w:before="0" w:after="120" w:line="240" w:lineRule="auto"/>
              <w:ind w:left="360" w:right="0" w:hanging="270"/>
              <w:jc w:val="left"/>
              <w:outlineLvl w:val="9"/>
              <w:rPr>
                <w:rFonts w:ascii="Arial" w:eastAsia="Arial" w:hAnsi="Arial" w:cs="Arial"/>
                <w:b w:val="0"/>
                <w:i w:val="0"/>
                <w:sz w:val="20"/>
              </w:rPr>
            </w:pPr>
            <w:r>
              <w:rPr>
                <w:rFonts w:ascii="Arial" w:eastAsia="Arial" w:hAnsi="Arial" w:cs="Arial"/>
                <w:b w:val="0"/>
                <w:i w:val="0"/>
                <w:sz w:val="20"/>
              </w:rPr>
              <w:t>To hold an advisory vote to approve executive compensation</w:t>
            </w:r>
          </w:p>
          <w:p>
            <w:pPr>
              <w:pageBreakBefore w:val="0"/>
              <w:numPr>
                <w:ilvl w:val="0"/>
                <w:numId w:val="16"/>
              </w:numPr>
              <w:spacing w:before="0" w:after="30" w:line="240" w:lineRule="auto"/>
              <w:ind w:left="360" w:right="0" w:hanging="270"/>
              <w:jc w:val="left"/>
              <w:outlineLvl w:val="9"/>
              <w:rPr>
                <w:rFonts w:ascii="Arial" w:eastAsia="Arial" w:hAnsi="Arial" w:cs="Arial"/>
                <w:b w:val="0"/>
                <w:i w:val="0"/>
                <w:sz w:val="20"/>
              </w:rPr>
            </w:pPr>
            <w:r>
              <w:rPr>
                <w:rFonts w:ascii="Arial" w:eastAsia="Arial" w:hAnsi="Arial" w:cs="Arial"/>
                <w:b w:val="0"/>
                <w:i w:val="0"/>
                <w:sz w:val="20"/>
              </w:rPr>
              <w:t xml:space="preserve">To ratify the appointment of PricewaterhouseCoopers LLP as our independent registered public accounting firm for </w:t>
            </w:r>
            <w:r>
              <w:rPr>
                <w:rFonts w:ascii="Arial" w:eastAsia="Arial" w:hAnsi="Arial" w:cs="Arial"/>
                <w:b w:val="0"/>
                <w:i w:val="0"/>
                <w:color w:val="000000"/>
                <w:sz w:val="20"/>
                <w:u w:val="none"/>
              </w:rPr>
              <w:t>2024</w:t>
            </w:r>
            <w:r>
              <w:rPr>
                <w:rFonts w:ascii="Arial" w:eastAsia="Arial" w:hAnsi="Arial" w:cs="Arial"/>
                <w:b w:val="0"/>
                <w:i w:val="0"/>
                <w:sz w:val="20"/>
              </w:rPr>
              <w:t xml:space="preserve"> and to authorize the Board, acting through the Audit Committee, to approve the fees for the independent registered public accounting firm</w:t>
            </w:r>
          </w:p>
        </w:tc>
      </w:tr>
      <w:tr>
        <w:tblPrEx>
          <w:tblW w:w="10800" w:type="dxa"/>
          <w:tblInd w:w="0" w:type="dxa"/>
          <w:tblLayout w:type="fixed"/>
          <w:tblCellMar>
            <w:left w:w="108" w:type="dxa"/>
            <w:right w:w="108" w:type="dxa"/>
          </w:tblCellMar>
        </w:tblPrEx>
        <w:trPr>
          <w:cantSplit/>
          <w:trHeight w:hRule="exact" w:val="105"/>
        </w:trPr>
        <w:tc>
          <w:tcPr>
            <w:tcW w:w="5340" w:type="dxa"/>
            <w:vMerge/>
            <w:tcBorders>
              <w:top w:val="nil"/>
              <w:left w:val="nil"/>
              <w:bottom w:val="nil"/>
              <w:right w:val="nil"/>
            </w:tcBorders>
          </w:tcPr>
          <w:p>
            <w:pPr>
              <w:keepNext/>
              <w:pageBreakBefore w:val="0"/>
            </w:pPr>
          </w:p>
        </w:tc>
        <w:tc>
          <w:tcPr>
            <w:tcW w:w="240" w:type="dxa"/>
            <w:vMerge/>
            <w:tcBorders>
              <w:top w:val="nil"/>
              <w:left w:val="nil"/>
              <w:bottom w:val="nil"/>
              <w:right w:val="nil"/>
            </w:tcBorders>
          </w:tcPr>
          <w:p>
            <w:pPr>
              <w:keepNext/>
              <w:pageBreakBefore w:val="0"/>
            </w:pPr>
          </w:p>
        </w:tc>
        <w:tc>
          <w:tcPr>
            <w:tcW w:w="5220" w:type="dxa"/>
            <w:tcBorders>
              <w:top w:val="single" w:sz="12" w:space="0" w:color="4494D1"/>
              <w:left w:val="nil"/>
              <w:bottom w:val="single" w:sz="12" w:space="0" w:color="4494D1"/>
              <w:right w:val="nil"/>
            </w:tcBorders>
            <w:tcMar>
              <w:top w:w="0" w:type="dxa"/>
              <w:left w:w="0" w:type="dxa"/>
              <w:bottom w:w="0" w:type="dxa"/>
              <w:right w:w="0" w:type="dxa"/>
            </w:tcMar>
            <w:vAlign w:val="bottom"/>
          </w:tcPr>
          <w:p>
            <w:pPr>
              <w:keepNext/>
              <w:pageBreakBefore w:val="0"/>
              <w:spacing w:before="0" w:after="0"/>
            </w:pPr>
          </w:p>
        </w:tc>
      </w:tr>
      <w:tr>
        <w:tblPrEx>
          <w:tblW w:w="10800" w:type="dxa"/>
          <w:tblInd w:w="0" w:type="dxa"/>
          <w:tblLayout w:type="fixed"/>
          <w:tblCellMar>
            <w:left w:w="108" w:type="dxa"/>
            <w:right w:w="108" w:type="dxa"/>
          </w:tblCellMar>
        </w:tblPrEx>
        <w:trPr>
          <w:cantSplit/>
          <w:trHeight w:hRule="exact" w:val="975"/>
        </w:trPr>
        <w:tc>
          <w:tcPr>
            <w:tcW w:w="5340" w:type="dxa"/>
            <w:vMerge/>
            <w:tcBorders>
              <w:top w:val="nil"/>
              <w:left w:val="nil"/>
              <w:bottom w:val="nil"/>
              <w:right w:val="nil"/>
            </w:tcBorders>
          </w:tcPr>
          <w:p>
            <w:pPr>
              <w:keepNext/>
              <w:pageBreakBefore w:val="0"/>
            </w:pPr>
          </w:p>
        </w:tc>
        <w:tc>
          <w:tcPr>
            <w:tcW w:w="240" w:type="dxa"/>
            <w:vMerge/>
            <w:tcBorders>
              <w:top w:val="nil"/>
              <w:left w:val="nil"/>
              <w:bottom w:val="nil"/>
              <w:right w:val="nil"/>
            </w:tcBorders>
          </w:tcPr>
          <w:p>
            <w:pPr>
              <w:keepNext/>
              <w:pageBreakBefore w:val="0"/>
            </w:pPr>
          </w:p>
        </w:tc>
        <w:tc>
          <w:tcPr>
            <w:tcW w:w="5220" w:type="dxa"/>
            <w:tcBorders>
              <w:top w:val="single" w:sz="12" w:space="0" w:color="4494D1"/>
              <w:left w:val="single" w:sz="12" w:space="0" w:color="4494D1"/>
              <w:bottom w:val="nil"/>
              <w:right w:val="single" w:sz="12" w:space="0" w:color="4494D1"/>
            </w:tcBorders>
            <w:tcMar>
              <w:top w:w="0" w:type="dxa"/>
              <w:left w:w="53" w:type="dxa"/>
              <w:bottom w:w="0" w:type="dxa"/>
              <w:right w:w="53" w:type="dxa"/>
            </w:tcMar>
            <w:vAlign w:val="bottom"/>
          </w:tcPr>
          <w:p>
            <w:pPr>
              <w:keepNext/>
              <w:pageBreakBefore w:val="0"/>
              <w:numPr>
                <w:ilvl w:val="0"/>
                <w:numId w:val="0"/>
              </w:numPr>
              <w:spacing w:before="23" w:after="30" w:line="240" w:lineRule="auto"/>
              <w:ind w:left="90" w:right="0" w:hanging="90"/>
              <w:jc w:val="left"/>
              <w:outlineLvl w:val="9"/>
              <w:rPr>
                <w:rFonts w:ascii="Arial" w:eastAsia="Arial" w:hAnsi="Arial" w:cs="Arial"/>
                <w:b w:val="0"/>
                <w:i w:val="0"/>
                <w:color w:val="4494D1"/>
                <w:sz w:val="80"/>
                <w:u w:val="none"/>
              </w:rPr>
            </w:pPr>
            <w:r>
              <w:rPr>
                <w:rFonts w:ascii="Arial" w:eastAsia="Arial" w:hAnsi="Arial" w:cs="Arial"/>
                <w:b w:val="0"/>
                <w:i w:val="0"/>
                <w:color w:val="4494D1"/>
                <w:sz w:val="10"/>
                <w:u w:val="none"/>
              </w:rPr>
              <w:t xml:space="preserve"> </w:t>
            </w:r>
            <w:r>
              <w:pict>
                <v:shape id="_x0000_i1033" type="#_x0000_t75" style="width:33.75pt;height:33.75pt">
                  <v:imagedata r:id="rId16" o:title=""/>
                  <o:lock v:ext="edit" aspectratio="t"/>
                </v:shape>
              </w:pict>
            </w:r>
          </w:p>
        </w:tc>
      </w:tr>
      <w:tr>
        <w:tblPrEx>
          <w:tblW w:w="10800" w:type="dxa"/>
          <w:tblInd w:w="0" w:type="dxa"/>
          <w:tblLayout w:type="fixed"/>
          <w:tblCellMar>
            <w:left w:w="108" w:type="dxa"/>
            <w:right w:w="108" w:type="dxa"/>
          </w:tblCellMar>
        </w:tblPrEx>
        <w:trPr>
          <w:cantSplit/>
          <w:trHeight w:hRule="exact" w:val="135"/>
        </w:trPr>
        <w:tc>
          <w:tcPr>
            <w:tcW w:w="5340" w:type="dxa"/>
            <w:vMerge/>
            <w:tcBorders>
              <w:top w:val="nil"/>
              <w:left w:val="nil"/>
              <w:bottom w:val="nil"/>
              <w:right w:val="nil"/>
            </w:tcBorders>
          </w:tcPr>
          <w:p>
            <w:pPr>
              <w:keepNext/>
              <w:pageBreakBefore w:val="0"/>
            </w:pPr>
          </w:p>
        </w:tc>
        <w:tc>
          <w:tcPr>
            <w:tcW w:w="240" w:type="dxa"/>
            <w:vMerge/>
            <w:tcBorders>
              <w:top w:val="nil"/>
              <w:left w:val="nil"/>
              <w:bottom w:val="nil"/>
              <w:right w:val="nil"/>
            </w:tcBorders>
          </w:tcPr>
          <w:p>
            <w:pPr>
              <w:keepNext/>
              <w:pageBreakBefore w:val="0"/>
            </w:pPr>
          </w:p>
        </w:tc>
        <w:tc>
          <w:tcPr>
            <w:tcW w:w="5220" w:type="dxa"/>
            <w:tcBorders>
              <w:top w:val="nil"/>
              <w:left w:val="single" w:sz="12" w:space="0" w:color="4494D1"/>
              <w:bottom w:val="nil"/>
              <w:right w:val="single" w:sz="12" w:space="0" w:color="4494D1"/>
            </w:tcBorders>
            <w:tcMar>
              <w:top w:w="0" w:type="dxa"/>
              <w:left w:w="0" w:type="dxa"/>
              <w:bottom w:w="0" w:type="dxa"/>
              <w:right w:w="0" w:type="dxa"/>
            </w:tcMar>
            <w:vAlign w:val="bottom"/>
          </w:tcPr>
          <w:p>
            <w:pPr>
              <w:keepNext/>
              <w:pageBreakBefore w:val="0"/>
              <w:spacing w:before="0" w:after="0"/>
            </w:pPr>
          </w:p>
        </w:tc>
      </w:tr>
      <w:tr>
        <w:tblPrEx>
          <w:tblW w:w="10800" w:type="dxa"/>
          <w:tblInd w:w="0" w:type="dxa"/>
          <w:tblLayout w:type="fixed"/>
          <w:tblCellMar>
            <w:left w:w="108" w:type="dxa"/>
            <w:right w:w="108" w:type="dxa"/>
          </w:tblCellMar>
        </w:tblPrEx>
        <w:trPr>
          <w:cantSplit/>
          <w:trHeight w:hRule="exact" w:val="360"/>
        </w:trPr>
        <w:tc>
          <w:tcPr>
            <w:tcW w:w="5340" w:type="dxa"/>
            <w:vMerge/>
            <w:tcBorders>
              <w:top w:val="nil"/>
              <w:left w:val="nil"/>
              <w:bottom w:val="nil"/>
              <w:right w:val="nil"/>
            </w:tcBorders>
          </w:tcPr>
          <w:p>
            <w:pPr>
              <w:keepNext/>
              <w:pageBreakBefore w:val="0"/>
            </w:pPr>
          </w:p>
        </w:tc>
        <w:tc>
          <w:tcPr>
            <w:tcW w:w="240" w:type="dxa"/>
            <w:vMerge/>
            <w:tcBorders>
              <w:top w:val="nil"/>
              <w:left w:val="nil"/>
              <w:bottom w:val="nil"/>
              <w:right w:val="nil"/>
            </w:tcBorders>
          </w:tcPr>
          <w:p>
            <w:pPr>
              <w:keepNext/>
              <w:pageBreakBefore w:val="0"/>
            </w:pPr>
          </w:p>
        </w:tc>
        <w:tc>
          <w:tcPr>
            <w:tcW w:w="5220" w:type="dxa"/>
            <w:tcBorders>
              <w:top w:val="nil"/>
              <w:left w:val="single" w:sz="12" w:space="0" w:color="4494D1"/>
              <w:bottom w:val="nil"/>
              <w:right w:val="single" w:sz="12" w:space="0" w:color="4494D1"/>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i w:val="0"/>
                <w:color w:val="000000"/>
                <w:sz w:val="20"/>
                <w:u w:val="none"/>
              </w:rPr>
              <w:t xml:space="preserve"> Record Date</w:t>
            </w:r>
          </w:p>
        </w:tc>
      </w:tr>
      <w:tr>
        <w:tblPrEx>
          <w:tblW w:w="10800" w:type="dxa"/>
          <w:tblInd w:w="0" w:type="dxa"/>
          <w:tblLayout w:type="fixed"/>
          <w:tblCellMar>
            <w:left w:w="108" w:type="dxa"/>
            <w:right w:w="108" w:type="dxa"/>
          </w:tblCellMar>
        </w:tblPrEx>
        <w:trPr>
          <w:cantSplit/>
          <w:trHeight w:hRule="exact" w:val="1305"/>
        </w:trPr>
        <w:tc>
          <w:tcPr>
            <w:tcW w:w="5340" w:type="dxa"/>
            <w:vMerge/>
            <w:tcBorders>
              <w:top w:val="nil"/>
              <w:left w:val="nil"/>
              <w:bottom w:val="nil"/>
              <w:right w:val="nil"/>
            </w:tcBorders>
          </w:tcPr>
          <w:p>
            <w:pPr>
              <w:pageBreakBefore w:val="0"/>
            </w:pPr>
          </w:p>
        </w:tc>
        <w:tc>
          <w:tcPr>
            <w:tcW w:w="240" w:type="dxa"/>
            <w:vMerge/>
            <w:tcBorders>
              <w:top w:val="nil"/>
              <w:left w:val="nil"/>
              <w:bottom w:val="nil"/>
              <w:right w:val="nil"/>
            </w:tcBorders>
          </w:tcPr>
          <w:p>
            <w:pPr>
              <w:pageBreakBefore w:val="0"/>
            </w:pPr>
          </w:p>
        </w:tc>
        <w:tc>
          <w:tcPr>
            <w:tcW w:w="5220" w:type="dxa"/>
            <w:tcBorders>
              <w:top w:val="nil"/>
              <w:left w:val="single" w:sz="12" w:space="0" w:color="4494D1"/>
              <w:bottom w:val="single" w:sz="12" w:space="0" w:color="4494D1"/>
              <w:right w:val="single" w:sz="12" w:space="0" w:color="4494D1"/>
            </w:tcBorders>
            <w:tcMar>
              <w:top w:w="0" w:type="dxa"/>
              <w:left w:w="53" w:type="dxa"/>
              <w:bottom w:w="0" w:type="dxa"/>
              <w:right w:w="53" w:type="dxa"/>
            </w:tcMar>
            <w:vAlign w:val="top"/>
          </w:tcPr>
          <w:p>
            <w:pPr>
              <w:pageBreakBefore w:val="0"/>
              <w:numPr>
                <w:ilvl w:val="0"/>
                <w:numId w:val="0"/>
              </w:numPr>
              <w:spacing w:before="53" w:after="30" w:line="240" w:lineRule="auto"/>
              <w:ind w:left="47" w:right="0" w:firstLine="0"/>
              <w:jc w:val="left"/>
              <w:outlineLvl w:val="9"/>
              <w:rPr>
                <w:rFonts w:ascii="Arial" w:eastAsia="Arial" w:hAnsi="Arial" w:cs="Arial"/>
                <w:b w:val="0"/>
                <w:i w:val="0"/>
                <w:sz w:val="20"/>
              </w:rPr>
            </w:pPr>
            <w:r>
              <w:rPr>
                <w:rFonts w:ascii="Arial" w:eastAsia="Arial" w:hAnsi="Arial" w:cs="Arial"/>
                <w:b w:val="0"/>
                <w:i w:val="0"/>
                <w:sz w:val="20"/>
              </w:rPr>
              <w:t xml:space="preserve">Only holders of record of the Company's voting ordinary shares at the close of business on </w:t>
            </w:r>
            <w:r>
              <w:rPr>
                <w:rFonts w:ascii="Arial" w:eastAsia="Arial" w:hAnsi="Arial" w:cs="Arial"/>
                <w:b w:val="0"/>
                <w:i w:val="0"/>
                <w:color w:val="000000"/>
                <w:sz w:val="20"/>
                <w:u w:val="none"/>
              </w:rPr>
              <w:t>April 8, 2024</w:t>
            </w:r>
            <w:r>
              <w:rPr>
                <w:rFonts w:ascii="Arial" w:eastAsia="Arial" w:hAnsi="Arial" w:cs="Arial"/>
                <w:b w:val="0"/>
                <w:i w:val="0"/>
                <w:sz w:val="20"/>
              </w:rPr>
              <w:t xml:space="preserve"> are entitled to notice of and to vote at our </w:t>
            </w:r>
            <w:r>
              <w:rPr>
                <w:rFonts w:ascii="Arial" w:eastAsia="Arial" w:hAnsi="Arial" w:cs="Arial"/>
                <w:b w:val="0"/>
                <w:i w:val="0"/>
                <w:sz w:val="20"/>
              </w:rPr>
              <w:t>A</w:t>
            </w:r>
            <w:r>
              <w:rPr>
                <w:rFonts w:ascii="Arial" w:eastAsia="Arial" w:hAnsi="Arial" w:cs="Arial"/>
                <w:b w:val="0"/>
                <w:i w:val="0"/>
                <w:sz w:val="20"/>
              </w:rPr>
              <w:t xml:space="preserve">nnual </w:t>
            </w:r>
            <w:r>
              <w:rPr>
                <w:rFonts w:ascii="Arial" w:eastAsia="Arial" w:hAnsi="Arial" w:cs="Arial"/>
                <w:b w:val="0"/>
                <w:i w:val="0"/>
                <w:sz w:val="20"/>
              </w:rPr>
              <w:t>G</w:t>
            </w:r>
            <w:r>
              <w:rPr>
                <w:rFonts w:ascii="Arial" w:eastAsia="Arial" w:hAnsi="Arial" w:cs="Arial"/>
                <w:b w:val="0"/>
                <w:i w:val="0"/>
                <w:sz w:val="20"/>
              </w:rPr>
              <w:t xml:space="preserve">eneral </w:t>
            </w:r>
            <w:r>
              <w:rPr>
                <w:rFonts w:ascii="Arial" w:eastAsia="Arial" w:hAnsi="Arial" w:cs="Arial"/>
                <w:b w:val="0"/>
                <w:i w:val="0"/>
                <w:sz w:val="20"/>
              </w:rPr>
              <w:t>M</w:t>
            </w:r>
            <w:r>
              <w:rPr>
                <w:rFonts w:ascii="Arial" w:eastAsia="Arial" w:hAnsi="Arial" w:cs="Arial"/>
                <w:b w:val="0"/>
                <w:i w:val="0"/>
                <w:sz w:val="20"/>
              </w:rPr>
              <w:t>eeting of shareholders, or any adjournments or postponements thereof</w:t>
            </w:r>
          </w:p>
        </w:tc>
      </w:tr>
    </w:tbl>
    <w:p>
      <w:pPr>
        <w:keepNext w:val="0"/>
        <w:keepLines w:val="0"/>
        <w:pageBreakBefore w:val="0"/>
        <w:widowControl/>
        <w:numPr>
          <w:ilvl w:val="0"/>
          <w:numId w:val="0"/>
        </w:numPr>
        <w:spacing w:before="120" w:after="6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sectPr>
          <w:headerReference w:type="default" r:id="rId17"/>
          <w:pgSz w:w="12240" w:h="15840"/>
          <w:pgMar w:top="720" w:right="720" w:bottom="720" w:left="720" w:header="0" w:footer="0"/>
          <w:pgNumType w:fmt="lowerRoman"/>
          <w:cols w:space="708"/>
        </w:sectPr>
      </w:pPr>
    </w:p>
    <w:p>
      <w:pPr>
        <w:keepNext w:val="0"/>
        <w:keepLines w:val="0"/>
        <w:pageBreakBefore w:val="0"/>
        <w:widowControl/>
        <w:numPr>
          <w:ilvl w:val="0"/>
          <w:numId w:val="0"/>
        </w:numPr>
        <w:spacing w:before="0" w:after="120" w:line="288" w:lineRule="auto"/>
        <w:ind w:left="0" w:right="0" w:firstLine="1152"/>
        <w:jc w:val="left"/>
        <w:outlineLvl w:val="9"/>
        <w:rPr>
          <w:rFonts w:ascii="Arial" w:eastAsia="Arial" w:hAnsi="Arial" w:cs="Arial"/>
          <w:b/>
          <w:i w:val="0"/>
          <w:color w:val="002060"/>
          <w:sz w:val="48"/>
          <w:u w:val="none"/>
        </w:rPr>
      </w:pPr>
      <w:bookmarkStart w:id="2" w:name="Section5"/>
      <w:bookmarkEnd w:id="2"/>
      <w:r>
        <w:rPr>
          <w:rFonts w:ascii="Arial" w:eastAsia="Arial" w:hAnsi="Arial" w:cs="Arial"/>
          <w:b/>
          <w:i w:val="0"/>
          <w:color w:val="002060"/>
          <w:sz w:val="32"/>
          <w:u w:val="none"/>
        </w:rPr>
        <w:t xml:space="preserve"> </w:t>
      </w:r>
    </w:p>
    <w:p>
      <w:pPr>
        <w:keepNext w:val="0"/>
        <w:keepLines w:val="0"/>
        <w:pageBreakBefore w:val="0"/>
        <w:widowControl/>
        <w:numPr>
          <w:ilvl w:val="0"/>
          <w:numId w:val="0"/>
        </w:numPr>
        <w:spacing w:before="0" w:after="120" w:line="288" w:lineRule="auto"/>
        <w:ind w:left="0" w:right="0" w:firstLine="1080"/>
        <w:jc w:val="left"/>
        <w:outlineLvl w:val="0"/>
        <w:rPr>
          <w:rFonts w:ascii="Times New Roman" w:eastAsia="Times New Roman" w:hAnsi="Times New Roman" w:cs="Times New Roman"/>
          <w:b w:val="0"/>
          <w:i w:val="0"/>
          <w:color w:val="FF0090"/>
          <w:sz w:val="20"/>
          <w:u w:val="none"/>
        </w:rPr>
      </w:pPr>
      <w:r>
        <w:rPr>
          <w:rFonts w:ascii="Arial" w:eastAsia="Arial" w:hAnsi="Arial" w:cs="Arial"/>
          <w:b/>
          <w:i w:val="0"/>
          <w:color w:val="002060"/>
          <w:sz w:val="48"/>
          <w:u w:val="none"/>
        </w:rPr>
        <w:t>Table of Contents</w:t>
      </w:r>
    </w:p>
    <w:tbl>
      <w:tblPr>
        <w:tblW w:w="8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7995"/>
        <w:gridCol w:w="585"/>
      </w:tblGrid>
      <w:tr>
        <w:tblPrEx>
          <w:tblW w:w="8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i w:val="0"/>
                <w:sz w:val="22"/>
                <w:shd w:val="clear" w:color="auto" w:fill="auto"/>
              </w:rPr>
            </w:pPr>
            <w:hyperlink w:anchor="Section6" w:history="1">
              <w:r>
                <w:rPr>
                  <w:rFonts w:ascii="Arial" w:eastAsia="Arial" w:hAnsi="Arial" w:cs="Arial"/>
                  <w:b/>
                  <w:i w:val="0"/>
                  <w:color w:val="000000"/>
                  <w:sz w:val="22"/>
                  <w:u w:val="none"/>
                  <w:shd w:val="clear" w:color="auto" w:fill="auto"/>
                </w:rPr>
                <w:t>Proxy Statement Summary</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i w:val="0"/>
                <w:sz w:val="22"/>
              </w:rPr>
            </w:pPr>
            <w:r>
              <w:rPr>
                <w:rFonts w:ascii="Arial" w:eastAsia="Arial" w:hAnsi="Arial" w:cs="Arial"/>
                <w:b/>
                <w:i w:val="0"/>
                <w:color w:val="000000"/>
                <w:sz w:val="22"/>
                <w:u w:val="none"/>
              </w:rPr>
              <w:fldChar w:fldCharType="begin"/>
            </w:r>
            <w:r>
              <w:rPr>
                <w:rFonts w:ascii="Arial" w:eastAsia="Arial" w:hAnsi="Arial" w:cs="Arial"/>
                <w:b/>
                <w:i w:val="0"/>
                <w:color w:val="000000"/>
                <w:sz w:val="22"/>
                <w:u w:val="none"/>
              </w:rPr>
              <w:instrText xml:space="preserve"> PAGEREF </w:instrText>
            </w:r>
            <w:r>
              <w:rPr>
                <w:rFonts w:ascii="Arial" w:eastAsia="Arial" w:hAnsi="Arial" w:cs="Arial"/>
                <w:b/>
                <w:i w:val="0"/>
                <w:color w:val="000000"/>
                <w:sz w:val="22"/>
                <w:u w:val="none"/>
              </w:rPr>
              <w:instrText xml:space="preserve"> </w:instrText>
            </w:r>
            <w:r>
              <w:rPr>
                <w:rFonts w:ascii="Arial" w:eastAsia="Arial" w:hAnsi="Arial" w:cs="Arial"/>
                <w:b/>
                <w:i w:val="0"/>
                <w:color w:val="000000"/>
                <w:sz w:val="22"/>
                <w:u w:val="none"/>
              </w:rPr>
              <w:instrText>Section6</w:instrText>
            </w:r>
            <w:r>
              <w:rPr>
                <w:rFonts w:ascii="Arial" w:eastAsia="Arial" w:hAnsi="Arial" w:cs="Arial"/>
                <w:b/>
                <w:i w:val="0"/>
                <w:color w:val="000000"/>
                <w:sz w:val="22"/>
                <w:u w:val="none"/>
              </w:rPr>
              <w:instrText xml:space="preserve"> \h</w:instrText>
            </w:r>
            <w:r>
              <w:rPr>
                <w:rFonts w:ascii="Arial" w:eastAsia="Arial" w:hAnsi="Arial" w:cs="Arial"/>
                <w:b/>
                <w:i w:val="0"/>
                <w:color w:val="000000"/>
                <w:sz w:val="22"/>
                <w:u w:val="none"/>
              </w:rPr>
              <w:fldChar w:fldCharType="separate"/>
            </w:r>
            <w:r>
              <w:rPr>
                <w:rFonts w:ascii="Arial" w:eastAsia="Arial" w:hAnsi="Arial" w:cs="Arial"/>
                <w:b/>
                <w:i w:val="0"/>
                <w:color w:val="000000"/>
                <w:sz w:val="22"/>
                <w:u w:val="none"/>
              </w:rPr>
              <w:t>i</w:t>
            </w:r>
            <w:r>
              <w:rPr>
                <w:rFonts w:ascii="Arial" w:eastAsia="Arial" w:hAnsi="Arial" w:cs="Arial"/>
                <w:b/>
                <w:i w:val="0"/>
                <w:color w:val="000000"/>
                <w:sz w:val="22"/>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7" w:history="1">
              <w:r>
                <w:rPr>
                  <w:rFonts w:ascii="Arial" w:eastAsia="Arial" w:hAnsi="Arial" w:cs="Arial"/>
                  <w:b w:val="0"/>
                  <w:i w:val="0"/>
                  <w:color w:val="000000"/>
                  <w:sz w:val="18"/>
                  <w:u w:val="none"/>
                  <w:shd w:val="clear" w:color="auto" w:fill="auto"/>
                </w:rPr>
                <w:t>Annual General Meeting of Shareholders Information</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Section7</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i</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8" w:history="1">
              <w:r>
                <w:rPr>
                  <w:rFonts w:ascii="Arial" w:eastAsia="Arial" w:hAnsi="Arial" w:cs="Arial"/>
                  <w:b w:val="0"/>
                  <w:i w:val="0"/>
                  <w:color w:val="000000"/>
                  <w:sz w:val="18"/>
                  <w:u w:val="none"/>
                  <w:shd w:val="clear" w:color="auto" w:fill="auto"/>
                </w:rPr>
                <w:t>202</w:t>
              </w:r>
            </w:hyperlink>
            <w:hyperlink w:anchor="Section8" w:history="1">
              <w:r>
                <w:rPr>
                  <w:rFonts w:ascii="Arial" w:eastAsia="Arial" w:hAnsi="Arial" w:cs="Arial"/>
                  <w:b w:val="0"/>
                  <w:i w:val="0"/>
                  <w:color w:val="000000"/>
                  <w:sz w:val="18"/>
                  <w:u w:val="none"/>
                  <w:shd w:val="clear" w:color="auto" w:fill="auto"/>
                </w:rPr>
                <w:t>3</w:t>
              </w:r>
            </w:hyperlink>
            <w:hyperlink w:anchor="Section8" w:history="1">
              <w:r>
                <w:rPr>
                  <w:rFonts w:ascii="Arial" w:eastAsia="Arial" w:hAnsi="Arial" w:cs="Arial"/>
                  <w:b w:val="0"/>
                  <w:i w:val="0"/>
                  <w:color w:val="000000"/>
                  <w:sz w:val="18"/>
                  <w:u w:val="none"/>
                  <w:shd w:val="clear" w:color="auto" w:fill="auto"/>
                </w:rPr>
                <w:t xml:space="preserve"> Business Highlights</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Section8</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ii</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9" w:history="1">
              <w:r>
                <w:rPr>
                  <w:rFonts w:ascii="Arial" w:eastAsia="Arial" w:hAnsi="Arial" w:cs="Arial"/>
                  <w:b w:val="0"/>
                  <w:i w:val="0"/>
                  <w:color w:val="000000"/>
                  <w:sz w:val="18"/>
                  <w:u w:val="none"/>
                  <w:shd w:val="clear" w:color="auto" w:fill="auto"/>
                </w:rPr>
                <w:t>Executive Compensation</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Section9</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iv</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spacing w:before="53" w:after="30" w:line="240" w:lineRule="auto"/>
              <w:jc w:val="left"/>
            </w:pPr>
            <w:r>
              <w:rPr>
                <w:rFonts w:ascii="Arial" w:eastAsia="Arial" w:hAnsi="Arial" w:cs="Arial"/>
                <w:b w:val="0"/>
                <w:i w:val="0"/>
                <w:color w:val="000000"/>
                <w:sz w:val="18"/>
                <w:u w:val="none"/>
              </w:rPr>
              <w:t>Key Compensation Decisions for 2023 Performance Year</w:t>
            </w:r>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Section10</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v</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1" w:history="1">
              <w:r>
                <w:rPr>
                  <w:rFonts w:ascii="Arial" w:eastAsia="Arial" w:hAnsi="Arial" w:cs="Arial"/>
                  <w:b w:val="0"/>
                  <w:i w:val="0"/>
                  <w:color w:val="000000"/>
                  <w:sz w:val="18"/>
                  <w:u w:val="none"/>
                  <w:shd w:val="clear" w:color="auto" w:fill="auto"/>
                </w:rPr>
                <w:t>Our Board of Directors</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Section11</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vi</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37" w:history="1">
              <w:r>
                <w:rPr>
                  <w:rFonts w:ascii="Arial" w:eastAsia="Arial" w:hAnsi="Arial" w:cs="Arial"/>
                  <w:b w:val="0"/>
                  <w:i w:val="0"/>
                  <w:color w:val="000000"/>
                  <w:sz w:val="18"/>
                  <w:u w:val="none"/>
                  <w:shd w:val="clear" w:color="auto" w:fill="auto"/>
                </w:rPr>
                <w:t>Corporate Governance Highlights</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Section12</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vii</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3" w:history="1">
              <w:r>
                <w:rPr>
                  <w:rFonts w:ascii="Arial" w:eastAsia="Arial" w:hAnsi="Arial" w:cs="Arial"/>
                  <w:b w:val="0"/>
                  <w:i w:val="0"/>
                  <w:color w:val="000000"/>
                  <w:sz w:val="18"/>
                  <w:u w:val="none"/>
                  <w:shd w:val="clear" w:color="auto" w:fill="auto"/>
                </w:rPr>
                <w:t>Voting Matters and Vote Recommendation</w:t>
              </w:r>
            </w:hyperlink>
            <w:r>
              <w:rPr>
                <w:rFonts w:ascii="Arial" w:eastAsia="Arial" w:hAnsi="Arial" w:cs="Arial"/>
                <w:b w:val="0"/>
                <w:i w:val="0"/>
                <w:sz w:val="18"/>
              </w:rPr>
              <w:t>s</w:t>
            </w:r>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Section13</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viii</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60"/>
          <w:jc w:val="center"/>
        </w:trPr>
        <w:tc>
          <w:tcPr>
            <w:tcW w:w="7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585"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i w:val="0"/>
                <w:sz w:val="22"/>
                <w:shd w:val="clear" w:color="auto" w:fill="auto"/>
              </w:rPr>
            </w:pPr>
            <w:hyperlink w:anchor="Section14" w:history="1">
              <w:r>
                <w:rPr>
                  <w:rFonts w:ascii="Arial" w:eastAsia="Arial" w:hAnsi="Arial" w:cs="Arial"/>
                  <w:b/>
                  <w:i w:val="0"/>
                  <w:color w:val="000000"/>
                  <w:sz w:val="22"/>
                  <w:u w:val="none"/>
                  <w:shd w:val="clear" w:color="auto" w:fill="auto"/>
                </w:rPr>
                <w:t>Corporate Governance</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i w:val="0"/>
                <w:sz w:val="22"/>
              </w:rPr>
            </w:pPr>
            <w:r>
              <w:rPr>
                <w:rFonts w:ascii="Arial" w:eastAsia="Arial" w:hAnsi="Arial" w:cs="Arial"/>
                <w:b/>
                <w:i w:val="0"/>
                <w:color w:val="000000"/>
                <w:sz w:val="22"/>
                <w:u w:val="none"/>
              </w:rPr>
              <w:fldChar w:fldCharType="begin"/>
            </w:r>
            <w:r>
              <w:rPr>
                <w:rFonts w:ascii="Arial" w:eastAsia="Arial" w:hAnsi="Arial" w:cs="Arial"/>
                <w:b/>
                <w:i w:val="0"/>
                <w:color w:val="000000"/>
                <w:sz w:val="22"/>
                <w:u w:val="none"/>
              </w:rPr>
              <w:instrText xml:space="preserve"> PAGEREF </w:instrText>
            </w:r>
            <w:r>
              <w:rPr>
                <w:rFonts w:ascii="Arial" w:eastAsia="Arial" w:hAnsi="Arial" w:cs="Arial"/>
                <w:b/>
                <w:i w:val="0"/>
                <w:color w:val="000000"/>
                <w:sz w:val="22"/>
                <w:u w:val="none"/>
              </w:rPr>
              <w:instrText xml:space="preserve"> </w:instrText>
            </w:r>
            <w:r>
              <w:rPr>
                <w:rFonts w:ascii="Arial" w:eastAsia="Arial" w:hAnsi="Arial" w:cs="Arial"/>
                <w:b/>
                <w:i w:val="0"/>
                <w:color w:val="000000"/>
                <w:sz w:val="22"/>
                <w:u w:val="none"/>
              </w:rPr>
              <w:instrText>Section14</w:instrText>
            </w:r>
            <w:r>
              <w:rPr>
                <w:rFonts w:ascii="Arial" w:eastAsia="Arial" w:hAnsi="Arial" w:cs="Arial"/>
                <w:b/>
                <w:i w:val="0"/>
                <w:color w:val="000000"/>
                <w:sz w:val="22"/>
                <w:u w:val="none"/>
              </w:rPr>
              <w:instrText xml:space="preserve"> \h</w:instrText>
            </w:r>
            <w:r>
              <w:rPr>
                <w:rFonts w:ascii="Arial" w:eastAsia="Arial" w:hAnsi="Arial" w:cs="Arial"/>
                <w:b/>
                <w:i w:val="0"/>
                <w:color w:val="000000"/>
                <w:sz w:val="22"/>
                <w:u w:val="none"/>
              </w:rPr>
              <w:fldChar w:fldCharType="separate"/>
            </w:r>
            <w:r>
              <w:rPr>
                <w:rFonts w:ascii="Arial" w:eastAsia="Arial" w:hAnsi="Arial" w:cs="Arial"/>
                <w:b/>
                <w:i w:val="0"/>
                <w:color w:val="000000"/>
                <w:sz w:val="22"/>
                <w:u w:val="none"/>
              </w:rPr>
              <w:t>1</w:t>
            </w:r>
            <w:r>
              <w:rPr>
                <w:rFonts w:ascii="Arial" w:eastAsia="Arial" w:hAnsi="Arial" w:cs="Arial"/>
                <w:b/>
                <w:i w:val="0"/>
                <w:color w:val="000000"/>
                <w:sz w:val="22"/>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5" w:history="1">
              <w:r>
                <w:rPr>
                  <w:rFonts w:ascii="Arial" w:eastAsia="Arial" w:hAnsi="Arial" w:cs="Arial"/>
                  <w:b w:val="0"/>
                  <w:i w:val="0"/>
                  <w:color w:val="000000"/>
                  <w:sz w:val="18"/>
                  <w:u w:val="none"/>
                  <w:shd w:val="clear" w:color="auto" w:fill="auto"/>
                </w:rPr>
                <w:t>Proposal No. 1 – Election of Directors</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Section15</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2</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7" w:history="1">
              <w:r>
                <w:rPr>
                  <w:rFonts w:ascii="Arial" w:eastAsia="Arial" w:hAnsi="Arial" w:cs="Arial"/>
                  <w:b w:val="0"/>
                  <w:i w:val="0"/>
                  <w:color w:val="000000"/>
                  <w:sz w:val="18"/>
                  <w:u w:val="none"/>
                  <w:shd w:val="clear" w:color="auto" w:fill="auto"/>
                </w:rPr>
                <w:t>Board Composition and Refreshment</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Section17</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4</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26" w:history="1">
              <w:r>
                <w:rPr>
                  <w:rFonts w:ascii="Arial" w:eastAsia="Arial" w:hAnsi="Arial" w:cs="Arial"/>
                  <w:b w:val="0"/>
                  <w:i w:val="0"/>
                  <w:color w:val="000000"/>
                  <w:sz w:val="18"/>
                  <w:u w:val="none"/>
                  <w:shd w:val="clear" w:color="auto" w:fill="auto"/>
                </w:rPr>
                <w:t>Our Director Nominees</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Section26</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7</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29" w:history="1">
              <w:r>
                <w:rPr>
                  <w:rFonts w:ascii="Arial" w:eastAsia="Arial" w:hAnsi="Arial" w:cs="Arial"/>
                  <w:b w:val="0"/>
                  <w:i w:val="0"/>
                  <w:color w:val="000000"/>
                  <w:sz w:val="18"/>
                  <w:u w:val="none"/>
                  <w:shd w:val="clear" w:color="auto" w:fill="auto"/>
                </w:rPr>
                <w:t>Directorship Arrangements</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Section29</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16</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30" w:history="1">
              <w:r>
                <w:rPr>
                  <w:rFonts w:ascii="Arial" w:eastAsia="Arial" w:hAnsi="Arial" w:cs="Arial"/>
                  <w:b w:val="0"/>
                  <w:i w:val="0"/>
                  <w:color w:val="000000"/>
                  <w:sz w:val="18"/>
                  <w:u w:val="none"/>
                  <w:shd w:val="clear" w:color="auto" w:fill="auto"/>
                </w:rPr>
                <w:t>Director Independence</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Section30</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16</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32" w:history="1">
              <w:r>
                <w:rPr>
                  <w:rFonts w:ascii="Arial" w:eastAsia="Arial" w:hAnsi="Arial" w:cs="Arial"/>
                  <w:b w:val="0"/>
                  <w:i w:val="0"/>
                  <w:color w:val="000000"/>
                  <w:sz w:val="18"/>
                  <w:u w:val="none"/>
                  <w:shd w:val="clear" w:color="auto" w:fill="auto"/>
                </w:rPr>
                <w:t>Committees of the Board</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Section32</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17</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35" w:history="1">
              <w:r>
                <w:rPr>
                  <w:rFonts w:ascii="Arial" w:eastAsia="Arial" w:hAnsi="Arial" w:cs="Arial"/>
                  <w:b w:val="0"/>
                  <w:i w:val="0"/>
                  <w:color w:val="000000"/>
                  <w:sz w:val="18"/>
                  <w:u w:val="none"/>
                  <w:shd w:val="clear" w:color="auto" w:fill="auto"/>
                </w:rPr>
                <w:t>Board and Committee Operations</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Section35</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26</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44" w:history="1">
              <w:r>
                <w:rPr>
                  <w:rFonts w:ascii="Arial" w:eastAsia="Arial" w:hAnsi="Arial" w:cs="Arial"/>
                  <w:b w:val="0"/>
                  <w:i w:val="0"/>
                  <w:color w:val="000000"/>
                  <w:sz w:val="18"/>
                  <w:u w:val="none"/>
                  <w:shd w:val="clear" w:color="auto" w:fill="auto"/>
                </w:rPr>
                <w:t>Board Oversight</w:t>
              </w:r>
            </w:hyperlink>
            <w:r>
              <w:rPr>
                <w:rFonts w:ascii="Arial" w:eastAsia="Arial" w:hAnsi="Arial" w:cs="Arial"/>
                <w:b w:val="0"/>
                <w:i w:val="0"/>
                <w:sz w:val="18"/>
              </w:rPr>
              <w:t xml:space="preserve"> of Risk Management</w:t>
            </w:r>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Section44</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30</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48" w:history="1">
              <w:r>
                <w:rPr>
                  <w:rFonts w:ascii="Arial" w:eastAsia="Arial" w:hAnsi="Arial" w:cs="Arial"/>
                  <w:b w:val="0"/>
                  <w:i w:val="0"/>
                  <w:color w:val="000000"/>
                  <w:sz w:val="18"/>
                  <w:u w:val="none"/>
                  <w:shd w:val="clear" w:color="auto" w:fill="auto"/>
                </w:rPr>
                <w:t>Environmental, Social and Governance Matters</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Section48</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33</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51" w:history="1">
              <w:r>
                <w:rPr>
                  <w:rFonts w:ascii="Arial" w:eastAsia="Arial" w:hAnsi="Arial" w:cs="Arial"/>
                  <w:b w:val="0"/>
                  <w:i w:val="0"/>
                  <w:color w:val="000000"/>
                  <w:sz w:val="18"/>
                  <w:u w:val="none"/>
                  <w:shd w:val="clear" w:color="auto" w:fill="auto"/>
                </w:rPr>
                <w:t>Code of Conduct</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Section51</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34</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52" w:history="1">
              <w:r>
                <w:rPr>
                  <w:rFonts w:ascii="Arial" w:eastAsia="Arial" w:hAnsi="Arial" w:cs="Arial"/>
                  <w:b w:val="0"/>
                  <w:i w:val="0"/>
                  <w:color w:val="000000"/>
                  <w:sz w:val="18"/>
                  <w:u w:val="none"/>
                  <w:shd w:val="clear" w:color="auto" w:fill="auto"/>
                </w:rPr>
                <w:t>Shareholder Engagement</w:t>
              </w:r>
            </w:hyperlink>
            <w:r>
              <w:rPr>
                <w:rFonts w:ascii="Arial" w:eastAsia="Arial" w:hAnsi="Arial" w:cs="Arial"/>
                <w:b w:val="0"/>
                <w:i w:val="0"/>
                <w:sz w:val="18"/>
              </w:rPr>
              <w:t xml:space="preserve"> and Communications with our Board</w:t>
            </w:r>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Section52</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34</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57" w:history="1">
              <w:r>
                <w:rPr>
                  <w:rFonts w:ascii="Arial" w:eastAsia="Arial" w:hAnsi="Arial" w:cs="Arial"/>
                  <w:b w:val="0"/>
                  <w:i w:val="0"/>
                  <w:color w:val="000000"/>
                  <w:sz w:val="18"/>
                  <w:u w:val="none"/>
                  <w:shd w:val="clear" w:color="auto" w:fill="auto"/>
                </w:rPr>
                <w:t>Our Executive Officers</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Section57</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36</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58" w:history="1">
              <w:r>
                <w:rPr>
                  <w:rFonts w:ascii="Arial" w:eastAsia="Arial" w:hAnsi="Arial" w:cs="Arial"/>
                  <w:b w:val="0"/>
                  <w:i w:val="0"/>
                  <w:color w:val="000000"/>
                  <w:sz w:val="18"/>
                  <w:u w:val="none"/>
                  <w:shd w:val="clear" w:color="auto" w:fill="auto"/>
                </w:rPr>
                <w:t>Director Compensation</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Section58</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39</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60"/>
          <w:jc w:val="center"/>
        </w:trPr>
        <w:tc>
          <w:tcPr>
            <w:tcW w:w="7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585"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i w:val="0"/>
                <w:sz w:val="22"/>
                <w:shd w:val="clear" w:color="auto" w:fill="auto"/>
              </w:rPr>
            </w:pPr>
            <w:hyperlink w:anchor="Section62" w:history="1">
              <w:r>
                <w:rPr>
                  <w:rFonts w:ascii="Arial" w:eastAsia="Arial" w:hAnsi="Arial" w:cs="Arial"/>
                  <w:b/>
                  <w:i w:val="0"/>
                  <w:color w:val="000000"/>
                  <w:sz w:val="22"/>
                  <w:u w:val="none"/>
                  <w:shd w:val="clear" w:color="auto" w:fill="auto"/>
                </w:rPr>
                <w:t>Executive Compensation</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i w:val="0"/>
                <w:sz w:val="22"/>
              </w:rPr>
            </w:pPr>
            <w:r>
              <w:rPr>
                <w:rFonts w:ascii="Arial" w:eastAsia="Arial" w:hAnsi="Arial" w:cs="Arial"/>
                <w:b/>
                <w:i w:val="0"/>
                <w:color w:val="000000"/>
                <w:sz w:val="22"/>
                <w:u w:val="none"/>
              </w:rPr>
              <w:fldChar w:fldCharType="begin"/>
            </w:r>
            <w:r>
              <w:rPr>
                <w:rFonts w:ascii="Arial" w:eastAsia="Arial" w:hAnsi="Arial" w:cs="Arial"/>
                <w:b/>
                <w:i w:val="0"/>
                <w:color w:val="000000"/>
                <w:sz w:val="22"/>
                <w:u w:val="none"/>
              </w:rPr>
              <w:instrText xml:space="preserve"> PAGEREF </w:instrText>
            </w:r>
            <w:r>
              <w:rPr>
                <w:rFonts w:ascii="Arial" w:eastAsia="Arial" w:hAnsi="Arial" w:cs="Arial"/>
                <w:b/>
                <w:i w:val="0"/>
                <w:color w:val="000000"/>
                <w:sz w:val="22"/>
                <w:u w:val="none"/>
              </w:rPr>
              <w:instrText xml:space="preserve"> </w:instrText>
            </w:r>
            <w:r>
              <w:rPr>
                <w:rFonts w:ascii="Arial" w:eastAsia="Arial" w:hAnsi="Arial" w:cs="Arial"/>
                <w:b/>
                <w:i w:val="0"/>
                <w:color w:val="000000"/>
                <w:sz w:val="22"/>
                <w:u w:val="none"/>
              </w:rPr>
              <w:instrText>Section62</w:instrText>
            </w:r>
            <w:r>
              <w:rPr>
                <w:rFonts w:ascii="Arial" w:eastAsia="Arial" w:hAnsi="Arial" w:cs="Arial"/>
                <w:b/>
                <w:i w:val="0"/>
                <w:color w:val="000000"/>
                <w:sz w:val="22"/>
                <w:u w:val="none"/>
              </w:rPr>
              <w:instrText xml:space="preserve"> \h</w:instrText>
            </w:r>
            <w:r>
              <w:rPr>
                <w:rFonts w:ascii="Arial" w:eastAsia="Arial" w:hAnsi="Arial" w:cs="Arial"/>
                <w:b/>
                <w:i w:val="0"/>
                <w:color w:val="000000"/>
                <w:sz w:val="22"/>
                <w:u w:val="none"/>
              </w:rPr>
              <w:fldChar w:fldCharType="separate"/>
            </w:r>
            <w:r>
              <w:rPr>
                <w:rFonts w:ascii="Arial" w:eastAsia="Arial" w:hAnsi="Arial" w:cs="Arial"/>
                <w:b/>
                <w:i w:val="0"/>
                <w:color w:val="000000"/>
                <w:sz w:val="22"/>
                <w:u w:val="none"/>
              </w:rPr>
              <w:t>42</w:t>
            </w:r>
            <w:r>
              <w:rPr>
                <w:rFonts w:ascii="Arial" w:eastAsia="Arial" w:hAnsi="Arial" w:cs="Arial"/>
                <w:b/>
                <w:i w:val="0"/>
                <w:color w:val="000000"/>
                <w:sz w:val="22"/>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63" w:history="1">
              <w:r>
                <w:rPr>
                  <w:rFonts w:ascii="Arial" w:eastAsia="Arial" w:hAnsi="Arial" w:cs="Arial"/>
                  <w:b w:val="0"/>
                  <w:i w:val="0"/>
                  <w:color w:val="000000"/>
                  <w:sz w:val="18"/>
                  <w:u w:val="none"/>
                  <w:shd w:val="clear" w:color="auto" w:fill="auto"/>
                </w:rPr>
                <w:t>Proposal No. 2 – Advisory Vote to Approve Executive Compensation</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Section63</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43</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64" w:history="1">
              <w:r>
                <w:rPr>
                  <w:rFonts w:ascii="Arial" w:eastAsia="Arial" w:hAnsi="Arial" w:cs="Arial"/>
                  <w:b w:val="0"/>
                  <w:i w:val="0"/>
                  <w:color w:val="000000"/>
                  <w:sz w:val="18"/>
                  <w:u w:val="none"/>
                  <w:shd w:val="clear" w:color="auto" w:fill="auto"/>
                </w:rPr>
                <w:t>Compensation Discussion and Analysis</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Section64</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44</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04" w:history="1">
              <w:r>
                <w:rPr>
                  <w:rFonts w:ascii="Arial" w:eastAsia="Arial" w:hAnsi="Arial" w:cs="Arial"/>
                  <w:b w:val="0"/>
                  <w:i w:val="0"/>
                  <w:color w:val="000000"/>
                  <w:sz w:val="18"/>
                  <w:u w:val="none"/>
                  <w:shd w:val="clear" w:color="auto" w:fill="auto"/>
                </w:rPr>
                <w:t>Executive Compensation Tables</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Section104</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77</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16" w:history="1">
              <w:r>
                <w:rPr>
                  <w:rFonts w:ascii="Arial" w:eastAsia="Arial" w:hAnsi="Arial" w:cs="Arial"/>
                  <w:b w:val="0"/>
                  <w:i w:val="0"/>
                  <w:color w:val="000000"/>
                  <w:sz w:val="18"/>
                  <w:u w:val="none"/>
                  <w:shd w:val="clear" w:color="auto" w:fill="auto"/>
                </w:rPr>
                <w:t>Equity Compensation Plan Information</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Section116</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90</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17" w:history="1">
              <w:r>
                <w:rPr>
                  <w:rFonts w:ascii="Arial" w:eastAsia="Arial" w:hAnsi="Arial" w:cs="Arial"/>
                  <w:b w:val="0"/>
                  <w:i w:val="0"/>
                  <w:color w:val="000000"/>
                  <w:sz w:val="18"/>
                  <w:u w:val="none"/>
                  <w:shd w:val="clear" w:color="auto" w:fill="auto"/>
                </w:rPr>
                <w:t>Pay Versus Performance</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Section117</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90</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21" w:history="1">
              <w:r>
                <w:rPr>
                  <w:rFonts w:ascii="Arial" w:eastAsia="Arial" w:hAnsi="Arial" w:cs="Arial"/>
                  <w:b w:val="0"/>
                  <w:i w:val="0"/>
                  <w:color w:val="000000"/>
                  <w:sz w:val="18"/>
                  <w:u w:val="none"/>
                  <w:shd w:val="clear" w:color="auto" w:fill="auto"/>
                </w:rPr>
                <w:t>CEO Pay Ratio</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Section121</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95</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60"/>
          <w:jc w:val="center"/>
        </w:trPr>
        <w:tc>
          <w:tcPr>
            <w:tcW w:w="7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585"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i w:val="0"/>
                <w:sz w:val="22"/>
                <w:shd w:val="clear" w:color="auto" w:fill="auto"/>
              </w:rPr>
            </w:pPr>
            <w:hyperlink w:anchor="Section122" w:history="1">
              <w:r>
                <w:rPr>
                  <w:rFonts w:ascii="Arial" w:eastAsia="Arial" w:hAnsi="Arial" w:cs="Arial"/>
                  <w:b/>
                  <w:i w:val="0"/>
                  <w:color w:val="000000"/>
                  <w:sz w:val="22"/>
                  <w:u w:val="none"/>
                  <w:shd w:val="clear" w:color="auto" w:fill="auto"/>
                </w:rPr>
                <w:t>Audit Matters</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i w:val="0"/>
                <w:sz w:val="22"/>
              </w:rPr>
            </w:pPr>
            <w:r>
              <w:rPr>
                <w:rFonts w:ascii="Arial" w:eastAsia="Arial" w:hAnsi="Arial" w:cs="Arial"/>
                <w:b/>
                <w:i w:val="0"/>
                <w:color w:val="000000"/>
                <w:sz w:val="22"/>
                <w:u w:val="none"/>
              </w:rPr>
              <w:fldChar w:fldCharType="begin"/>
            </w:r>
            <w:r>
              <w:rPr>
                <w:rFonts w:ascii="Arial" w:eastAsia="Arial" w:hAnsi="Arial" w:cs="Arial"/>
                <w:b/>
                <w:i w:val="0"/>
                <w:color w:val="000000"/>
                <w:sz w:val="22"/>
                <w:u w:val="none"/>
              </w:rPr>
              <w:instrText xml:space="preserve"> PAGEREF </w:instrText>
            </w:r>
            <w:r>
              <w:rPr>
                <w:rFonts w:ascii="Arial" w:eastAsia="Arial" w:hAnsi="Arial" w:cs="Arial"/>
                <w:b/>
                <w:i w:val="0"/>
                <w:color w:val="000000"/>
                <w:sz w:val="22"/>
                <w:u w:val="none"/>
              </w:rPr>
              <w:instrText xml:space="preserve"> </w:instrText>
            </w:r>
            <w:r>
              <w:rPr>
                <w:rFonts w:ascii="Arial" w:eastAsia="Arial" w:hAnsi="Arial" w:cs="Arial"/>
                <w:b/>
                <w:i w:val="0"/>
                <w:color w:val="000000"/>
                <w:sz w:val="22"/>
                <w:u w:val="none"/>
              </w:rPr>
              <w:instrText>Section122</w:instrText>
            </w:r>
            <w:r>
              <w:rPr>
                <w:rFonts w:ascii="Arial" w:eastAsia="Arial" w:hAnsi="Arial" w:cs="Arial"/>
                <w:b/>
                <w:i w:val="0"/>
                <w:color w:val="000000"/>
                <w:sz w:val="22"/>
                <w:u w:val="none"/>
              </w:rPr>
              <w:instrText xml:space="preserve"> \h</w:instrText>
            </w:r>
            <w:r>
              <w:rPr>
                <w:rFonts w:ascii="Arial" w:eastAsia="Arial" w:hAnsi="Arial" w:cs="Arial"/>
                <w:b/>
                <w:i w:val="0"/>
                <w:color w:val="000000"/>
                <w:sz w:val="22"/>
                <w:u w:val="none"/>
              </w:rPr>
              <w:fldChar w:fldCharType="separate"/>
            </w:r>
            <w:r>
              <w:rPr>
                <w:rFonts w:ascii="Arial" w:eastAsia="Arial" w:hAnsi="Arial" w:cs="Arial"/>
                <w:b/>
                <w:i w:val="0"/>
                <w:color w:val="000000"/>
                <w:sz w:val="22"/>
                <w:u w:val="none"/>
              </w:rPr>
              <w:t>96</w:t>
            </w:r>
            <w:r>
              <w:rPr>
                <w:rFonts w:ascii="Arial" w:eastAsia="Arial" w:hAnsi="Arial" w:cs="Arial"/>
                <w:b/>
                <w:i w:val="0"/>
                <w:color w:val="000000"/>
                <w:sz w:val="22"/>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23" w:history="1">
              <w:r>
                <w:rPr>
                  <w:rFonts w:ascii="Arial" w:eastAsia="Arial" w:hAnsi="Arial" w:cs="Arial"/>
                  <w:b w:val="0"/>
                  <w:i w:val="0"/>
                  <w:color w:val="000000"/>
                  <w:sz w:val="18"/>
                  <w:u w:val="none"/>
                  <w:shd w:val="clear" w:color="auto" w:fill="auto"/>
                </w:rPr>
                <w:t xml:space="preserve">Proposal No. </w:t>
              </w:r>
            </w:hyperlink>
            <w:hyperlink w:anchor="Section123" w:history="1">
              <w:r>
                <w:rPr>
                  <w:rFonts w:ascii="Arial" w:eastAsia="Arial" w:hAnsi="Arial" w:cs="Arial"/>
                  <w:b w:val="0"/>
                  <w:i w:val="0"/>
                  <w:color w:val="000000"/>
                  <w:sz w:val="18"/>
                  <w:u w:val="none"/>
                  <w:shd w:val="clear" w:color="auto" w:fill="auto"/>
                </w:rPr>
                <w:t>3</w:t>
              </w:r>
            </w:hyperlink>
            <w:hyperlink w:anchor="Section123" w:history="1">
              <w:r>
                <w:rPr>
                  <w:rFonts w:ascii="Arial" w:eastAsia="Arial" w:hAnsi="Arial" w:cs="Arial"/>
                  <w:b w:val="0"/>
                  <w:i w:val="0"/>
                  <w:color w:val="000000"/>
                  <w:sz w:val="18"/>
                  <w:u w:val="none"/>
                  <w:shd w:val="clear" w:color="auto" w:fill="auto"/>
                </w:rPr>
                <w:t xml:space="preserve"> – Ratification of Appointment of Independent Registered Public Accounting Firm</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Section123</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97</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24" w:history="1">
              <w:r>
                <w:rPr>
                  <w:rFonts w:ascii="Arial" w:eastAsia="Arial" w:hAnsi="Arial" w:cs="Arial"/>
                  <w:b w:val="0"/>
                  <w:i w:val="0"/>
                  <w:color w:val="000000"/>
                  <w:sz w:val="18"/>
                  <w:u w:val="none"/>
                  <w:shd w:val="clear" w:color="auto" w:fill="auto"/>
                </w:rPr>
                <w:t>Report of the Audit Committee</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Section124</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98</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spacing w:before="53" w:after="30" w:line="240" w:lineRule="auto"/>
              <w:jc w:val="left"/>
            </w:pPr>
            <w:r>
              <w:rPr>
                <w:rFonts w:ascii="Arial" w:eastAsia="Arial" w:hAnsi="Arial" w:cs="Arial"/>
                <w:b w:val="0"/>
                <w:i w:val="0"/>
                <w:color w:val="000000"/>
                <w:sz w:val="18"/>
                <w:u w:val="none"/>
              </w:rPr>
              <w:t>Change of Independent Registered Public Accounting Firm</w:t>
            </w:r>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Section125</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98</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26" w:history="1">
              <w:r>
                <w:rPr>
                  <w:rFonts w:ascii="Arial" w:eastAsia="Arial" w:hAnsi="Arial" w:cs="Arial"/>
                  <w:b w:val="0"/>
                  <w:i w:val="0"/>
                  <w:color w:val="000000"/>
                  <w:sz w:val="18"/>
                  <w:u w:val="none"/>
                  <w:shd w:val="clear" w:color="auto" w:fill="auto"/>
                </w:rPr>
                <w:t>Audit and Non-Audit Fees</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Section126</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99</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60"/>
          <w:jc w:val="center"/>
        </w:trPr>
        <w:tc>
          <w:tcPr>
            <w:tcW w:w="7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585"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i w:val="0"/>
                <w:sz w:val="22"/>
                <w:shd w:val="clear" w:color="auto" w:fill="auto"/>
              </w:rPr>
            </w:pPr>
            <w:hyperlink w:anchor="Section129" w:history="1">
              <w:r>
                <w:rPr>
                  <w:rFonts w:ascii="Arial" w:eastAsia="Arial" w:hAnsi="Arial" w:cs="Arial"/>
                  <w:b/>
                  <w:i w:val="0"/>
                  <w:color w:val="000000"/>
                  <w:sz w:val="22"/>
                  <w:u w:val="none"/>
                  <w:shd w:val="clear" w:color="auto" w:fill="auto"/>
                </w:rPr>
                <w:t>Certain Relationships and Related-Party Transactions</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i w:val="0"/>
                <w:sz w:val="22"/>
              </w:rPr>
            </w:pPr>
            <w:r>
              <w:rPr>
                <w:rFonts w:ascii="Arial" w:eastAsia="Arial" w:hAnsi="Arial" w:cs="Arial"/>
                <w:b/>
                <w:i w:val="0"/>
                <w:color w:val="000000"/>
                <w:sz w:val="22"/>
                <w:u w:val="none"/>
              </w:rPr>
              <w:fldChar w:fldCharType="begin"/>
            </w:r>
            <w:r>
              <w:rPr>
                <w:rFonts w:ascii="Arial" w:eastAsia="Arial" w:hAnsi="Arial" w:cs="Arial"/>
                <w:b/>
                <w:i w:val="0"/>
                <w:color w:val="000000"/>
                <w:sz w:val="22"/>
                <w:u w:val="none"/>
              </w:rPr>
              <w:instrText xml:space="preserve"> PAGEREF </w:instrText>
            </w:r>
            <w:r>
              <w:rPr>
                <w:rFonts w:ascii="Arial" w:eastAsia="Arial" w:hAnsi="Arial" w:cs="Arial"/>
                <w:b/>
                <w:i w:val="0"/>
                <w:color w:val="000000"/>
                <w:sz w:val="22"/>
                <w:u w:val="none"/>
              </w:rPr>
              <w:instrText xml:space="preserve"> </w:instrText>
            </w:r>
            <w:r>
              <w:rPr>
                <w:rFonts w:ascii="Arial" w:eastAsia="Arial" w:hAnsi="Arial" w:cs="Arial"/>
                <w:b/>
                <w:i w:val="0"/>
                <w:color w:val="000000"/>
                <w:sz w:val="22"/>
                <w:u w:val="none"/>
              </w:rPr>
              <w:instrText>Section129</w:instrText>
            </w:r>
            <w:r>
              <w:rPr>
                <w:rFonts w:ascii="Arial" w:eastAsia="Arial" w:hAnsi="Arial" w:cs="Arial"/>
                <w:b/>
                <w:i w:val="0"/>
                <w:color w:val="000000"/>
                <w:sz w:val="22"/>
                <w:u w:val="none"/>
              </w:rPr>
              <w:instrText xml:space="preserve"> \h</w:instrText>
            </w:r>
            <w:r>
              <w:rPr>
                <w:rFonts w:ascii="Arial" w:eastAsia="Arial" w:hAnsi="Arial" w:cs="Arial"/>
                <w:b/>
                <w:i w:val="0"/>
                <w:color w:val="000000"/>
                <w:sz w:val="22"/>
                <w:u w:val="none"/>
              </w:rPr>
              <w:fldChar w:fldCharType="separate"/>
            </w:r>
            <w:r>
              <w:rPr>
                <w:rFonts w:ascii="Arial" w:eastAsia="Arial" w:hAnsi="Arial" w:cs="Arial"/>
                <w:b/>
                <w:i w:val="0"/>
                <w:color w:val="000000"/>
                <w:sz w:val="22"/>
                <w:u w:val="none"/>
              </w:rPr>
              <w:t>101</w:t>
            </w:r>
            <w:r>
              <w:rPr>
                <w:rFonts w:ascii="Arial" w:eastAsia="Arial" w:hAnsi="Arial" w:cs="Arial"/>
                <w:b/>
                <w:i w:val="0"/>
                <w:color w:val="000000"/>
                <w:sz w:val="22"/>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30" w:history="1">
              <w:r>
                <w:rPr>
                  <w:rFonts w:ascii="Arial" w:eastAsia="Arial" w:hAnsi="Arial" w:cs="Arial"/>
                  <w:b w:val="0"/>
                  <w:i w:val="0"/>
                  <w:color w:val="000000"/>
                  <w:sz w:val="18"/>
                  <w:u w:val="none"/>
                  <w:shd w:val="clear" w:color="auto" w:fill="auto"/>
                </w:rPr>
                <w:t>Beneficial Ownership of Certain Holders</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Section130</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102</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31" w:history="1">
              <w:r>
                <w:rPr>
                  <w:rFonts w:ascii="Arial" w:eastAsia="Arial" w:hAnsi="Arial" w:cs="Arial"/>
                  <w:b w:val="0"/>
                  <w:i w:val="0"/>
                  <w:color w:val="000000"/>
                  <w:sz w:val="18"/>
                  <w:u w:val="none"/>
                  <w:shd w:val="clear" w:color="auto" w:fill="auto"/>
                </w:rPr>
                <w:t>Certain Relationships and Related Transactions</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Section131</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104</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60"/>
          <w:jc w:val="center"/>
        </w:trPr>
        <w:tc>
          <w:tcPr>
            <w:tcW w:w="7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585"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i w:val="0"/>
                <w:sz w:val="22"/>
                <w:shd w:val="clear" w:color="auto" w:fill="auto"/>
              </w:rPr>
            </w:pPr>
            <w:hyperlink w:anchor="Section144" w:history="1">
              <w:r>
                <w:rPr>
                  <w:rFonts w:ascii="Arial" w:eastAsia="Arial" w:hAnsi="Arial" w:cs="Arial"/>
                  <w:b/>
                  <w:i w:val="0"/>
                  <w:color w:val="000000"/>
                  <w:sz w:val="22"/>
                  <w:u w:val="none"/>
                  <w:shd w:val="clear" w:color="auto" w:fill="auto"/>
                </w:rPr>
                <w:t>Other Matters</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i w:val="0"/>
                <w:sz w:val="22"/>
              </w:rPr>
            </w:pPr>
            <w:r>
              <w:rPr>
                <w:rFonts w:ascii="Arial" w:eastAsia="Arial" w:hAnsi="Arial" w:cs="Arial"/>
                <w:b/>
                <w:i w:val="0"/>
                <w:color w:val="000000"/>
                <w:sz w:val="22"/>
                <w:u w:val="none"/>
              </w:rPr>
              <w:fldChar w:fldCharType="begin"/>
            </w:r>
            <w:r>
              <w:rPr>
                <w:rFonts w:ascii="Arial" w:eastAsia="Arial" w:hAnsi="Arial" w:cs="Arial"/>
                <w:b/>
                <w:i w:val="0"/>
                <w:color w:val="000000"/>
                <w:sz w:val="22"/>
                <w:u w:val="none"/>
              </w:rPr>
              <w:instrText xml:space="preserve"> PAGEREF </w:instrText>
            </w:r>
            <w:r>
              <w:rPr>
                <w:rFonts w:ascii="Arial" w:eastAsia="Arial" w:hAnsi="Arial" w:cs="Arial"/>
                <w:b/>
                <w:i w:val="0"/>
                <w:color w:val="000000"/>
                <w:sz w:val="22"/>
                <w:u w:val="none"/>
              </w:rPr>
              <w:instrText xml:space="preserve"> </w:instrText>
            </w:r>
            <w:r>
              <w:rPr>
                <w:rFonts w:ascii="Arial" w:eastAsia="Arial" w:hAnsi="Arial" w:cs="Arial"/>
                <w:b/>
                <w:i w:val="0"/>
                <w:color w:val="000000"/>
                <w:sz w:val="22"/>
                <w:u w:val="none"/>
              </w:rPr>
              <w:instrText>Section144</w:instrText>
            </w:r>
            <w:r>
              <w:rPr>
                <w:rFonts w:ascii="Arial" w:eastAsia="Arial" w:hAnsi="Arial" w:cs="Arial"/>
                <w:b/>
                <w:i w:val="0"/>
                <w:color w:val="000000"/>
                <w:sz w:val="22"/>
                <w:u w:val="none"/>
              </w:rPr>
              <w:instrText xml:space="preserve"> \h</w:instrText>
            </w:r>
            <w:r>
              <w:rPr>
                <w:rFonts w:ascii="Arial" w:eastAsia="Arial" w:hAnsi="Arial" w:cs="Arial"/>
                <w:b/>
                <w:i w:val="0"/>
                <w:color w:val="000000"/>
                <w:sz w:val="22"/>
                <w:u w:val="none"/>
              </w:rPr>
              <w:fldChar w:fldCharType="separate"/>
            </w:r>
            <w:r>
              <w:rPr>
                <w:rFonts w:ascii="Arial" w:eastAsia="Arial" w:hAnsi="Arial" w:cs="Arial"/>
                <w:b/>
                <w:i w:val="0"/>
                <w:color w:val="000000"/>
                <w:sz w:val="22"/>
                <w:u w:val="none"/>
              </w:rPr>
              <w:t>108</w:t>
            </w:r>
            <w:r>
              <w:rPr>
                <w:rFonts w:ascii="Arial" w:eastAsia="Arial" w:hAnsi="Arial" w:cs="Arial"/>
                <w:b/>
                <w:i w:val="0"/>
                <w:color w:val="000000"/>
                <w:sz w:val="22"/>
                <w:u w:val="none"/>
              </w:rPr>
              <w:fldChar w:fldCharType="end"/>
            </w:r>
          </w:p>
        </w:tc>
      </w:tr>
      <w:tr>
        <w:tblPrEx>
          <w:tblW w:w="8580" w:type="dxa"/>
          <w:jc w:val="center"/>
          <w:tblLayout w:type="fixed"/>
          <w:tblCellMar>
            <w:left w:w="108" w:type="dxa"/>
            <w:right w:w="108" w:type="dxa"/>
          </w:tblCellMar>
        </w:tblPrEx>
        <w:trPr>
          <w:cantSplit/>
          <w:trHeight w:hRule="exact" w:val="315"/>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45" w:history="1">
              <w:r>
                <w:rPr>
                  <w:rFonts w:ascii="Arial" w:eastAsia="Arial" w:hAnsi="Arial" w:cs="Arial"/>
                  <w:b w:val="0"/>
                  <w:i w:val="0"/>
                  <w:color w:val="000000"/>
                  <w:sz w:val="18"/>
                  <w:u w:val="none"/>
                  <w:shd w:val="clear" w:color="auto" w:fill="auto"/>
                </w:rPr>
                <w:t>Questions and Answers</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Section145</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109</w:t>
            </w:r>
            <w:r>
              <w:rPr>
                <w:rFonts w:ascii="Arial" w:eastAsia="Arial" w:hAnsi="Arial" w:cs="Arial"/>
                <w:b w:val="0"/>
                <w:i w:val="0"/>
                <w:color w:val="000000"/>
                <w:sz w:val="18"/>
                <w:u w:val="none"/>
              </w:rPr>
              <w:fldChar w:fldCharType="end"/>
            </w:r>
          </w:p>
        </w:tc>
      </w:tr>
      <w:tr>
        <w:tblPrEx>
          <w:tblW w:w="8580" w:type="dxa"/>
          <w:jc w:val="center"/>
          <w:tblLayout w:type="fixed"/>
          <w:tblCellMar>
            <w:left w:w="108" w:type="dxa"/>
            <w:right w:w="108" w:type="dxa"/>
          </w:tblCellMar>
        </w:tblPrEx>
        <w:trPr>
          <w:cantSplit/>
          <w:trHeight w:hRule="exact" w:val="60"/>
          <w:jc w:val="center"/>
        </w:trPr>
        <w:tc>
          <w:tcPr>
            <w:tcW w:w="7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585"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r>
        <w:tblPrEx>
          <w:tblW w:w="8580" w:type="dxa"/>
          <w:jc w:val="center"/>
          <w:tblLayout w:type="fixed"/>
          <w:tblCellMar>
            <w:left w:w="108" w:type="dxa"/>
            <w:right w:w="108" w:type="dxa"/>
          </w:tblCellMar>
        </w:tblPrEx>
        <w:trPr>
          <w:cantSplit/>
          <w:trHeight w:hRule="exact" w:val="300"/>
          <w:jc w:val="center"/>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i w:val="0"/>
                <w:sz w:val="22"/>
                <w:shd w:val="clear" w:color="auto" w:fill="auto"/>
              </w:rPr>
            </w:pPr>
            <w:hyperlink w:anchor="Section169" w:history="1">
              <w:r>
                <w:rPr>
                  <w:rFonts w:ascii="Arial" w:eastAsia="Arial" w:hAnsi="Arial" w:cs="Arial"/>
                  <w:b/>
                  <w:i w:val="0"/>
                  <w:color w:val="000000"/>
                  <w:sz w:val="22"/>
                  <w:u w:val="none"/>
                  <w:shd w:val="clear" w:color="auto" w:fill="auto"/>
                </w:rPr>
                <w:t xml:space="preserve">Appendix A - </w:t>
              </w:r>
            </w:hyperlink>
            <w:hyperlink w:anchor="Section169" w:history="1">
              <w:r>
                <w:rPr>
                  <w:rFonts w:ascii="Arial" w:eastAsia="Arial" w:hAnsi="Arial" w:cs="Arial"/>
                  <w:b/>
                  <w:i w:val="0"/>
                  <w:color w:val="000000"/>
                  <w:sz w:val="22"/>
                  <w:u w:val="none"/>
                  <w:shd w:val="clear" w:color="auto" w:fill="auto"/>
                </w:rPr>
                <w:t>Non-GAAP Financial Measures</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i w:val="0"/>
                <w:sz w:val="22"/>
                <w:shd w:val="clear" w:color="auto" w:fill="auto"/>
              </w:rPr>
            </w:pPr>
            <w:hyperlink w:anchor="Section169" w:history="1">
              <w:r>
                <w:rPr>
                  <w:rFonts w:ascii="Arial" w:eastAsia="Arial" w:hAnsi="Arial" w:cs="Arial"/>
                  <w:b/>
                  <w:i w:val="0"/>
                  <w:color w:val="000000"/>
                  <w:sz w:val="22"/>
                  <w:u w:val="none"/>
                  <w:shd w:val="clear" w:color="auto" w:fill="auto"/>
                </w:rPr>
                <w:t>A-1</w:t>
              </w:r>
            </w:hyperlink>
          </w:p>
        </w:tc>
      </w:tr>
    </w:tbl>
    <w:p>
      <w:pPr>
        <w:keepNext w:val="0"/>
        <w:keepLines w:val="0"/>
        <w:pageBreakBefore w:val="0"/>
        <w:widowControl w:val="0"/>
        <w:numPr>
          <w:ilvl w:val="0"/>
          <w:numId w:val="0"/>
        </w:numPr>
        <w:spacing w:before="100" w:after="0" w:line="288" w:lineRule="auto"/>
        <w:ind w:left="0" w:right="0" w:firstLine="0"/>
        <w:jc w:val="center"/>
        <w:outlineLvl w:val="9"/>
        <w:rPr>
          <w:rFonts w:ascii="Times New Roman" w:eastAsia="Times New Roman" w:hAnsi="Times New Roman" w:cs="Times New Roman"/>
          <w:b w:val="0"/>
          <w:i w:val="0"/>
          <w:color w:val="FF0090"/>
          <w:sz w:val="10"/>
          <w:u w:val="none"/>
        </w:rPr>
      </w:pPr>
    </w:p>
    <w:tbl>
      <w:tblPr>
        <w:tblW w:w="10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755"/>
      </w:tblGrid>
      <w:tr>
        <w:tblPrEx>
          <w:tblW w:w="10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15"/>
          <w:jc w:val="center"/>
        </w:trPr>
        <w:tc>
          <w:tcPr>
            <w:tcW w:w="10755" w:type="dxa"/>
            <w:tcBorders>
              <w:top w:val="single" w:sz="12" w:space="0" w:color="929292"/>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755" w:type="dxa"/>
          <w:jc w:val="center"/>
          <w:tblLayout w:type="fixed"/>
          <w:tblCellMar>
            <w:left w:w="108" w:type="dxa"/>
            <w:right w:w="108" w:type="dxa"/>
          </w:tblCellMar>
        </w:tblPrEx>
        <w:trPr>
          <w:cantSplit/>
          <w:trHeight w:hRule="exact" w:val="6345"/>
          <w:jc w:val="center"/>
        </w:trPr>
        <w:tc>
          <w:tcPr>
            <w:tcW w:w="1075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120" w:line="300" w:lineRule="auto"/>
              <w:ind w:left="0" w:right="0" w:firstLine="0"/>
              <w:jc w:val="both"/>
              <w:outlineLvl w:val="9"/>
              <w:rPr>
                <w:rFonts w:ascii="Arial" w:eastAsia="Arial" w:hAnsi="Arial" w:cs="Arial"/>
                <w:b w:val="0"/>
                <w:i w:val="0"/>
                <w:color w:val="929292"/>
                <w:sz w:val="20"/>
                <w:u w:val="none"/>
              </w:rPr>
            </w:pPr>
            <w:r>
              <w:rPr>
                <w:rFonts w:ascii="Arial" w:eastAsia="Arial" w:hAnsi="Arial" w:cs="Arial"/>
                <w:b w:val="0"/>
                <w:i w:val="0"/>
                <w:color w:val="929292"/>
                <w:sz w:val="20"/>
                <w:u w:val="none"/>
              </w:rPr>
              <w:t>In this proxy statement, the terms "Enstar," "we," "our," and "Company" refer to Enstar Group Limited. Information presented in the proxy statement is based on calendar years. The proxy statement includes website addresses and references to additional materials found on those websites. These websites and materials are not incorporated into the proxy statement by reference.</w:t>
            </w:r>
          </w:p>
          <w:p>
            <w:pPr>
              <w:pageBreakBefore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color w:val="929292"/>
                <w:sz w:val="20"/>
                <w:u w:val="none"/>
              </w:rPr>
              <w:t xml:space="preserve">These materials were first sent or made available to shareholders on </w:t>
            </w:r>
            <w:r>
              <w:rPr>
                <w:rFonts w:ascii="Arial" w:eastAsia="Arial" w:hAnsi="Arial" w:cs="Arial"/>
                <w:b w:val="0"/>
                <w:i w:val="0"/>
                <w:color w:val="929292"/>
                <w:sz w:val="20"/>
                <w:u w:val="none"/>
              </w:rPr>
              <w:t>April 26, 2024</w:t>
            </w:r>
            <w:r>
              <w:rPr>
                <w:rFonts w:ascii="Arial" w:eastAsia="Arial" w:hAnsi="Arial" w:cs="Arial"/>
                <w:b w:val="0"/>
                <w:i w:val="0"/>
                <w:color w:val="929292"/>
                <w:sz w:val="20"/>
                <w:u w:val="none"/>
              </w:rPr>
              <w:t>.</w:t>
            </w:r>
          </w:p>
          <w:p>
            <w:pPr>
              <w:pageBreakBefore w:val="0"/>
              <w:numPr>
                <w:ilvl w:val="0"/>
                <w:numId w:val="0"/>
              </w:numPr>
              <w:spacing w:before="0" w:after="60" w:line="288" w:lineRule="auto"/>
              <w:ind w:left="0" w:right="0" w:firstLine="0"/>
              <w:jc w:val="left"/>
              <w:outlineLvl w:val="9"/>
              <w:rPr>
                <w:rFonts w:ascii="Arial" w:eastAsia="Arial" w:hAnsi="Arial" w:cs="Arial"/>
                <w:b/>
                <w:i w:val="0"/>
                <w:color w:val="4495D1"/>
                <w:sz w:val="20"/>
                <w:u w:val="none"/>
              </w:rPr>
            </w:pPr>
            <w:r>
              <w:rPr>
                <w:rFonts w:ascii="Arial" w:eastAsia="Arial" w:hAnsi="Arial" w:cs="Arial"/>
                <w:b/>
                <w:i w:val="0"/>
                <w:color w:val="4495D1"/>
                <w:sz w:val="20"/>
                <w:u w:val="none"/>
              </w:rPr>
              <w:t>Cautionary Statement Regarding Forward-Looking Statements</w:t>
            </w:r>
          </w:p>
          <w:p>
            <w:pPr>
              <w:pageBreakBefore w:val="0"/>
              <w:numPr>
                <w:ilvl w:val="0"/>
                <w:numId w:val="0"/>
              </w:numPr>
              <w:spacing w:before="0" w:after="120" w:line="300" w:lineRule="auto"/>
              <w:ind w:left="0" w:right="0" w:firstLine="0"/>
              <w:jc w:val="both"/>
              <w:outlineLvl w:val="9"/>
              <w:rPr>
                <w:rFonts w:ascii="Arial" w:eastAsia="Arial" w:hAnsi="Arial" w:cs="Arial"/>
                <w:b w:val="0"/>
                <w:i w:val="0"/>
                <w:color w:val="929292"/>
                <w:sz w:val="20"/>
                <w:u w:val="none"/>
              </w:rPr>
            </w:pPr>
            <w:r>
              <w:rPr>
                <w:rFonts w:ascii="Arial" w:eastAsia="Arial" w:hAnsi="Arial" w:cs="Arial"/>
                <w:b w:val="0"/>
                <w:i w:val="0"/>
                <w:color w:val="929292"/>
                <w:sz w:val="20"/>
                <w:u w:val="none"/>
              </w:rPr>
              <w:t>This document contains certain forward-looking statements within the meaning of Section 27A of the Securities Act of 1933 and Section 21E of the Securities Exchange Act of 1934 with respect to our financial condition, results of operations, business strategies, ESG objectives, operating efficiencies, competitive positions, growth opportunities, plans and objectives of our management, as well as the markets for our securities and the insurance and reinsurance sectors in general. Statements that include words such as "estimate," "project," "plan," "intend," "expect," "anticipate," "believe," "would," "should," "could," "seek," "may" and similar statements of a future or forward-looking nature identify forward-looking statements for purposes of the federal securities laws or otherwise. Forward-looking statements may appear throughout this proxy statement, including in the Chairman's letter and the Annual Incentive Program section of Compensation Discussion &amp; Analysis. These statements include statements regarding the intent, belief or current expectations of Enstar and its management team. Investors are cautioned that any such forward-looking statements speak only as of the date they are made, are not guarantees of future performance and involve risks and uncertainties, and that actual results may differ materially from those projected in the forward-looking statements as a result of various factors. Important risk factors regarding Enstar can be found under the heading "Risk Factors" in our Annual Report on Form 10-K for the year ended </w:t>
            </w:r>
            <w:r>
              <w:rPr>
                <w:rFonts w:ascii="Arial" w:eastAsia="Arial" w:hAnsi="Arial" w:cs="Arial"/>
                <w:b w:val="0"/>
                <w:i w:val="0"/>
                <w:color w:val="929292"/>
                <w:sz w:val="20"/>
                <w:u w:val="none"/>
              </w:rPr>
              <w:t>December 31, 2023</w:t>
            </w:r>
            <w:r>
              <w:rPr>
                <w:rFonts w:ascii="Arial" w:eastAsia="Arial" w:hAnsi="Arial" w:cs="Arial"/>
                <w:b w:val="0"/>
                <w:i w:val="0"/>
                <w:color w:val="929292"/>
                <w:sz w:val="20"/>
                <w:u w:val="none"/>
              </w:rPr>
              <w:t>. Furthermore, Enstar undertakes no obligation to update any written or oral forward-looking statements or publicly announce any updates or revisions to any of the forward-looking statements contained herein, to reflect any change in its expectations with regard thereto or any change in events, conditions, circumstances or assumptions underlying such statements, except as required by law.</w:t>
            </w:r>
          </w:p>
          <w:p>
            <w:pPr>
              <w:pageBreakBefore w:val="0"/>
              <w:numPr>
                <w:ilvl w:val="0"/>
                <w:numId w:val="0"/>
              </w:numPr>
              <w:spacing w:before="0" w:after="30" w:line="300" w:lineRule="auto"/>
              <w:ind w:left="0" w:right="0" w:firstLine="0"/>
              <w:jc w:val="both"/>
              <w:outlineLvl w:val="9"/>
              <w:rPr>
                <w:rFonts w:ascii="Arial" w:eastAsia="Arial" w:hAnsi="Arial" w:cs="Arial"/>
                <w:b w:val="0"/>
                <w:i w:val="0"/>
                <w:color w:val="929292"/>
                <w:sz w:val="20"/>
                <w:u w:val="none"/>
              </w:rPr>
            </w:pPr>
          </w:p>
        </w:tc>
      </w:tr>
    </w:tbl>
    <w:p>
      <w:pPr>
        <w:keepNext w:val="0"/>
        <w:keepLines w:val="0"/>
        <w:pageBreakBefore w:val="0"/>
        <w:widowControl w:val="0"/>
        <w:numPr>
          <w:ilvl w:val="0"/>
          <w:numId w:val="0"/>
        </w:numPr>
        <w:spacing w:before="0" w:after="0" w:line="288" w:lineRule="auto"/>
        <w:ind w:left="0" w:right="0" w:firstLine="0"/>
        <w:jc w:val="center"/>
        <w:outlineLvl w:val="9"/>
        <w:rPr>
          <w:rFonts w:ascii="Times New Roman" w:eastAsia="Times New Roman" w:hAnsi="Times New Roman" w:cs="Times New Roman"/>
          <w:b w:val="0"/>
          <w:i w:val="0"/>
          <w:color w:val="FF0090"/>
          <w:sz w:val="2"/>
          <w:u w:val="none"/>
        </w:rPr>
      </w:pPr>
    </w:p>
    <w:p>
      <w:pPr>
        <w:keepNext w:val="0"/>
        <w:keepLines w:val="0"/>
        <w:pageBreakBefore w:val="0"/>
        <w:widowControl w:val="0"/>
        <w:numPr>
          <w:ilvl w:val="0"/>
          <w:numId w:val="0"/>
        </w:numPr>
        <w:spacing w:before="0" w:after="0" w:line="288" w:lineRule="auto"/>
        <w:ind w:left="0" w:right="0" w:firstLine="0"/>
        <w:jc w:val="center"/>
        <w:outlineLvl w:val="9"/>
        <w:rPr>
          <w:rFonts w:ascii="Times New Roman" w:eastAsia="Times New Roman" w:hAnsi="Times New Roman" w:cs="Times New Roman"/>
          <w:b w:val="0"/>
          <w:i w:val="0"/>
          <w:color w:val="FF0090"/>
          <w:sz w:val="2"/>
          <w:u w:val="none"/>
        </w:rPr>
        <w:sectPr>
          <w:pgSz w:w="12240" w:h="15840"/>
          <w:pgMar w:top="720" w:right="720" w:bottom="720" w:left="720" w:header="0" w:footer="0"/>
          <w:pgNumType w:fmt="lowerRoman"/>
          <w:cols w:space="708"/>
        </w:sect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80"/>
          <w:u w:val="none"/>
        </w:rPr>
      </w:pPr>
      <w:bookmarkStart w:id="3" w:name="Section6"/>
      <w:bookmarkEnd w:id="3"/>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80" w:line="252" w:lineRule="auto"/>
        <w:ind w:left="0" w:right="0" w:firstLine="0"/>
        <w:jc w:val="left"/>
        <w:outlineLvl w:val="0"/>
        <w:rPr>
          <w:rFonts w:ascii="Arial" w:eastAsia="Arial" w:hAnsi="Arial" w:cs="Arial"/>
          <w:b/>
          <w:i w:val="0"/>
          <w:color w:val="171449"/>
          <w:sz w:val="80"/>
          <w:u w:val="none"/>
        </w:rPr>
      </w:pPr>
      <w:r>
        <w:rPr>
          <w:rFonts w:ascii="Arial" w:eastAsia="Arial" w:hAnsi="Arial" w:cs="Arial"/>
          <w:b/>
          <w:i w:val="0"/>
          <w:color w:val="171449"/>
          <w:sz w:val="80"/>
          <w:u w:val="none"/>
        </w:rPr>
        <w:t xml:space="preserve">Proxy Statement </w:t>
      </w:r>
      <w:r>
        <w:rPr>
          <w:rFonts w:ascii="Arial" w:eastAsia="Arial" w:hAnsi="Arial" w:cs="Arial"/>
          <w:b/>
          <w:i w:val="0"/>
          <w:color w:val="171449"/>
          <w:sz w:val="80"/>
          <w:u w:val="none"/>
        </w:rPr>
        <w:br/>
      </w:r>
      <w:r>
        <w:rPr>
          <w:rFonts w:ascii="Arial" w:eastAsia="Arial" w:hAnsi="Arial" w:cs="Arial"/>
          <w:b/>
          <w:i w:val="0"/>
          <w:color w:val="171449"/>
          <w:sz w:val="80"/>
          <w:u w:val="none"/>
        </w:rPr>
        <w:t>Summary</w:t>
      </w: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40"/>
          <w:u w:val="none"/>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tbl>
      <w:tblPr>
        <w:tblW w:w="85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7995"/>
        <w:gridCol w:w="585"/>
      </w:tblGrid>
      <w:tr>
        <w:tblPrEx>
          <w:tblW w:w="85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15"/>
        </w:trPr>
        <w:tc>
          <w:tcPr>
            <w:tcW w:w="7995" w:type="dxa"/>
            <w:tcBorders>
              <w:top w:val="single" w:sz="8" w:space="0" w:color="929292"/>
              <w:left w:val="nil"/>
              <w:bottom w:val="nil"/>
              <w:right w:val="nil"/>
            </w:tcBorders>
            <w:tcMar>
              <w:top w:w="0" w:type="dxa"/>
              <w:left w:w="0" w:type="dxa"/>
              <w:bottom w:w="0" w:type="dxa"/>
              <w:right w:w="0" w:type="dxa"/>
            </w:tcMar>
            <w:vAlign w:val="bottom"/>
          </w:tcPr>
          <w:p>
            <w:pPr>
              <w:keepNext/>
              <w:pageBreakBefore w:val="0"/>
              <w:spacing w:before="0" w:after="0"/>
            </w:pPr>
          </w:p>
        </w:tc>
        <w:tc>
          <w:tcPr>
            <w:tcW w:w="585" w:type="dxa"/>
            <w:tcBorders>
              <w:top w:val="single" w:sz="8" w:space="0" w:color="929292"/>
              <w:left w:val="nil"/>
              <w:bottom w:val="nil"/>
              <w:right w:val="nil"/>
            </w:tcBorders>
            <w:tcMar>
              <w:top w:w="0" w:type="dxa"/>
              <w:left w:w="0" w:type="dxa"/>
              <w:bottom w:w="0" w:type="dxa"/>
              <w:right w:w="0" w:type="dxa"/>
            </w:tcMar>
            <w:vAlign w:val="bottom"/>
          </w:tcPr>
          <w:p>
            <w:pPr>
              <w:keepNext/>
              <w:pageBreakBefore w:val="0"/>
              <w:spacing w:before="0" w:after="0"/>
            </w:pPr>
          </w:p>
        </w:tc>
      </w:tr>
      <w:tr>
        <w:tblPrEx>
          <w:tblW w:w="8580" w:type="dxa"/>
          <w:tblInd w:w="0" w:type="dxa"/>
          <w:tblLayout w:type="fixed"/>
          <w:tblCellMar>
            <w:left w:w="108" w:type="dxa"/>
            <w:right w:w="108" w:type="dxa"/>
          </w:tblCellMar>
        </w:tblPrEx>
        <w:trPr>
          <w:cantSplit/>
          <w:trHeight w:hRule="exact" w:val="315"/>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7" w:history="1">
              <w:r>
                <w:rPr>
                  <w:rFonts w:ascii="Arial" w:eastAsia="Arial" w:hAnsi="Arial" w:cs="Arial"/>
                  <w:b w:val="0"/>
                  <w:i w:val="0"/>
                  <w:color w:val="000000"/>
                  <w:sz w:val="18"/>
                  <w:u w:val="none"/>
                  <w:shd w:val="clear" w:color="auto" w:fill="auto"/>
                </w:rPr>
                <w:t>Annual General Meeting of Shareholders Information</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Section7</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i</w:t>
            </w:r>
            <w:r>
              <w:rPr>
                <w:rFonts w:ascii="Arial" w:eastAsia="Arial" w:hAnsi="Arial" w:cs="Arial"/>
                <w:b w:val="0"/>
                <w:i w:val="0"/>
                <w:color w:val="000000"/>
                <w:sz w:val="18"/>
                <w:u w:val="none"/>
              </w:rPr>
              <w:fldChar w:fldCharType="end"/>
            </w:r>
          </w:p>
        </w:tc>
      </w:tr>
      <w:tr>
        <w:tblPrEx>
          <w:tblW w:w="8580" w:type="dxa"/>
          <w:tblInd w:w="0" w:type="dxa"/>
          <w:tblLayout w:type="fixed"/>
          <w:tblCellMar>
            <w:left w:w="108" w:type="dxa"/>
            <w:right w:w="108" w:type="dxa"/>
          </w:tblCellMar>
        </w:tblPrEx>
        <w:trPr>
          <w:cantSplit/>
          <w:trHeight w:hRule="exact" w:val="315"/>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8" w:history="1">
              <w:r>
                <w:rPr>
                  <w:rFonts w:ascii="Arial" w:eastAsia="Arial" w:hAnsi="Arial" w:cs="Arial"/>
                  <w:b w:val="0"/>
                  <w:i w:val="0"/>
                  <w:color w:val="000000"/>
                  <w:sz w:val="18"/>
                  <w:u w:val="none"/>
                  <w:shd w:val="clear" w:color="auto" w:fill="auto"/>
                </w:rPr>
                <w:t>202</w:t>
              </w:r>
            </w:hyperlink>
            <w:hyperlink w:anchor="Section8" w:history="1">
              <w:r>
                <w:rPr>
                  <w:rFonts w:ascii="Arial" w:eastAsia="Arial" w:hAnsi="Arial" w:cs="Arial"/>
                  <w:b w:val="0"/>
                  <w:i w:val="0"/>
                  <w:color w:val="000000"/>
                  <w:sz w:val="18"/>
                  <w:u w:val="none"/>
                  <w:shd w:val="clear" w:color="auto" w:fill="auto"/>
                </w:rPr>
                <w:t>3</w:t>
              </w:r>
            </w:hyperlink>
            <w:hyperlink w:anchor="Section8" w:history="1">
              <w:r>
                <w:rPr>
                  <w:rFonts w:ascii="Arial" w:eastAsia="Arial" w:hAnsi="Arial" w:cs="Arial"/>
                  <w:b w:val="0"/>
                  <w:i w:val="0"/>
                  <w:color w:val="000000"/>
                  <w:sz w:val="18"/>
                  <w:u w:val="none"/>
                  <w:shd w:val="clear" w:color="auto" w:fill="auto"/>
                </w:rPr>
                <w:t xml:space="preserve"> Business Highlights</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Section8</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ii</w:t>
            </w:r>
            <w:r>
              <w:rPr>
                <w:rFonts w:ascii="Arial" w:eastAsia="Arial" w:hAnsi="Arial" w:cs="Arial"/>
                <w:b w:val="0"/>
                <w:i w:val="0"/>
                <w:color w:val="000000"/>
                <w:sz w:val="18"/>
                <w:u w:val="none"/>
              </w:rPr>
              <w:fldChar w:fldCharType="end"/>
            </w:r>
          </w:p>
        </w:tc>
      </w:tr>
      <w:tr>
        <w:tblPrEx>
          <w:tblW w:w="8580" w:type="dxa"/>
          <w:tblInd w:w="0" w:type="dxa"/>
          <w:tblLayout w:type="fixed"/>
          <w:tblCellMar>
            <w:left w:w="108" w:type="dxa"/>
            <w:right w:w="108" w:type="dxa"/>
          </w:tblCellMar>
        </w:tblPrEx>
        <w:trPr>
          <w:cantSplit/>
          <w:trHeight w:hRule="exact" w:val="315"/>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9" w:history="1">
              <w:r>
                <w:rPr>
                  <w:rFonts w:ascii="Arial" w:eastAsia="Arial" w:hAnsi="Arial" w:cs="Arial"/>
                  <w:b w:val="0"/>
                  <w:i w:val="0"/>
                  <w:color w:val="000000"/>
                  <w:sz w:val="18"/>
                  <w:u w:val="none"/>
                  <w:shd w:val="clear" w:color="auto" w:fill="auto"/>
                </w:rPr>
                <w:t>Executive Compensation</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Section9</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iv</w:t>
            </w:r>
            <w:r>
              <w:rPr>
                <w:rFonts w:ascii="Arial" w:eastAsia="Arial" w:hAnsi="Arial" w:cs="Arial"/>
                <w:b w:val="0"/>
                <w:i w:val="0"/>
                <w:color w:val="000000"/>
                <w:sz w:val="18"/>
                <w:u w:val="none"/>
              </w:rPr>
              <w:fldChar w:fldCharType="end"/>
            </w:r>
          </w:p>
        </w:tc>
      </w:tr>
      <w:tr>
        <w:tblPrEx>
          <w:tblW w:w="8580" w:type="dxa"/>
          <w:tblInd w:w="0" w:type="dxa"/>
          <w:tblLayout w:type="fixed"/>
          <w:tblCellMar>
            <w:left w:w="108" w:type="dxa"/>
            <w:right w:w="108" w:type="dxa"/>
          </w:tblCellMar>
        </w:tblPrEx>
        <w:trPr>
          <w:cantSplit/>
          <w:trHeight w:hRule="exact" w:val="315"/>
        </w:trPr>
        <w:tc>
          <w:tcPr>
            <w:tcW w:w="799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val="0"/>
                <w:i w:val="0"/>
                <w:color w:val="000000"/>
                <w:sz w:val="18"/>
                <w:u w:val="none"/>
              </w:rPr>
              <w:t>Key Compensation Decisions for 2023 Performance Year</w:t>
            </w:r>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Section10</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v</w:t>
            </w:r>
            <w:r>
              <w:rPr>
                <w:rFonts w:ascii="Arial" w:eastAsia="Arial" w:hAnsi="Arial" w:cs="Arial"/>
                <w:b w:val="0"/>
                <w:i w:val="0"/>
                <w:color w:val="000000"/>
                <w:sz w:val="18"/>
                <w:u w:val="none"/>
              </w:rPr>
              <w:fldChar w:fldCharType="end"/>
            </w:r>
          </w:p>
        </w:tc>
      </w:tr>
      <w:tr>
        <w:tblPrEx>
          <w:tblW w:w="8580" w:type="dxa"/>
          <w:tblInd w:w="0" w:type="dxa"/>
          <w:tblLayout w:type="fixed"/>
          <w:tblCellMar>
            <w:left w:w="108" w:type="dxa"/>
            <w:right w:w="108" w:type="dxa"/>
          </w:tblCellMar>
        </w:tblPrEx>
        <w:trPr>
          <w:cantSplit/>
          <w:trHeight w:hRule="exact" w:val="315"/>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1" w:history="1">
              <w:r>
                <w:rPr>
                  <w:rFonts w:ascii="Arial" w:eastAsia="Arial" w:hAnsi="Arial" w:cs="Arial"/>
                  <w:b w:val="0"/>
                  <w:i w:val="0"/>
                  <w:color w:val="000000"/>
                  <w:sz w:val="18"/>
                  <w:u w:val="none"/>
                  <w:shd w:val="clear" w:color="auto" w:fill="auto"/>
                </w:rPr>
                <w:t>Our Board of Directors</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Section11</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vi</w:t>
            </w:r>
            <w:r>
              <w:rPr>
                <w:rFonts w:ascii="Arial" w:eastAsia="Arial" w:hAnsi="Arial" w:cs="Arial"/>
                <w:b w:val="0"/>
                <w:i w:val="0"/>
                <w:color w:val="000000"/>
                <w:sz w:val="18"/>
                <w:u w:val="none"/>
              </w:rPr>
              <w:fldChar w:fldCharType="end"/>
            </w:r>
          </w:p>
        </w:tc>
      </w:tr>
      <w:tr>
        <w:tblPrEx>
          <w:tblW w:w="8580" w:type="dxa"/>
          <w:tblInd w:w="0" w:type="dxa"/>
          <w:tblLayout w:type="fixed"/>
          <w:tblCellMar>
            <w:left w:w="108" w:type="dxa"/>
            <w:right w:w="108" w:type="dxa"/>
          </w:tblCellMar>
        </w:tblPrEx>
        <w:trPr>
          <w:cantSplit/>
          <w:trHeight w:hRule="exact" w:val="315"/>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37" w:history="1">
              <w:r>
                <w:rPr>
                  <w:rFonts w:ascii="Arial" w:eastAsia="Arial" w:hAnsi="Arial" w:cs="Arial"/>
                  <w:b w:val="0"/>
                  <w:i w:val="0"/>
                  <w:color w:val="000000"/>
                  <w:sz w:val="18"/>
                  <w:u w:val="none"/>
                  <w:shd w:val="clear" w:color="auto" w:fill="auto"/>
                </w:rPr>
                <w:t>Corporate Governance Highlights</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Section12</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vii</w:t>
            </w:r>
            <w:r>
              <w:rPr>
                <w:rFonts w:ascii="Arial" w:eastAsia="Arial" w:hAnsi="Arial" w:cs="Arial"/>
                <w:b w:val="0"/>
                <w:i w:val="0"/>
                <w:color w:val="000000"/>
                <w:sz w:val="18"/>
                <w:u w:val="none"/>
              </w:rPr>
              <w:fldChar w:fldCharType="end"/>
            </w:r>
          </w:p>
        </w:tc>
      </w:tr>
      <w:tr>
        <w:tblPrEx>
          <w:tblW w:w="8580" w:type="dxa"/>
          <w:tblInd w:w="0" w:type="dxa"/>
          <w:tblLayout w:type="fixed"/>
          <w:tblCellMar>
            <w:left w:w="108" w:type="dxa"/>
            <w:right w:w="108" w:type="dxa"/>
          </w:tblCellMar>
        </w:tblPrEx>
        <w:trPr>
          <w:cantSplit/>
          <w:trHeight w:hRule="exact" w:val="315"/>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3" w:history="1">
              <w:r>
                <w:rPr>
                  <w:rFonts w:ascii="Arial" w:eastAsia="Arial" w:hAnsi="Arial" w:cs="Arial"/>
                  <w:b w:val="0"/>
                  <w:i w:val="0"/>
                  <w:color w:val="000000"/>
                  <w:sz w:val="18"/>
                  <w:u w:val="none"/>
                  <w:shd w:val="clear" w:color="auto" w:fill="auto"/>
                </w:rPr>
                <w:t>Voting Matters and Vote Recommendation</w:t>
              </w:r>
            </w:hyperlink>
            <w:r>
              <w:rPr>
                <w:rFonts w:ascii="Arial" w:eastAsia="Arial" w:hAnsi="Arial" w:cs="Arial"/>
                <w:b w:val="0"/>
                <w:i w:val="0"/>
                <w:sz w:val="18"/>
              </w:rPr>
              <w:t>s</w:t>
            </w:r>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Section13</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viii</w:t>
            </w:r>
            <w:r>
              <w:rPr>
                <w:rFonts w:ascii="Arial" w:eastAsia="Arial" w:hAnsi="Arial" w:cs="Arial"/>
                <w:b w:val="0"/>
                <w:i w:val="0"/>
                <w:color w:val="000000"/>
                <w:sz w:val="18"/>
                <w:u w:val="none"/>
              </w:rPr>
              <w:fldChar w:fldCharType="end"/>
            </w:r>
          </w:p>
        </w:tc>
      </w:tr>
    </w:tbl>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
          <w:u w:val="none"/>
        </w:rPr>
        <w:sectPr>
          <w:headerReference w:type="default" r:id="rId18"/>
          <w:footerReference w:type="default" r:id="rId19"/>
          <w:pgSz w:w="12240" w:h="15840"/>
          <w:pgMar w:top="855" w:right="990" w:bottom="855" w:left="990" w:header="180" w:footer="270"/>
          <w:pgNumType w:fmt="lowerRoman" w:start="1"/>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4"/>
          <w:u w:val="none"/>
        </w:rPr>
      </w:pPr>
      <w:bookmarkStart w:id="4" w:name="Section7"/>
      <w:bookmarkEnd w:id="4"/>
    </w:p>
    <w:p>
      <w:pPr>
        <w:keepNext w:val="0"/>
        <w:keepLines w:val="0"/>
        <w:pageBreakBefore w:val="0"/>
        <w:widowControl/>
        <w:numPr>
          <w:ilvl w:val="0"/>
          <w:numId w:val="0"/>
        </w:numPr>
        <w:spacing w:before="0" w:after="120" w:line="300" w:lineRule="auto"/>
        <w:ind w:left="0" w:right="0" w:firstLine="0"/>
        <w:jc w:val="both"/>
        <w:outlineLvl w:val="1"/>
        <w:rPr>
          <w:rFonts w:ascii="Arial" w:eastAsia="Arial" w:hAnsi="Arial" w:cs="Arial"/>
          <w:b w:val="0"/>
          <w:i w:val="0"/>
          <w:sz w:val="20"/>
        </w:rPr>
      </w:pPr>
      <w:r>
        <w:rPr>
          <w:rFonts w:ascii="Arial" w:eastAsia="Arial" w:hAnsi="Arial" w:cs="Arial"/>
          <w:b w:val="0"/>
          <w:i w:val="0"/>
          <w:sz w:val="20"/>
        </w:rPr>
        <w:t xml:space="preserve">To assist you in reviewing our proxy statement, we have summarized several key topics below. The following description is only a summary and does not contain all of the information that you should consider before voting. For more complete information, you should carefully review the rest of our proxy statement, as well as our Annual Report to Shareholders for the year ended </w:t>
      </w:r>
      <w:r>
        <w:rPr>
          <w:rFonts w:ascii="Arial" w:eastAsia="Arial" w:hAnsi="Arial" w:cs="Arial"/>
          <w:b w:val="0"/>
          <w:i w:val="0"/>
          <w:color w:val="000000"/>
          <w:sz w:val="20"/>
          <w:u w:val="none"/>
        </w:rPr>
        <w:t>December 31, 2023</w:t>
      </w:r>
      <w:r>
        <w:rPr>
          <w:rFonts w:ascii="Arial" w:eastAsia="Arial" w:hAnsi="Arial" w:cs="Arial"/>
          <w:b w:val="0"/>
          <w:i w:val="0"/>
          <w:sz w:val="20"/>
        </w:rPr>
        <w: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4"/>
          <w:u w:val="none"/>
        </w:rPr>
      </w:pPr>
      <w:r>
        <w:rPr>
          <w:rFonts w:ascii="Arial" w:eastAsia="Arial" w:hAnsi="Arial" w:cs="Arial"/>
          <w:b/>
          <w:i w:val="0"/>
          <w:color w:val="4495D1"/>
          <w:sz w:val="24"/>
          <w:u w:val="none"/>
        </w:rPr>
        <w:t>ANNUAL GENERAL MEETING OF SHAREHOLDERS INFORMATION</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0" w:line="288" w:lineRule="auto"/>
        <w:ind w:left="0" w:right="0" w:firstLine="0"/>
        <w:jc w:val="left"/>
        <w:outlineLvl w:val="9"/>
        <w:rPr>
          <w:rFonts w:ascii="Arial" w:eastAsia="Arial" w:hAnsi="Arial" w:cs="Arial"/>
          <w:b/>
          <w:i w:val="0"/>
          <w:color w:val="4495D1"/>
          <w:sz w:val="10"/>
          <w:u w:val="none"/>
        </w:rPr>
      </w:pPr>
    </w:p>
    <w:tbl>
      <w:tblPr>
        <w:tblW w:w="1024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200"/>
        <w:gridCol w:w="3360"/>
        <w:gridCol w:w="285"/>
        <w:gridCol w:w="1305"/>
        <w:gridCol w:w="4095"/>
      </w:tblGrid>
      <w:tr>
        <w:tblPrEx>
          <w:tblW w:w="1024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785"/>
          <w:jc w:val="left"/>
        </w:trPr>
        <w:tc>
          <w:tcPr>
            <w:tcW w:w="1200" w:type="dxa"/>
            <w:tcBorders>
              <w:top w:val="single" w:sz="12" w:space="0" w:color="4494D1"/>
              <w:left w:val="single" w:sz="12" w:space="0" w:color="4494D1"/>
              <w:bottom w:val="single" w:sz="12" w:space="0" w:color="4494D1"/>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4D1"/>
                <w:sz w:val="90"/>
                <w:u w:val="none"/>
              </w:rPr>
            </w:pPr>
            <w:r>
              <w:pict>
                <v:shape id="_x0000_s1034" type="#_x0000_t75" style="width:45pt;height:45pt;margin-top:0;margin-left:0;mso-position-horizontal:center;position:absolute;z-index:251662336">
                  <v:imagedata r:id="rId13" o:title=""/>
                  <o:lock v:ext="edit" aspectratio="t"/>
                  <w10:wrap type="square"/>
                </v:shape>
              </w:pict>
            </w:r>
          </w:p>
        </w:tc>
        <w:tc>
          <w:tcPr>
            <w:tcW w:w="3360" w:type="dxa"/>
            <w:tcBorders>
              <w:top w:val="single" w:sz="12" w:space="0" w:color="4494D1"/>
              <w:left w:val="nil"/>
              <w:bottom w:val="single" w:sz="12" w:space="0" w:color="4494D1"/>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i w:val="0"/>
                <w:color w:val="4494D1"/>
                <w:sz w:val="20"/>
                <w:u w:val="none"/>
              </w:rPr>
            </w:pPr>
            <w:r>
              <w:rPr>
                <w:rFonts w:ascii="Arial" w:eastAsia="Arial" w:hAnsi="Arial" w:cs="Arial"/>
                <w:b/>
                <w:i w:val="0"/>
                <w:color w:val="4494D1"/>
                <w:sz w:val="20"/>
                <w:u w:val="none"/>
              </w:rPr>
              <w:t>WHEN</w:t>
            </w:r>
          </w:p>
          <w:p>
            <w:pPr>
              <w:pageBreakBefore w:val="0"/>
              <w:numPr>
                <w:ilvl w:val="0"/>
                <w:numId w:val="0"/>
              </w:numPr>
              <w:spacing w:before="0" w:after="0" w:line="288" w:lineRule="auto"/>
              <w:ind w:left="0" w:right="0" w:firstLine="0"/>
              <w:jc w:val="left"/>
              <w:outlineLvl w:val="9"/>
              <w:rPr>
                <w:rFonts w:ascii="Arial" w:eastAsia="Arial" w:hAnsi="Arial" w:cs="Arial"/>
                <w:b w:val="0"/>
                <w:i w:val="0"/>
                <w:sz w:val="18"/>
              </w:rPr>
            </w:pPr>
            <w:r>
              <w:rPr>
                <w:rFonts w:ascii="Arial" w:eastAsia="Arial" w:hAnsi="Arial" w:cs="Arial"/>
                <w:b w:val="0"/>
                <w:i w:val="0"/>
                <w:color w:val="000000"/>
                <w:sz w:val="18"/>
                <w:u w:val="none"/>
              </w:rPr>
              <w:t>Thursday, June 6, 2024</w:t>
            </w:r>
            <w:r>
              <w:rPr>
                <w:rFonts w:ascii="Arial" w:eastAsia="Arial" w:hAnsi="Arial" w:cs="Arial"/>
                <w:b w:val="0"/>
                <w:i w:val="0"/>
                <w:sz w:val="18"/>
              </w:rPr>
              <w:t xml:space="preserve"> at 9:00 a.m. </w:t>
            </w:r>
          </w:p>
          <w:p>
            <w:pPr>
              <w:pageBreakBefore w:val="0"/>
              <w:numPr>
                <w:ilvl w:val="0"/>
                <w:numId w:val="0"/>
              </w:numPr>
              <w:spacing w:before="0" w:after="0" w:line="288" w:lineRule="auto"/>
              <w:ind w:left="0" w:right="0" w:firstLine="0"/>
              <w:jc w:val="left"/>
              <w:outlineLvl w:val="9"/>
              <w:rPr>
                <w:rFonts w:ascii="Arial" w:eastAsia="Arial" w:hAnsi="Arial" w:cs="Arial"/>
                <w:b w:val="0"/>
                <w:i w:val="0"/>
                <w:sz w:val="18"/>
              </w:rPr>
            </w:pPr>
            <w:r>
              <w:rPr>
                <w:rFonts w:ascii="Arial" w:eastAsia="Arial" w:hAnsi="Arial" w:cs="Arial"/>
                <w:b w:val="0"/>
                <w:i w:val="0"/>
                <w:sz w:val="18"/>
              </w:rPr>
              <w:t>Atlantic time (8:00 a.m. Eastern time)</w:t>
            </w:r>
          </w:p>
        </w:tc>
        <w:tc>
          <w:tcPr>
            <w:tcW w:w="28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12" w:space="0" w:color="4494D1"/>
              <w:left w:val="single" w:sz="12" w:space="0" w:color="4494D1"/>
              <w:bottom w:val="single" w:sz="12" w:space="0" w:color="4494D1"/>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4D1"/>
                <w:sz w:val="90"/>
                <w:u w:val="none"/>
              </w:rPr>
            </w:pPr>
            <w:r>
              <w:pict>
                <v:shape id="_x0000_s1035" type="#_x0000_t75" style="width:45pt;height:45pt;margin-top:0;margin-left:0;mso-position-horizontal:center;position:absolute;z-index:251663360">
                  <v:imagedata r:id="rId14" o:title=""/>
                  <o:lock v:ext="edit" aspectratio="t"/>
                  <w10:wrap type="square"/>
                </v:shape>
              </w:pict>
            </w:r>
          </w:p>
        </w:tc>
        <w:tc>
          <w:tcPr>
            <w:tcW w:w="4095" w:type="dxa"/>
            <w:tcBorders>
              <w:top w:val="single" w:sz="12" w:space="0" w:color="4494D1"/>
              <w:left w:val="nil"/>
              <w:bottom w:val="single" w:sz="12" w:space="0" w:color="4494D1"/>
              <w:right w:val="single" w:sz="12" w:space="0" w:color="4494D1"/>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i w:val="0"/>
                <w:color w:val="4494D1"/>
                <w:sz w:val="20"/>
                <w:u w:val="none"/>
              </w:rPr>
            </w:pPr>
            <w:r>
              <w:rPr>
                <w:rFonts w:ascii="Arial" w:eastAsia="Arial" w:hAnsi="Arial" w:cs="Arial"/>
                <w:b/>
                <w:i w:val="0"/>
                <w:color w:val="4494D1"/>
                <w:sz w:val="20"/>
                <w:u w:val="none"/>
              </w:rPr>
              <w:t>WHERE</w:t>
            </w:r>
          </w:p>
          <w:p>
            <w:pPr>
              <w:pageBreakBefore w:val="0"/>
              <w:numPr>
                <w:ilvl w:val="0"/>
                <w:numId w:val="0"/>
              </w:numPr>
              <w:spacing w:before="0" w:after="0" w:line="288"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The Annual General Meeting can be </w:t>
            </w:r>
          </w:p>
          <w:p>
            <w:pPr>
              <w:pageBreakBefore w:val="0"/>
              <w:numPr>
                <w:ilvl w:val="0"/>
                <w:numId w:val="0"/>
              </w:numPr>
              <w:spacing w:before="0" w:after="0" w:line="288"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accessed virtually via the Internet by visiting </w:t>
            </w:r>
          </w:p>
          <w:p>
            <w:pPr>
              <w:pageBreakBefore w:val="0"/>
              <w:numPr>
                <w:ilvl w:val="0"/>
                <w:numId w:val="0"/>
              </w:numPr>
              <w:spacing w:before="0" w:after="0" w:line="288" w:lineRule="auto"/>
              <w:ind w:left="0" w:right="0" w:firstLine="0"/>
              <w:jc w:val="left"/>
              <w:outlineLvl w:val="9"/>
              <w:rPr>
                <w:rFonts w:ascii="Arial" w:eastAsia="Arial" w:hAnsi="Arial" w:cs="Arial"/>
                <w:b w:val="0"/>
                <w:i w:val="0"/>
                <w:sz w:val="18"/>
              </w:rPr>
            </w:pPr>
            <w:r>
              <w:rPr>
                <w:rFonts w:ascii="Arial" w:eastAsia="Arial" w:hAnsi="Arial" w:cs="Arial"/>
                <w:b w:val="0"/>
                <w:i w:val="0"/>
                <w:sz w:val="18"/>
              </w:rPr>
              <w:t>www.virtualshareholdermeeting.com/ESGR</w:t>
            </w:r>
            <w:r>
              <w:rPr>
                <w:rFonts w:ascii="Arial" w:eastAsia="Arial" w:hAnsi="Arial" w:cs="Arial"/>
                <w:b w:val="0"/>
                <w:i w:val="0"/>
                <w:color w:val="000000"/>
                <w:sz w:val="18"/>
                <w:u w:val="none"/>
              </w:rPr>
              <w:t>2024</w:t>
            </w:r>
          </w:p>
        </w:tc>
      </w:tr>
      <w:tr>
        <w:tblPrEx>
          <w:tblW w:w="10245" w:type="dxa"/>
          <w:jc w:val="left"/>
          <w:tblInd w:w="0" w:type="dxa"/>
          <w:tblLayout w:type="fixed"/>
          <w:tblCellMar>
            <w:left w:w="108" w:type="dxa"/>
            <w:right w:w="108" w:type="dxa"/>
          </w:tblCellMar>
        </w:tblPrEx>
        <w:trPr>
          <w:cantSplit/>
          <w:trHeight w:hRule="exact" w:val="285"/>
          <w:jc w:val="left"/>
        </w:trPr>
        <w:tc>
          <w:tcPr>
            <w:tcW w:w="1200" w:type="dxa"/>
            <w:tcBorders>
              <w:top w:val="single" w:sz="12" w:space="0" w:color="4494D1"/>
              <w:left w:val="nil"/>
              <w:bottom w:val="single" w:sz="12" w:space="0" w:color="4494D1"/>
              <w:right w:val="nil"/>
            </w:tcBorders>
            <w:tcMar>
              <w:top w:w="0" w:type="dxa"/>
              <w:left w:w="0" w:type="dxa"/>
              <w:bottom w:w="0" w:type="dxa"/>
              <w:right w:w="0" w:type="dxa"/>
            </w:tcMar>
            <w:vAlign w:val="bottom"/>
          </w:tcPr>
          <w:p>
            <w:pPr>
              <w:keepNext/>
              <w:pageBreakBefore w:val="0"/>
              <w:spacing w:before="0" w:after="0"/>
            </w:pPr>
          </w:p>
        </w:tc>
        <w:tc>
          <w:tcPr>
            <w:tcW w:w="3360" w:type="dxa"/>
            <w:tcBorders>
              <w:top w:val="single" w:sz="12" w:space="0" w:color="4494D1"/>
              <w:left w:val="nil"/>
              <w:bottom w:val="single" w:sz="12" w:space="0" w:color="4494D1"/>
              <w:right w:val="nil"/>
            </w:tcBorders>
            <w:tcMar>
              <w:top w:w="0" w:type="dxa"/>
              <w:left w:w="0" w:type="dxa"/>
              <w:bottom w:w="0" w:type="dxa"/>
              <w:right w:w="0" w:type="dxa"/>
            </w:tcMar>
            <w:vAlign w:val="bottom"/>
          </w:tcPr>
          <w:p>
            <w:pPr>
              <w:keepNext/>
              <w:pageBreakBefore w:val="0"/>
              <w:spacing w:before="0" w:after="0"/>
            </w:pPr>
          </w:p>
        </w:tc>
        <w:tc>
          <w:tcPr>
            <w:tcW w:w="2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single" w:sz="12" w:space="0" w:color="4494D1"/>
              <w:left w:val="nil"/>
              <w:bottom w:val="single" w:sz="12" w:space="0" w:color="4494D1"/>
              <w:right w:val="nil"/>
            </w:tcBorders>
            <w:tcMar>
              <w:top w:w="0" w:type="dxa"/>
              <w:left w:w="0" w:type="dxa"/>
              <w:bottom w:w="0" w:type="dxa"/>
              <w:right w:w="0" w:type="dxa"/>
            </w:tcMar>
            <w:vAlign w:val="bottom"/>
          </w:tcPr>
          <w:p>
            <w:pPr>
              <w:keepNext/>
              <w:pageBreakBefore w:val="0"/>
              <w:spacing w:before="0" w:after="0"/>
            </w:pPr>
          </w:p>
        </w:tc>
        <w:tc>
          <w:tcPr>
            <w:tcW w:w="4095" w:type="dxa"/>
            <w:tcBorders>
              <w:top w:val="single" w:sz="12" w:space="0" w:color="4494D1"/>
              <w:left w:val="nil"/>
              <w:bottom w:val="single" w:sz="12" w:space="0" w:color="4494D1"/>
              <w:right w:val="nil"/>
            </w:tcBorders>
            <w:tcMar>
              <w:top w:w="0" w:type="dxa"/>
              <w:left w:w="0" w:type="dxa"/>
              <w:bottom w:w="0" w:type="dxa"/>
              <w:right w:w="0" w:type="dxa"/>
            </w:tcMar>
            <w:vAlign w:val="bottom"/>
          </w:tcPr>
          <w:p>
            <w:pPr>
              <w:keepNext/>
              <w:pageBreakBefore w:val="0"/>
              <w:spacing w:before="0" w:after="0"/>
            </w:pPr>
          </w:p>
        </w:tc>
      </w:tr>
      <w:tr>
        <w:tblPrEx>
          <w:tblW w:w="10245" w:type="dxa"/>
          <w:jc w:val="left"/>
          <w:tblInd w:w="0" w:type="dxa"/>
          <w:tblLayout w:type="fixed"/>
          <w:tblCellMar>
            <w:left w:w="108" w:type="dxa"/>
            <w:right w:w="108" w:type="dxa"/>
          </w:tblCellMar>
        </w:tblPrEx>
        <w:trPr>
          <w:cantSplit/>
          <w:trHeight w:hRule="exact" w:val="1785"/>
          <w:jc w:val="left"/>
        </w:trPr>
        <w:tc>
          <w:tcPr>
            <w:tcW w:w="1200" w:type="dxa"/>
            <w:tcBorders>
              <w:top w:val="single" w:sz="12" w:space="0" w:color="4494D1"/>
              <w:left w:val="single" w:sz="12" w:space="0" w:color="4494D1"/>
              <w:bottom w:val="single" w:sz="12" w:space="0" w:color="4494D1"/>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90"/>
              <w:jc w:val="center"/>
              <w:outlineLvl w:val="9"/>
              <w:rPr>
                <w:rFonts w:ascii="Wingdings" w:eastAsia="Wingdings" w:hAnsi="Wingdings" w:cs="Wingdings"/>
                <w:b w:val="0"/>
                <w:i w:val="0"/>
                <w:color w:val="4494D1"/>
                <w:sz w:val="74"/>
                <w:u w:val="none"/>
              </w:rPr>
            </w:pPr>
            <w:r>
              <w:pict>
                <v:shape id="_x0000_s1036" type="#_x0000_t75" style="width:39pt;height:39pt;margin-top:0;margin-left:0;mso-position-horizontal:center;position:absolute;z-index:251664384">
                  <v:imagedata r:id="rId16" o:title=""/>
                  <o:lock v:ext="edit" aspectratio="t"/>
                  <w10:wrap type="square"/>
                </v:shape>
              </w:pict>
            </w:r>
          </w:p>
        </w:tc>
        <w:tc>
          <w:tcPr>
            <w:tcW w:w="3360" w:type="dxa"/>
            <w:tcBorders>
              <w:top w:val="single" w:sz="12" w:space="0" w:color="4494D1"/>
              <w:left w:val="nil"/>
              <w:bottom w:val="single" w:sz="12" w:space="0" w:color="4494D1"/>
              <w:right w:val="nil"/>
            </w:tcBorders>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color w:val="4494D1"/>
                <w:sz w:val="20"/>
                <w:u w:val="none"/>
              </w:rPr>
            </w:pPr>
            <w:r>
              <w:rPr>
                <w:rFonts w:ascii="Arial" w:eastAsia="Arial" w:hAnsi="Arial" w:cs="Arial"/>
                <w:b/>
                <w:i w:val="0"/>
                <w:color w:val="4494D1"/>
                <w:sz w:val="20"/>
                <w:u w:val="none"/>
              </w:rPr>
              <w:t>RECORD DATE</w:t>
            </w:r>
          </w:p>
          <w:p>
            <w:pPr>
              <w:pageBreakBefore w:val="0"/>
              <w:numPr>
                <w:ilvl w:val="0"/>
                <w:numId w:val="0"/>
              </w:numPr>
              <w:spacing w:before="0" w:after="0" w:line="288" w:lineRule="auto"/>
              <w:ind w:left="0" w:right="0" w:firstLine="0"/>
              <w:jc w:val="both"/>
              <w:outlineLvl w:val="9"/>
              <w:rPr>
                <w:rFonts w:ascii="Arial" w:eastAsia="Arial" w:hAnsi="Arial" w:cs="Arial"/>
                <w:b w:val="0"/>
                <w:i w:val="0"/>
                <w:sz w:val="18"/>
              </w:rPr>
            </w:pPr>
            <w:r>
              <w:rPr>
                <w:rFonts w:ascii="Arial" w:eastAsia="Arial" w:hAnsi="Arial" w:cs="Arial"/>
                <w:b w:val="0"/>
                <w:i w:val="0"/>
                <w:color w:val="000000"/>
                <w:sz w:val="18"/>
                <w:u w:val="none"/>
              </w:rPr>
              <w:t>April 8, 2024</w:t>
            </w:r>
          </w:p>
        </w:tc>
        <w:tc>
          <w:tcPr>
            <w:tcW w:w="285" w:type="dxa"/>
            <w:tcBorders>
              <w:top w:val="nil"/>
              <w:left w:val="single" w:sz="12" w:space="0" w:color="4494D1"/>
              <w:bottom w:val="single" w:sz="24" w:space="0" w:color="FFFFFF"/>
              <w:right w:val="nil"/>
            </w:tcBorders>
            <w:shd w:val="clear" w:color="auto" w:fill="FFFFFF"/>
            <w:tcMar>
              <w:top w:w="0" w:type="dxa"/>
              <w:left w:w="0" w:type="dxa"/>
              <w:bottom w:w="0" w:type="dxa"/>
              <w:right w:w="0" w:type="dxa"/>
            </w:tcMar>
            <w:vAlign w:val="bottom"/>
          </w:tcPr>
          <w:p>
            <w:pPr>
              <w:pageBreakBefore w:val="0"/>
              <w:spacing w:before="0" w:after="0"/>
            </w:pPr>
          </w:p>
        </w:tc>
        <w:tc>
          <w:tcPr>
            <w:tcW w:w="1305" w:type="dxa"/>
            <w:tcBorders>
              <w:top w:val="single" w:sz="12" w:space="0" w:color="4494D1"/>
              <w:left w:val="single" w:sz="12" w:space="0" w:color="4494D1"/>
              <w:bottom w:val="single" w:sz="12" w:space="0" w:color="4494D1"/>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4D1"/>
                <w:sz w:val="90"/>
                <w:u w:val="none"/>
              </w:rPr>
            </w:pPr>
            <w:r>
              <w:pict>
                <v:shape id="_x0000_s1037" type="#_x0000_t75" style="width:52.5pt;height:52.5pt;margin-top:0;margin-left:0;mso-position-horizontal:center;position:absolute;z-index:251665408">
                  <v:imagedata r:id="rId20" o:title=""/>
                  <o:lock v:ext="edit" aspectratio="t"/>
                  <w10:wrap type="square"/>
                </v:shape>
              </w:pict>
            </w:r>
          </w:p>
        </w:tc>
        <w:tc>
          <w:tcPr>
            <w:tcW w:w="4095" w:type="dxa"/>
            <w:tcBorders>
              <w:top w:val="single" w:sz="12" w:space="0" w:color="4494D1"/>
              <w:left w:val="nil"/>
              <w:bottom w:val="single" w:sz="12" w:space="0" w:color="4494D1"/>
              <w:right w:val="single" w:sz="12" w:space="0" w:color="4494D1"/>
            </w:tcBorders>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color w:val="4494D1"/>
                <w:sz w:val="20"/>
                <w:u w:val="none"/>
              </w:rPr>
            </w:pPr>
            <w:r>
              <w:rPr>
                <w:rFonts w:ascii="Arial" w:eastAsia="Arial" w:hAnsi="Arial" w:cs="Arial"/>
                <w:b/>
                <w:i w:val="0"/>
                <w:color w:val="4494D1"/>
                <w:sz w:val="20"/>
                <w:u w:val="none"/>
              </w:rPr>
              <w:t>VOTING</w:t>
            </w:r>
          </w:p>
          <w:p>
            <w:pPr>
              <w:pageBreakBefore w:val="0"/>
              <w:numPr>
                <w:ilvl w:val="0"/>
                <w:numId w:val="0"/>
              </w:numPr>
              <w:spacing w:before="0" w:after="0" w:line="288"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Your vote is very important and we urge you to </w:t>
            </w:r>
          </w:p>
          <w:p>
            <w:pPr>
              <w:pageBreakBefore w:val="0"/>
              <w:numPr>
                <w:ilvl w:val="0"/>
                <w:numId w:val="0"/>
              </w:numPr>
              <w:spacing w:before="0" w:after="0" w:line="288"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vote as soon as possible. See Question and </w:t>
            </w:r>
          </w:p>
          <w:p>
            <w:pPr>
              <w:pageBreakBefore w:val="0"/>
              <w:numPr>
                <w:ilvl w:val="0"/>
                <w:numId w:val="0"/>
              </w:numPr>
              <w:spacing w:before="0" w:after="0" w:line="288" w:lineRule="auto"/>
              <w:ind w:left="0" w:right="0" w:firstLine="0"/>
              <w:jc w:val="left"/>
              <w:outlineLvl w:val="9"/>
              <w:rPr>
                <w:rFonts w:ascii="Arial" w:eastAsia="Arial" w:hAnsi="Arial" w:cs="Arial"/>
                <w:b w:val="0"/>
                <w:i w:val="0"/>
                <w:sz w:val="18"/>
                <w:shd w:val="clear" w:color="auto" w:fill="auto"/>
              </w:rPr>
            </w:pPr>
            <w:r>
              <w:rPr>
                <w:rFonts w:ascii="Arial" w:eastAsia="Arial" w:hAnsi="Arial" w:cs="Arial"/>
                <w:b w:val="0"/>
                <w:i w:val="0"/>
                <w:sz w:val="18"/>
              </w:rPr>
              <w:t xml:space="preserve">Answer No. </w:t>
            </w:r>
            <w:hyperlink w:anchor="Section156" w:history="1">
              <w:r>
                <w:rPr>
                  <w:rFonts w:ascii="Arial" w:eastAsia="Arial" w:hAnsi="Arial" w:cs="Arial"/>
                  <w:b w:val="0"/>
                  <w:i w:val="0"/>
                  <w:color w:val="3051F2"/>
                  <w:sz w:val="18"/>
                  <w:u w:val="single"/>
                  <w:shd w:val="clear" w:color="auto" w:fill="auto"/>
                </w:rPr>
                <w:t>11</w:t>
              </w:r>
            </w:hyperlink>
            <w:r>
              <w:rPr>
                <w:rFonts w:ascii="Arial" w:eastAsia="Arial" w:hAnsi="Arial" w:cs="Arial"/>
                <w:b w:val="0"/>
                <w:i w:val="0"/>
                <w:sz w:val="18"/>
              </w:rPr>
              <w:t xml:space="preserve"> for voting instructions</w:t>
            </w:r>
          </w:p>
        </w:tc>
      </w:tr>
    </w:tbl>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4"/>
          <w:u w:val="none"/>
        </w:rPr>
      </w:pPr>
      <w:r>
        <w:rPr>
          <w:rFonts w:ascii="Times New Roman" w:eastAsia="Times New Roman" w:hAnsi="Times New Roman" w:cs="Times New Roman"/>
          <w:b w:val="0"/>
          <w:i w:val="0"/>
          <w:color w:val="FF0090"/>
          <w:sz w:val="20"/>
          <w:u w:val="none"/>
        </w:rPr>
        <w:br/>
      </w: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4"/>
          <w:u w:val="none"/>
        </w:rPr>
        <w:sectPr>
          <w:headerReference w:type="default" r:id="rId21"/>
          <w:footerReference w:type="default" r:id="rId22"/>
          <w:pgSz w:w="12240" w:h="15840"/>
          <w:pgMar w:top="855" w:right="990" w:bottom="855" w:left="990" w:header="180" w:footer="270"/>
          <w:pgNumType w:fmt="lowerRoman" w:start="1"/>
          <w:cols w:space="708"/>
        </w:sectPr>
      </w:pPr>
    </w:p>
    <w:p>
      <w:pPr>
        <w:keepNext/>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4"/>
          <w:u w:val="none"/>
        </w:rPr>
      </w:pPr>
      <w:bookmarkStart w:id="5" w:name="Section8"/>
      <w:bookmarkEnd w:id="5"/>
    </w:p>
    <w:p>
      <w:pPr>
        <w:keepNext/>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202</w:t>
      </w:r>
      <w:r>
        <w:rPr>
          <w:rFonts w:ascii="Arial" w:eastAsia="Arial" w:hAnsi="Arial" w:cs="Arial"/>
          <w:b/>
          <w:i w:val="0"/>
          <w:color w:val="4495D1"/>
          <w:sz w:val="24"/>
          <w:u w:val="none"/>
        </w:rPr>
        <w:t>3</w:t>
      </w:r>
      <w:r>
        <w:rPr>
          <w:rFonts w:ascii="Arial" w:eastAsia="Arial" w:hAnsi="Arial" w:cs="Arial"/>
          <w:b/>
          <w:i w:val="0"/>
          <w:color w:val="4495D1"/>
          <w:sz w:val="24"/>
          <w:u w:val="none"/>
        </w:rPr>
        <w:t xml:space="preserve"> BUSINESS HIGHLIGHTS</w:t>
      </w:r>
    </w:p>
    <w:tbl>
      <w:tblPr>
        <w:tblW w:w="1020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040"/>
        <w:gridCol w:w="2040"/>
        <w:gridCol w:w="2040"/>
        <w:gridCol w:w="2040"/>
        <w:gridCol w:w="2040"/>
      </w:tblGrid>
      <w:tr>
        <w:tblPrEx>
          <w:tblW w:w="1020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jc w:val="left"/>
        </w:trPr>
        <w:tc>
          <w:tcPr>
            <w:tcW w:w="204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c>
          <w:tcPr>
            <w:tcW w:w="204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c>
          <w:tcPr>
            <w:tcW w:w="204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c>
          <w:tcPr>
            <w:tcW w:w="204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c>
          <w:tcPr>
            <w:tcW w:w="204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Enstar is a multi-faceted insurance group that offers innovative capital release solutions through its network of group companies in Bermuda, the United States, the United Kingdom, Continental Europe, Australia, and other international locations.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In </w:t>
      </w:r>
      <w:r>
        <w:rPr>
          <w:rFonts w:ascii="Arial" w:eastAsia="Arial" w:hAnsi="Arial" w:cs="Arial"/>
          <w:b w:val="0"/>
          <w:i w:val="0"/>
          <w:color w:val="000000"/>
          <w:sz w:val="20"/>
          <w:u w:val="none"/>
        </w:rPr>
        <w:t>2023</w:t>
      </w:r>
      <w:r>
        <w:rPr>
          <w:rFonts w:ascii="Arial" w:eastAsia="Arial" w:hAnsi="Arial" w:cs="Arial"/>
          <w:b w:val="0"/>
          <w:i w:val="0"/>
          <w:sz w:val="20"/>
        </w:rPr>
        <w:t xml:space="preserve">, the Company delivered net income attributable to ordinary shareholders of $1.1 billion, </w:t>
      </w:r>
      <w:r>
        <w:rPr>
          <w:rFonts w:ascii="Arial" w:eastAsia="Arial" w:hAnsi="Arial" w:cs="Arial"/>
          <w:b w:val="0"/>
          <w:i w:val="0"/>
          <w:sz w:val="20"/>
        </w:rPr>
        <w:t>ret</w:t>
      </w:r>
      <w:r>
        <w:rPr>
          <w:rFonts w:ascii="Arial" w:eastAsia="Arial" w:hAnsi="Arial" w:cs="Arial"/>
          <w:b w:val="0"/>
          <w:i w:val="0"/>
          <w:sz w:val="20"/>
        </w:rPr>
        <w:t>urn on equity</w:t>
      </w:r>
      <w:r>
        <w:rPr>
          <w:rFonts w:ascii="Arial" w:eastAsia="Arial" w:hAnsi="Arial" w:cs="Arial"/>
          <w:b w:val="0"/>
          <w:i w:val="0"/>
          <w:sz w:val="20"/>
        </w:rPr>
        <w:t xml:space="preserve"> </w:t>
      </w:r>
      <w:r>
        <w:rPr>
          <w:rFonts w:ascii="Arial" w:eastAsia="Arial" w:hAnsi="Arial" w:cs="Arial"/>
          <w:b w:val="0"/>
          <w:i w:val="0"/>
          <w:sz w:val="20"/>
        </w:rPr>
        <w:t>of 24.2%, and growth in book value per share growth of 31.0%. This result was driven by total investment return of $1.3 billion, net investment income of $647 million, and favorable run-off liability earnings of $131 million. The Company also achieved strategic and operational successes, completing several significant transactions, including a $2 billion loss portfolio transfer with longstanding partner QBE and a bespoke transaction with AIG to provide protection on its retained exposure to adverse development on loss reserves following the sale of an operating subsidiary. We also successfully generated and managed excess capital, repurchasing a total $53</w:t>
      </w:r>
      <w:r>
        <w:rPr>
          <w:rFonts w:ascii="Arial" w:eastAsia="Arial" w:hAnsi="Arial" w:cs="Arial"/>
          <w:b w:val="0"/>
          <w:i w:val="0"/>
          <w:sz w:val="20"/>
        </w:rPr>
        <w:t>2</w:t>
      </w:r>
      <w:r>
        <w:rPr>
          <w:rFonts w:ascii="Arial" w:eastAsia="Arial" w:hAnsi="Arial" w:cs="Arial"/>
          <w:b w:val="0"/>
          <w:i w:val="0"/>
          <w:sz w:val="20"/>
        </w:rPr>
        <w:t xml:space="preserve"> million of shares in 2023 at </w:t>
      </w:r>
      <w:r>
        <w:rPr>
          <w:rFonts w:ascii="Arial" w:eastAsia="Arial" w:hAnsi="Arial" w:cs="Arial"/>
          <w:b w:val="0"/>
          <w:i w:val="0"/>
          <w:sz w:val="20"/>
        </w:rPr>
        <w:t>p</w:t>
      </w:r>
      <w:r>
        <w:rPr>
          <w:rFonts w:ascii="Arial" w:eastAsia="Arial" w:hAnsi="Arial" w:cs="Arial"/>
          <w:b w:val="0"/>
          <w:i w:val="0"/>
          <w:sz w:val="20"/>
        </w:rPr>
        <w:t>rice</w:t>
      </w:r>
      <w:r>
        <w:rPr>
          <w:rFonts w:ascii="Arial" w:eastAsia="Arial" w:hAnsi="Arial" w:cs="Arial"/>
          <w:b w:val="0"/>
          <w:i w:val="0"/>
          <w:sz w:val="20"/>
        </w:rPr>
        <w:t>s</w:t>
      </w:r>
      <w:r>
        <w:rPr>
          <w:rFonts w:ascii="Arial" w:eastAsia="Arial" w:hAnsi="Arial" w:cs="Arial"/>
          <w:b w:val="0"/>
          <w:i w:val="0"/>
          <w:sz w:val="20"/>
        </w:rPr>
        <w:t xml:space="preserve"> that w</w:t>
      </w:r>
      <w:r>
        <w:rPr>
          <w:rFonts w:ascii="Arial" w:eastAsia="Arial" w:hAnsi="Arial" w:cs="Arial"/>
          <w:b w:val="0"/>
          <w:i w:val="0"/>
          <w:sz w:val="20"/>
        </w:rPr>
        <w:t>ere</w:t>
      </w:r>
      <w:r>
        <w:rPr>
          <w:rFonts w:ascii="Arial" w:eastAsia="Arial" w:hAnsi="Arial" w:cs="Arial"/>
          <w:b w:val="0"/>
          <w:i w:val="0"/>
          <w:sz w:val="20"/>
        </w:rPr>
        <w:t xml:space="preserve"> value-accretive to shareholders.</w:t>
      </w:r>
      <w:r>
        <w:rPr>
          <w:rFonts w:ascii="Arial" w:eastAsia="Arial" w:hAnsi="Arial" w:cs="Arial"/>
          <w:b w:val="0"/>
          <w:i w:val="0"/>
          <w:sz w:val="20"/>
        </w:rPr>
        <w:t xml:space="preserve"> </w:t>
      </w:r>
      <w:r>
        <w:rPr>
          <w:rFonts w:ascii="Arial" w:eastAsia="Arial" w:hAnsi="Arial" w:cs="Arial"/>
          <w:b w:val="0"/>
          <w:i w:val="0"/>
          <w:sz w:val="20"/>
        </w:rPr>
        <w:t xml:space="preserve">Select highlights of </w:t>
      </w:r>
      <w:r>
        <w:rPr>
          <w:rFonts w:ascii="Arial" w:eastAsia="Arial" w:hAnsi="Arial" w:cs="Arial"/>
          <w:b w:val="0"/>
          <w:i w:val="0"/>
          <w:color w:val="000000"/>
          <w:sz w:val="20"/>
          <w:u w:val="none"/>
        </w:rPr>
        <w:t>2023</w:t>
      </w:r>
      <w:r>
        <w:rPr>
          <w:rFonts w:ascii="Arial" w:eastAsia="Arial" w:hAnsi="Arial" w:cs="Arial"/>
          <w:b w:val="0"/>
          <w:i w:val="0"/>
          <w:sz w:val="20"/>
        </w:rPr>
        <w:t xml:space="preserve"> included:</w:t>
      </w: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6"/>
          <w:u w:val="none"/>
        </w:rPr>
      </w:pPr>
      <w:r>
        <w:rPr>
          <w:rFonts w:ascii="Times New Roman" w:eastAsia="Times New Roman" w:hAnsi="Times New Roman" w:cs="Times New Roman"/>
          <w:b w:val="0"/>
          <w:i w:val="0"/>
          <w:color w:val="FF0090"/>
          <w:sz w:val="6"/>
          <w:u w:val="none"/>
        </w:rPr>
        <w:t xml:space="preserve"> </w:t>
      </w:r>
      <w:r>
        <w:rPr>
          <w:rFonts w:ascii="Times New Roman" w:eastAsia="Times New Roman" w:hAnsi="Times New Roman" w:cs="Times New Roman"/>
          <w:b w:val="0"/>
          <w:i w:val="0"/>
          <w:color w:val="FF0090"/>
          <w:sz w:val="6"/>
          <w:u w:val="none"/>
        </w:rPr>
        <w:t xml:space="preserve"> </w:t>
      </w:r>
    </w:p>
    <w:tbl>
      <w:tblPr>
        <w:tblW w:w="30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5"/>
        <w:gridCol w:w="2715"/>
        <w:gridCol w:w="105"/>
        <w:gridCol w:w="165"/>
      </w:tblGrid>
      <w:tr>
        <w:tblPrEx>
          <w:tblW w:w="30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155"/>
        </w:trPr>
        <w:tc>
          <w:tcPr>
            <w:tcW w:w="105" w:type="dxa"/>
            <w:tcBorders>
              <w:top w:val="single" w:sz="12" w:space="0" w:color="4494D1"/>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2715" w:type="dxa"/>
            <w:tcBorders>
              <w:top w:val="single" w:sz="12" w:space="0" w:color="4494D1"/>
              <w:left w:val="nil"/>
              <w:bottom w:val="nil"/>
              <w:right w:val="nil"/>
            </w:tcBorders>
            <w:tcMar>
              <w:top w:w="0" w:type="dxa"/>
              <w:left w:w="53" w:type="dxa"/>
              <w:bottom w:w="0" w:type="dxa"/>
              <w:right w:w="53" w:type="dxa"/>
            </w:tcMar>
            <w:vAlign w:val="center"/>
          </w:tcPr>
          <w:p>
            <w:pPr>
              <w:keepNext/>
              <w:pageBreakBefore w:val="0"/>
              <w:spacing w:before="0" w:after="0" w:line="557" w:lineRule="auto"/>
              <w:jc w:val="center"/>
            </w:pPr>
            <w:r>
              <w:rPr>
                <w:rFonts w:ascii="Arial" w:eastAsia="Arial" w:hAnsi="Arial" w:cs="Arial"/>
                <w:b/>
                <w:i w:val="0"/>
                <w:color w:val="171449"/>
                <w:sz w:val="56"/>
                <w:u w:val="none"/>
              </w:rPr>
              <w:t>$1.1b</w:t>
            </w:r>
          </w:p>
        </w:tc>
        <w:tc>
          <w:tcPr>
            <w:tcW w:w="105"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165" w:type="dxa"/>
            <w:tcBorders>
              <w:top w:val="nil"/>
              <w:left w:val="single" w:sz="12" w:space="0" w:color="4494D1"/>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3090" w:type="dxa"/>
          <w:tblInd w:w="0" w:type="dxa"/>
          <w:tblLayout w:type="fixed"/>
          <w:tblCellMar>
            <w:left w:w="108" w:type="dxa"/>
            <w:right w:w="108" w:type="dxa"/>
          </w:tblCellMar>
        </w:tblPrEx>
        <w:trPr>
          <w:cantSplit/>
          <w:trHeight w:hRule="exact" w:val="1665"/>
        </w:trPr>
        <w:tc>
          <w:tcPr>
            <w:tcW w:w="105" w:type="dxa"/>
            <w:tcBorders>
              <w:top w:val="nil"/>
              <w:left w:val="single" w:sz="12" w:space="0" w:color="4494D1"/>
              <w:bottom w:val="single" w:sz="12" w:space="0" w:color="4494D1"/>
              <w:right w:val="nil"/>
            </w:tcBorders>
            <w:tcMar>
              <w:top w:w="0" w:type="dxa"/>
              <w:left w:w="0" w:type="dxa"/>
              <w:bottom w:w="0" w:type="dxa"/>
              <w:right w:w="0" w:type="dxa"/>
            </w:tcMar>
            <w:vAlign w:val="bottom"/>
          </w:tcPr>
          <w:p>
            <w:pPr>
              <w:pageBreakBefore w:val="0"/>
              <w:spacing w:before="0" w:after="0"/>
            </w:pPr>
          </w:p>
        </w:tc>
        <w:tc>
          <w:tcPr>
            <w:tcW w:w="2715" w:type="dxa"/>
            <w:tcBorders>
              <w:top w:val="nil"/>
              <w:left w:val="nil"/>
              <w:bottom w:val="single" w:sz="12" w:space="0" w:color="4494D1"/>
              <w:right w:val="nil"/>
            </w:tcBorders>
            <w:tcMar>
              <w:top w:w="0" w:type="dxa"/>
              <w:left w:w="53" w:type="dxa"/>
              <w:bottom w:w="0" w:type="dxa"/>
              <w:right w:w="53" w:type="dxa"/>
            </w:tcMar>
            <w:vAlign w:val="top"/>
          </w:tcPr>
          <w:p>
            <w:pPr>
              <w:pageBreakBefore w:val="0"/>
              <w:spacing w:before="53" w:after="30" w:line="288" w:lineRule="auto"/>
              <w:jc w:val="center"/>
            </w:pPr>
            <w:r>
              <w:rPr>
                <w:rFonts w:ascii="Arial" w:eastAsia="Arial" w:hAnsi="Arial" w:cs="Arial"/>
                <w:b/>
                <w:i w:val="0"/>
                <w:color w:val="000000"/>
                <w:sz w:val="16"/>
                <w:u w:val="none"/>
              </w:rPr>
              <w:t>Net earnings attributable to ordinary shareholders for the year ended December 31, 2023, primarily driven by favorable total investment returns</w:t>
            </w:r>
          </w:p>
        </w:tc>
        <w:tc>
          <w:tcPr>
            <w:tcW w:w="105"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65" w:type="dxa"/>
            <w:tcBorders>
              <w:top w:val="nil"/>
              <w:left w:val="single" w:sz="12" w:space="0" w:color="4494D1"/>
              <w:bottom w:val="nil"/>
              <w:right w:val="nil"/>
            </w:tcBorders>
            <w:shd w:val="clear" w:color="auto" w:fill="FFFFFF"/>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0" w:line="288" w:lineRule="auto"/>
        <w:ind w:left="0" w:right="0" w:firstLine="0"/>
        <w:jc w:val="both"/>
        <w:outlineLvl w:val="9"/>
        <w:rPr>
          <w:rFonts w:ascii="Times New Roman" w:eastAsia="Times New Roman" w:hAnsi="Times New Roman" w:cs="Times New Roman"/>
          <w:b w:val="0"/>
          <w:i w:val="0"/>
          <w:color w:val="FF0090"/>
          <w:sz w:val="10"/>
          <w:u w:val="none"/>
        </w:rPr>
      </w:pPr>
    </w:p>
    <w:tbl>
      <w:tblPr>
        <w:tblW w:w="385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145"/>
        <w:gridCol w:w="1545"/>
        <w:gridCol w:w="165"/>
      </w:tblGrid>
      <w:tr>
        <w:tblPrEx>
          <w:tblW w:w="385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320"/>
        </w:trPr>
        <w:tc>
          <w:tcPr>
            <w:tcW w:w="2145" w:type="dxa"/>
            <w:vMerge w:val="restart"/>
            <w:tcBorders>
              <w:top w:val="single" w:sz="12" w:space="0" w:color="002060"/>
              <w:left w:val="single" w:sz="12" w:space="0" w:color="002060"/>
              <w:bottom w:val="nil"/>
              <w:right w:val="nil"/>
            </w:tcBorders>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i w:val="0"/>
                <w:color w:val="171449"/>
                <w:sz w:val="56"/>
                <w:u w:val="none"/>
              </w:rPr>
              <w:t>$1.35b</w:t>
            </w:r>
          </w:p>
        </w:tc>
        <w:tc>
          <w:tcPr>
            <w:tcW w:w="1545" w:type="dxa"/>
            <w:vMerge w:val="restart"/>
            <w:tcBorders>
              <w:top w:val="single" w:sz="12" w:space="0" w:color="002060"/>
              <w:left w:val="nil"/>
              <w:bottom w:val="nil"/>
              <w:right w:val="nil"/>
            </w:tcBorders>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i w:val="0"/>
                <w:color w:val="000000"/>
                <w:sz w:val="16"/>
                <w:u w:val="none"/>
              </w:rPr>
              <w:t>Total investment return for the year ended December 31, 2023</w:t>
            </w:r>
          </w:p>
        </w:tc>
        <w:tc>
          <w:tcPr>
            <w:tcW w:w="165" w:type="dxa"/>
            <w:tcBorders>
              <w:top w:val="single" w:sz="12" w:space="0" w:color="002060"/>
              <w:left w:val="nil"/>
              <w:bottom w:val="nil"/>
              <w:right w:val="single" w:sz="12" w:space="0" w:color="002060"/>
            </w:tcBorders>
            <w:tcMar>
              <w:top w:w="0" w:type="dxa"/>
              <w:left w:w="0" w:type="dxa"/>
              <w:bottom w:w="0" w:type="dxa"/>
              <w:right w:w="0" w:type="dxa"/>
            </w:tcMar>
            <w:vAlign w:val="bottom"/>
          </w:tcPr>
          <w:p>
            <w:pPr>
              <w:keepNext/>
              <w:pageBreakBefore w:val="0"/>
              <w:spacing w:before="0" w:after="0"/>
            </w:pPr>
          </w:p>
        </w:tc>
      </w:tr>
      <w:tr>
        <w:tblPrEx>
          <w:tblW w:w="3855" w:type="dxa"/>
          <w:tblInd w:w="0" w:type="dxa"/>
          <w:tblLayout w:type="fixed"/>
          <w:tblCellMar>
            <w:left w:w="108" w:type="dxa"/>
            <w:right w:w="108" w:type="dxa"/>
          </w:tblCellMar>
        </w:tblPrEx>
        <w:trPr>
          <w:cantSplit/>
          <w:trHeight w:hRule="exact" w:val="180"/>
        </w:trPr>
        <w:tc>
          <w:tcPr>
            <w:tcW w:w="2145" w:type="dxa"/>
            <w:vMerge/>
            <w:tcBorders>
              <w:top w:val="nil"/>
              <w:left w:val="single" w:sz="12" w:space="0" w:color="002060"/>
              <w:bottom w:val="nil"/>
              <w:right w:val="nil"/>
            </w:tcBorders>
          </w:tcPr>
          <w:p>
            <w:pPr>
              <w:keepNext/>
              <w:pageBreakBefore w:val="0"/>
            </w:pPr>
          </w:p>
        </w:tc>
        <w:tc>
          <w:tcPr>
            <w:tcW w:w="1545" w:type="dxa"/>
            <w:vMerge/>
            <w:tcBorders>
              <w:top w:val="nil"/>
              <w:left w:val="nil"/>
              <w:bottom w:val="nil"/>
              <w:right w:val="nil"/>
            </w:tcBorders>
          </w:tcPr>
          <w:p>
            <w:pPr>
              <w:keepNext/>
              <w:pageBreakBefore w:val="0"/>
            </w:pPr>
          </w:p>
        </w:tc>
        <w:tc>
          <w:tcPr>
            <w:tcW w:w="165" w:type="dxa"/>
            <w:tcBorders>
              <w:top w:val="nil"/>
              <w:left w:val="nil"/>
              <w:bottom w:val="nil"/>
              <w:right w:val="single" w:sz="12" w:space="0" w:color="002060"/>
            </w:tcBorders>
            <w:tcMar>
              <w:top w:w="0" w:type="dxa"/>
              <w:left w:w="0" w:type="dxa"/>
              <w:bottom w:w="0" w:type="dxa"/>
              <w:right w:w="0" w:type="dxa"/>
            </w:tcMar>
            <w:vAlign w:val="bottom"/>
          </w:tcPr>
          <w:p>
            <w:pPr>
              <w:keepNext/>
              <w:pageBreakBefore w:val="0"/>
              <w:spacing w:before="0" w:after="0"/>
            </w:pPr>
          </w:p>
        </w:tc>
      </w:tr>
      <w:tr>
        <w:tblPrEx>
          <w:tblW w:w="3855" w:type="dxa"/>
          <w:tblInd w:w="0" w:type="dxa"/>
          <w:tblLayout w:type="fixed"/>
          <w:tblCellMar>
            <w:left w:w="108" w:type="dxa"/>
            <w:right w:w="108" w:type="dxa"/>
          </w:tblCellMar>
        </w:tblPrEx>
        <w:trPr>
          <w:cantSplit/>
          <w:trHeight w:hRule="exact" w:val="1320"/>
        </w:trPr>
        <w:tc>
          <w:tcPr>
            <w:tcW w:w="2145" w:type="dxa"/>
            <w:vMerge/>
            <w:tcBorders>
              <w:top w:val="nil"/>
              <w:left w:val="single" w:sz="12" w:space="0" w:color="002060"/>
              <w:bottom w:val="single" w:sz="12" w:space="0" w:color="002060"/>
              <w:right w:val="nil"/>
            </w:tcBorders>
          </w:tcPr>
          <w:p>
            <w:pPr>
              <w:pageBreakBefore w:val="0"/>
            </w:pPr>
          </w:p>
        </w:tc>
        <w:tc>
          <w:tcPr>
            <w:tcW w:w="1545" w:type="dxa"/>
            <w:vMerge/>
            <w:tcBorders>
              <w:top w:val="nil"/>
              <w:left w:val="nil"/>
              <w:bottom w:val="single" w:sz="12" w:space="0" w:color="002060"/>
              <w:right w:val="nil"/>
            </w:tcBorders>
          </w:tcPr>
          <w:p>
            <w:pPr>
              <w:pageBreakBefore w:val="0"/>
            </w:pPr>
          </w:p>
        </w:tc>
        <w:tc>
          <w:tcPr>
            <w:tcW w:w="165" w:type="dxa"/>
            <w:tcBorders>
              <w:top w:val="nil"/>
              <w:left w:val="nil"/>
              <w:bottom w:val="single" w:sz="12" w:space="0" w:color="002060"/>
              <w:right w:val="single" w:sz="12" w:space="0" w:color="002060"/>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0" w:line="288" w:lineRule="auto"/>
        <w:ind w:left="0" w:right="0" w:firstLine="0"/>
        <w:jc w:val="both"/>
        <w:outlineLvl w:val="9"/>
        <w:rPr>
          <w:rFonts w:ascii="Times New Roman" w:eastAsia="Times New Roman" w:hAnsi="Times New Roman" w:cs="Times New Roman"/>
          <w:b w:val="0"/>
          <w:i w:val="0"/>
          <w:color w:val="FF0090"/>
          <w:sz w:val="10"/>
          <w:u w:val="none"/>
        </w:rPr>
      </w:pPr>
    </w:p>
    <w:tbl>
      <w:tblPr>
        <w:tblW w:w="33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5"/>
        <w:gridCol w:w="60"/>
        <w:gridCol w:w="2880"/>
        <w:gridCol w:w="165"/>
      </w:tblGrid>
      <w:tr>
        <w:tblPrEx>
          <w:tblW w:w="33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20"/>
        </w:trPr>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single" w:sz="12" w:space="0" w:color="929292"/>
              <w:left w:val="single" w:sz="12" w:space="0" w:color="929292"/>
              <w:bottom w:val="nil"/>
              <w:right w:val="nil"/>
            </w:tcBorders>
            <w:tcMar>
              <w:top w:w="0" w:type="dxa"/>
              <w:left w:w="0" w:type="dxa"/>
              <w:bottom w:w="0" w:type="dxa"/>
              <w:right w:w="0" w:type="dxa"/>
            </w:tcMar>
            <w:vAlign w:val="bottom"/>
          </w:tcPr>
          <w:p>
            <w:pPr>
              <w:keepNext/>
              <w:pageBreakBefore w:val="0"/>
              <w:spacing w:before="0" w:after="0"/>
            </w:pPr>
          </w:p>
        </w:tc>
        <w:tc>
          <w:tcPr>
            <w:tcW w:w="2880" w:type="dxa"/>
            <w:vMerge w:val="restart"/>
            <w:tcBorders>
              <w:top w:val="single" w:sz="12" w:space="0" w:color="929292"/>
              <w:left w:val="nil"/>
              <w:bottom w:val="nil"/>
              <w:right w:val="nil"/>
            </w:tcBorders>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i w:val="0"/>
                <w:color w:val="171449"/>
                <w:sz w:val="56"/>
                <w:u w:val="none"/>
              </w:rPr>
              <w:t>$131m</w:t>
            </w:r>
          </w:p>
        </w:tc>
        <w:tc>
          <w:tcPr>
            <w:tcW w:w="165" w:type="dxa"/>
            <w:tcBorders>
              <w:top w:val="single" w:sz="12" w:space="0" w:color="929292"/>
              <w:left w:val="nil"/>
              <w:bottom w:val="nil"/>
              <w:right w:val="single" w:sz="12" w:space="0" w:color="929292"/>
            </w:tcBorders>
            <w:tcMar>
              <w:top w:w="0" w:type="dxa"/>
              <w:left w:w="0" w:type="dxa"/>
              <w:bottom w:w="0" w:type="dxa"/>
              <w:right w:w="0" w:type="dxa"/>
            </w:tcMar>
            <w:vAlign w:val="bottom"/>
          </w:tcPr>
          <w:p>
            <w:pPr>
              <w:keepNext/>
              <w:pageBreakBefore w:val="0"/>
              <w:spacing w:before="0" w:after="0"/>
            </w:pPr>
          </w:p>
        </w:tc>
      </w:tr>
      <w:tr>
        <w:tblPrEx>
          <w:tblW w:w="3300" w:type="dxa"/>
          <w:tblInd w:w="0" w:type="dxa"/>
          <w:tblLayout w:type="fixed"/>
          <w:tblCellMar>
            <w:left w:w="108" w:type="dxa"/>
            <w:right w:w="108" w:type="dxa"/>
          </w:tblCellMar>
        </w:tblPrEx>
        <w:trPr>
          <w:cantSplit/>
          <w:trHeight w:hRule="exact" w:val="1005"/>
        </w:trPr>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single" w:sz="12" w:space="0" w:color="929292"/>
              <w:bottom w:val="nil"/>
              <w:right w:val="nil"/>
            </w:tcBorders>
            <w:tcMar>
              <w:top w:w="0" w:type="dxa"/>
              <w:left w:w="0" w:type="dxa"/>
              <w:bottom w:w="0" w:type="dxa"/>
              <w:right w:w="0" w:type="dxa"/>
            </w:tcMar>
            <w:vAlign w:val="bottom"/>
          </w:tcPr>
          <w:p>
            <w:pPr>
              <w:keepNext/>
              <w:pageBreakBefore w:val="0"/>
              <w:spacing w:before="0" w:after="0"/>
            </w:pPr>
          </w:p>
        </w:tc>
        <w:tc>
          <w:tcPr>
            <w:tcW w:w="2880" w:type="dxa"/>
            <w:vMerge/>
            <w:tcBorders>
              <w:top w:val="nil"/>
              <w:left w:val="nil"/>
              <w:bottom w:val="nil"/>
              <w:right w:val="nil"/>
            </w:tcBorders>
          </w:tcPr>
          <w:p>
            <w:pPr>
              <w:keepNext/>
              <w:pageBreakBefore w:val="0"/>
            </w:pPr>
          </w:p>
        </w:tc>
        <w:tc>
          <w:tcPr>
            <w:tcW w:w="165" w:type="dxa"/>
            <w:tcBorders>
              <w:top w:val="nil"/>
              <w:left w:val="nil"/>
              <w:bottom w:val="nil"/>
              <w:right w:val="single" w:sz="12" w:space="0" w:color="929292"/>
            </w:tcBorders>
            <w:tcMar>
              <w:top w:w="0" w:type="dxa"/>
              <w:left w:w="0" w:type="dxa"/>
              <w:bottom w:w="0" w:type="dxa"/>
              <w:right w:w="0" w:type="dxa"/>
            </w:tcMar>
            <w:vAlign w:val="bottom"/>
          </w:tcPr>
          <w:p>
            <w:pPr>
              <w:keepNext/>
              <w:pageBreakBefore w:val="0"/>
              <w:spacing w:before="0" w:after="0"/>
            </w:pPr>
          </w:p>
        </w:tc>
      </w:tr>
      <w:tr>
        <w:tblPrEx>
          <w:tblW w:w="3300" w:type="dxa"/>
          <w:tblInd w:w="0" w:type="dxa"/>
          <w:tblLayout w:type="fixed"/>
          <w:tblCellMar>
            <w:left w:w="108" w:type="dxa"/>
            <w:right w:w="108" w:type="dxa"/>
          </w:tblCellMar>
        </w:tblPrEx>
        <w:trPr>
          <w:cantSplit/>
          <w:trHeight w:hRule="exact" w:val="1695"/>
        </w:trPr>
        <w:tc>
          <w:tcPr>
            <w:tcW w:w="1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0" w:type="dxa"/>
            <w:tcBorders>
              <w:top w:val="nil"/>
              <w:left w:val="single" w:sz="12" w:space="0" w:color="929292"/>
              <w:bottom w:val="single" w:sz="12" w:space="0" w:color="929292"/>
              <w:right w:val="nil"/>
            </w:tcBorders>
            <w:tcMar>
              <w:top w:w="0" w:type="dxa"/>
              <w:left w:w="0" w:type="dxa"/>
              <w:bottom w:w="0" w:type="dxa"/>
              <w:right w:w="0" w:type="dxa"/>
            </w:tcMar>
            <w:vAlign w:val="bottom"/>
          </w:tcPr>
          <w:p>
            <w:pPr>
              <w:pageBreakBefore w:val="0"/>
              <w:spacing w:before="0" w:after="0"/>
            </w:pPr>
          </w:p>
        </w:tc>
        <w:tc>
          <w:tcPr>
            <w:tcW w:w="2880" w:type="dxa"/>
            <w:tcBorders>
              <w:top w:val="nil"/>
              <w:left w:val="nil"/>
              <w:bottom w:val="single" w:sz="12" w:space="0" w:color="929292"/>
              <w:right w:val="nil"/>
            </w:tcBorders>
            <w:tcMar>
              <w:top w:w="0" w:type="dxa"/>
              <w:left w:w="53" w:type="dxa"/>
              <w:bottom w:w="0" w:type="dxa"/>
              <w:right w:w="15" w:type="dxa"/>
            </w:tcMar>
            <w:vAlign w:val="top"/>
          </w:tcPr>
          <w:p>
            <w:pPr>
              <w:pageBreakBefore w:val="0"/>
              <w:spacing w:before="53" w:after="30" w:line="288" w:lineRule="auto"/>
              <w:jc w:val="center"/>
            </w:pPr>
            <w:r>
              <w:rPr>
                <w:rFonts w:ascii="Arial" w:eastAsia="Arial" w:hAnsi="Arial" w:cs="Arial"/>
                <w:b/>
                <w:i w:val="0"/>
                <w:color w:val="000000"/>
                <w:sz w:val="16"/>
                <w:u w:val="none"/>
              </w:rPr>
              <w:t>Run-off liability earnings for the year ended December 31, 2023</w:t>
            </w:r>
          </w:p>
        </w:tc>
        <w:tc>
          <w:tcPr>
            <w:tcW w:w="165" w:type="dxa"/>
            <w:tcBorders>
              <w:top w:val="nil"/>
              <w:left w:val="nil"/>
              <w:bottom w:val="single" w:sz="12" w:space="0" w:color="929292"/>
              <w:right w:val="single" w:sz="12" w:space="0" w:color="929292"/>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0" w:line="288" w:lineRule="auto"/>
        <w:ind w:left="0" w:right="0" w:firstLine="0"/>
        <w:jc w:val="both"/>
        <w:outlineLvl w:val="9"/>
        <w:rPr>
          <w:rFonts w:ascii="Times New Roman" w:eastAsia="Times New Roman" w:hAnsi="Times New Roman" w:cs="Times New Roman"/>
          <w:b w:val="0"/>
          <w:i w:val="0"/>
          <w:color w:val="FF0090"/>
          <w:sz w:val="10"/>
          <w:u w:val="none"/>
        </w:rPr>
      </w:pP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085"/>
        <w:gridCol w:w="3315"/>
        <w:gridCol w:w="195"/>
        <w:gridCol w:w="2085"/>
        <w:gridCol w:w="2580"/>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785"/>
        </w:trPr>
        <w:tc>
          <w:tcPr>
            <w:tcW w:w="2085" w:type="dxa"/>
            <w:tcBorders>
              <w:top w:val="single" w:sz="12" w:space="0" w:color="929292"/>
              <w:left w:val="single" w:sz="12" w:space="0" w:color="929292"/>
              <w:bottom w:val="single" w:sz="12" w:space="0" w:color="929292"/>
              <w:right w:val="nil"/>
            </w:tcBorders>
            <w:tcMar>
              <w:top w:w="0" w:type="dxa"/>
              <w:left w:w="53" w:type="dxa"/>
              <w:bottom w:w="0" w:type="dxa"/>
              <w:right w:w="53" w:type="dxa"/>
            </w:tcMar>
            <w:vAlign w:val="center"/>
          </w:tcPr>
          <w:p>
            <w:pPr>
              <w:pageBreakBefore w:val="0"/>
              <w:spacing w:before="0" w:after="0" w:line="240" w:lineRule="auto"/>
              <w:jc w:val="center"/>
            </w:pPr>
            <w:r>
              <w:rPr>
                <w:rFonts w:ascii="Arial" w:eastAsia="Arial" w:hAnsi="Arial" w:cs="Arial"/>
                <w:b/>
                <w:i w:val="0"/>
                <w:color w:val="171449"/>
                <w:sz w:val="60"/>
                <w:u w:val="none"/>
              </w:rPr>
              <w:t>$37.3b</w:t>
            </w:r>
          </w:p>
        </w:tc>
        <w:tc>
          <w:tcPr>
            <w:tcW w:w="3315" w:type="dxa"/>
            <w:tcBorders>
              <w:top w:val="single" w:sz="12" w:space="0" w:color="929292"/>
              <w:left w:val="nil"/>
              <w:bottom w:val="single" w:sz="12" w:space="0" w:color="929292"/>
              <w:right w:val="nil"/>
            </w:tcBorders>
            <w:tcMar>
              <w:top w:w="0" w:type="dxa"/>
              <w:left w:w="53" w:type="dxa"/>
              <w:bottom w:w="0" w:type="dxa"/>
              <w:right w:w="53" w:type="dxa"/>
            </w:tcMar>
            <w:vAlign w:val="center"/>
          </w:tcPr>
          <w:p>
            <w:pPr>
              <w:pageBreakBefore w:val="0"/>
              <w:spacing w:before="0" w:after="0" w:line="288" w:lineRule="auto"/>
              <w:jc w:val="left"/>
            </w:pPr>
            <w:r>
              <w:rPr>
                <w:rFonts w:ascii="Arial" w:eastAsia="Arial" w:hAnsi="Arial" w:cs="Arial"/>
                <w:b/>
                <w:i w:val="0"/>
                <w:color w:val="000000"/>
                <w:sz w:val="16"/>
                <w:u w:val="none"/>
              </w:rPr>
              <w:t>From inception, Enstar Group has completed or announced transactions to acquire $37.3b in loss reserves, future policy holder benefits, and defendant and asbestos and environmental liabilities, and has successfully run-off $23.4b of those liabilities</w:t>
            </w:r>
          </w:p>
        </w:tc>
        <w:tc>
          <w:tcPr>
            <w:tcW w:w="195" w:type="dxa"/>
            <w:tcBorders>
              <w:top w:val="nil"/>
              <w:left w:val="single" w:sz="12" w:space="0" w:color="929292"/>
              <w:bottom w:val="nil"/>
              <w:right w:val="nil"/>
            </w:tcBorders>
            <w:tcMar>
              <w:top w:w="0" w:type="dxa"/>
              <w:left w:w="0" w:type="dxa"/>
              <w:bottom w:w="0" w:type="dxa"/>
              <w:right w:w="0" w:type="dxa"/>
            </w:tcMar>
            <w:vAlign w:val="bottom"/>
          </w:tcPr>
          <w:p>
            <w:pPr>
              <w:pageBreakBefore w:val="0"/>
              <w:spacing w:before="0" w:after="0"/>
            </w:pPr>
          </w:p>
        </w:tc>
        <w:tc>
          <w:tcPr>
            <w:tcW w:w="2085" w:type="dxa"/>
            <w:tcBorders>
              <w:top w:val="single" w:sz="12" w:space="0" w:color="4494D1"/>
              <w:left w:val="single" w:sz="12" w:space="0" w:color="4494D1"/>
              <w:bottom w:val="single" w:sz="12" w:space="0" w:color="4494D1"/>
              <w:right w:val="nil"/>
            </w:tcBorders>
            <w:tcMar>
              <w:top w:w="0" w:type="dxa"/>
              <w:left w:w="53" w:type="dxa"/>
              <w:bottom w:w="0" w:type="dxa"/>
              <w:right w:w="15" w:type="dxa"/>
            </w:tcMar>
            <w:vAlign w:val="center"/>
          </w:tcPr>
          <w:p>
            <w:pPr>
              <w:pageBreakBefore w:val="0"/>
              <w:spacing w:before="0" w:after="0" w:line="240" w:lineRule="auto"/>
              <w:jc w:val="center"/>
            </w:pPr>
            <w:r>
              <w:rPr>
                <w:rFonts w:ascii="Arial" w:eastAsia="Arial" w:hAnsi="Arial" w:cs="Arial"/>
                <w:b/>
                <w:i w:val="0"/>
                <w:color w:val="171449"/>
                <w:sz w:val="60"/>
                <w:u w:val="none"/>
              </w:rPr>
              <w:t>$5.5b</w:t>
            </w:r>
          </w:p>
        </w:tc>
        <w:tc>
          <w:tcPr>
            <w:tcW w:w="2580" w:type="dxa"/>
            <w:tcBorders>
              <w:top w:val="single" w:sz="12" w:space="0" w:color="4494D1"/>
              <w:left w:val="nil"/>
              <w:bottom w:val="single" w:sz="12" w:space="0" w:color="4494D1"/>
              <w:right w:val="single" w:sz="12" w:space="0" w:color="4494D1"/>
            </w:tcBorders>
            <w:tcMar>
              <w:top w:w="0" w:type="dxa"/>
              <w:left w:w="53" w:type="dxa"/>
              <w:bottom w:w="0" w:type="dxa"/>
              <w:right w:w="53" w:type="dxa"/>
            </w:tcMar>
            <w:vAlign w:val="center"/>
          </w:tcPr>
          <w:p>
            <w:pPr>
              <w:pageBreakBefore w:val="0"/>
              <w:spacing w:before="0" w:after="0" w:line="288" w:lineRule="auto"/>
              <w:jc w:val="left"/>
            </w:pPr>
            <w:r>
              <w:rPr>
                <w:rFonts w:ascii="Arial" w:eastAsia="Arial" w:hAnsi="Arial" w:cs="Arial"/>
                <w:b/>
                <w:i w:val="0"/>
                <w:color w:val="000000"/>
                <w:sz w:val="16"/>
                <w:u w:val="none"/>
              </w:rPr>
              <w:t>Total Enstar shareholders' equity as of December 31, 2023</w:t>
            </w:r>
          </w:p>
        </w:tc>
      </w:tr>
    </w:tbl>
    <w:p>
      <w:pPr>
        <w:keepNext/>
        <w:keepLines/>
        <w:pageBreakBefore w:val="0"/>
        <w:widowControl w:val="0"/>
        <w:numPr>
          <w:ilvl w:val="0"/>
          <w:numId w:val="0"/>
        </w:numPr>
        <w:spacing w:before="120" w:after="60" w:line="288" w:lineRule="auto"/>
        <w:ind w:left="0" w:right="0" w:firstLine="0"/>
        <w:jc w:val="left"/>
        <w:outlineLvl w:val="9"/>
        <w:rPr>
          <w:rFonts w:ascii="Arial" w:eastAsia="Arial" w:hAnsi="Arial" w:cs="Arial"/>
          <w:b/>
          <w:i w:val="0"/>
          <w:color w:val="4495D1"/>
          <w:sz w:val="24"/>
          <w:u w:val="none"/>
        </w:rPr>
      </w:pPr>
      <w:r>
        <w:rPr>
          <w:rFonts w:ascii="Times New Roman" w:eastAsia="Times New Roman" w:hAnsi="Times New Roman" w:cs="Times New Roman"/>
          <w:b w:val="0"/>
          <w:i w:val="0"/>
          <w:color w:val="FF0090"/>
          <w:sz w:val="20"/>
          <w:u w:val="none"/>
        </w:rPr>
        <w:t xml:space="preserve"> </w:t>
      </w:r>
    </w:p>
    <w:p>
      <w:pPr>
        <w:keepNext/>
        <w:keepLines/>
        <w:pageBreakBefore w:val="0"/>
        <w:widowControl w:val="0"/>
        <w:numPr>
          <w:ilvl w:val="0"/>
          <w:numId w:val="0"/>
        </w:numPr>
        <w:spacing w:before="0" w:after="60" w:line="288" w:lineRule="auto"/>
        <w:ind w:left="0" w:right="0" w:firstLine="0"/>
        <w:jc w:val="left"/>
        <w:outlineLvl w:val="9"/>
        <w:rPr>
          <w:rFonts w:ascii="Arial" w:eastAsia="Arial" w:hAnsi="Arial" w:cs="Arial"/>
          <w:b/>
          <w:i w:val="0"/>
          <w:color w:val="171449"/>
          <w:sz w:val="24"/>
          <w:u w:val="none"/>
        </w:rPr>
      </w:pPr>
      <w:r>
        <w:rPr>
          <w:rFonts w:ascii="Arial" w:eastAsia="Arial" w:hAnsi="Arial" w:cs="Arial"/>
          <w:b/>
          <w:i w:val="0"/>
          <w:color w:val="171449"/>
          <w:sz w:val="24"/>
          <w:u w:val="none"/>
        </w:rPr>
        <w:t>2023</w:t>
      </w:r>
      <w:r>
        <w:rPr>
          <w:rFonts w:ascii="Arial" w:eastAsia="Arial" w:hAnsi="Arial" w:cs="Arial"/>
          <w:b/>
          <w:i w:val="0"/>
          <w:color w:val="171449"/>
          <w:sz w:val="24"/>
          <w:u w:val="none"/>
        </w:rPr>
        <w:t xml:space="preserve"> P</w:t>
      </w:r>
      <w:r>
        <w:rPr>
          <w:rFonts w:ascii="Arial" w:eastAsia="Arial" w:hAnsi="Arial" w:cs="Arial"/>
          <w:b/>
          <w:i w:val="0"/>
          <w:color w:val="171449"/>
          <w:sz w:val="24"/>
          <w:u w:val="none"/>
        </w:rPr>
        <w:t>erformance Vers</w:t>
      </w:r>
      <w:r>
        <w:rPr>
          <w:rFonts w:ascii="Arial" w:eastAsia="Arial" w:hAnsi="Arial" w:cs="Arial"/>
          <w:b/>
          <w:i w:val="0"/>
          <w:color w:val="171449"/>
          <w:sz w:val="24"/>
          <w:u w:val="none"/>
        </w:rPr>
        <w:t>us Peers</w:t>
      </w:r>
    </w:p>
    <w:p>
      <w:pPr>
        <w:keepNext/>
        <w:keepLines/>
        <w:pageBreakBefore w:val="0"/>
        <w:widowControl w:val="0"/>
        <w:numPr>
          <w:ilvl w:val="0"/>
          <w:numId w:val="0"/>
        </w:numPr>
        <w:spacing w:before="0" w:after="60" w:line="288" w:lineRule="auto"/>
        <w:ind w:left="0" w:right="0" w:firstLine="0"/>
        <w:jc w:val="left"/>
        <w:outlineLvl w:val="9"/>
        <w:rPr>
          <w:rFonts w:ascii="Arial" w:eastAsia="Arial" w:hAnsi="Arial" w:cs="Arial"/>
          <w:b/>
          <w:i w:val="0"/>
          <w:color w:val="171449"/>
          <w:sz w:val="10"/>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r>
        <w:rPr>
          <w:rFonts w:ascii="Arial" w:eastAsia="Arial" w:hAnsi="Arial" w:cs="Arial"/>
          <w:b/>
          <w:i w:val="0"/>
          <w:color w:val="4495D1"/>
          <w:sz w:val="24"/>
          <w:u w:val="none"/>
        </w:rPr>
        <w:drawing>
          <wp:inline>
            <wp:extent cx="3133725" cy="240982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
                    <pic:cNvPicPr>
                      <a:picLocks noChangeAspect="1"/>
                    </pic:cNvPicPr>
                  </pic:nvPicPr>
                  <pic:blipFill>
                    <a:blip xmlns:r="http://schemas.openxmlformats.org/officeDocument/2006/relationships" r:embed="rId23"/>
                    <a:stretch>
                      <a:fillRect/>
                    </a:stretch>
                  </pic:blipFill>
                  <pic:spPr>
                    <a:xfrm>
                      <a:off x="0" y="0"/>
                      <a:ext cx="3133725" cy="2409825"/>
                    </a:xfrm>
                    <a:prstGeom prst="rect">
                      <a:avLst/>
                    </a:prstGeom>
                  </pic:spPr>
                </pic:pic>
              </a:graphicData>
            </a:graphic>
          </wp:inline>
        </w:drawing>
      </w:r>
      <w:r>
        <w:rPr>
          <w:rFonts w:ascii="Times New Roman" w:eastAsia="Times New Roman" w:hAnsi="Times New Roman" w:cs="Times New Roman"/>
          <w:b w:val="0"/>
          <w:i w:val="0"/>
          <w:color w:val="FF0090"/>
          <w:sz w:val="20"/>
          <w:u w:val="none"/>
        </w:rPr>
        <w:t xml:space="preserve">       </w:t>
      </w:r>
      <w:r>
        <w:rPr>
          <w:rFonts w:ascii="Arial" w:eastAsia="Arial" w:hAnsi="Arial" w:cs="Arial"/>
          <w:b/>
          <w:i w:val="0"/>
          <w:color w:val="4495D1"/>
          <w:sz w:val="24"/>
          <w:u w:val="none"/>
        </w:rPr>
        <w:drawing>
          <wp:inline>
            <wp:extent cx="3143250" cy="240982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
                    <pic:cNvPicPr>
                      <a:picLocks noChangeAspect="1"/>
                    </pic:cNvPicPr>
                  </pic:nvPicPr>
                  <pic:blipFill>
                    <a:blip xmlns:r="http://schemas.openxmlformats.org/officeDocument/2006/relationships" r:embed="rId24"/>
                    <a:stretch>
                      <a:fillRect/>
                    </a:stretch>
                  </pic:blipFill>
                  <pic:spPr>
                    <a:xfrm>
                      <a:off x="0" y="0"/>
                      <a:ext cx="3143250" cy="2409825"/>
                    </a:xfrm>
                    <a:prstGeom prst="rect">
                      <a:avLst/>
                    </a:prstGeom>
                  </pic:spPr>
                </pic:pic>
              </a:graphicData>
            </a:graphic>
          </wp:inline>
        </w:drawing>
      </w:r>
      <w:r>
        <w:rPr>
          <w:rFonts w:ascii="Arial" w:eastAsia="Arial" w:hAnsi="Arial" w:cs="Arial"/>
          <w:b w:val="0"/>
          <w:i w:val="0"/>
          <w:color w:val="969698"/>
          <w:sz w:val="16"/>
          <w:u w:val="none"/>
        </w:rPr>
        <w:t>*Source: Publicly filed financial information for peer company data. Peer group includes the companies selected as our peers by our Human Resources and Compensation Committee, as described  in "Compensation Discussion &amp; Analysis - Peer Group."</w:t>
      </w:r>
    </w:p>
    <w:p>
      <w:pPr>
        <w:keepNext w:val="0"/>
        <w:keepLines w:val="0"/>
        <w:pageBreakBefore w:val="0"/>
        <w:widowControl/>
        <w:numPr>
          <w:ilvl w:val="0"/>
          <w:numId w:val="0"/>
        </w:numPr>
        <w:spacing w:before="0" w:after="120" w:line="288" w:lineRule="auto"/>
        <w:ind w:left="0" w:right="0" w:firstLine="0"/>
        <w:jc w:val="both"/>
        <w:outlineLvl w:val="9"/>
        <w:rPr>
          <w:rFonts w:ascii="Arial" w:eastAsia="Arial" w:hAnsi="Arial" w:cs="Arial"/>
          <w:b/>
          <w:i w:val="0"/>
          <w:color w:val="4495D1"/>
          <w:sz w:val="24"/>
          <w:u w:val="none"/>
        </w:rPr>
        <w:sectPr>
          <w:headerReference w:type="default" r:id="rId25"/>
          <w:footerReference w:type="default" r:id="rId26"/>
          <w:pgSz w:w="12240" w:h="15840"/>
          <w:pgMar w:top="855" w:right="990" w:bottom="855" w:left="990" w:header="180" w:footer="270"/>
          <w:pgNumType w:fmt="lowerRoman" w:start="2"/>
          <w:cols w:space="708"/>
        </w:sectPr>
      </w:pPr>
    </w:p>
    <w:p>
      <w:pPr>
        <w:keepNext/>
        <w:keepLines/>
        <w:pageBreakBefore w:val="0"/>
        <w:widowControl w:val="0"/>
        <w:numPr>
          <w:ilvl w:val="0"/>
          <w:numId w:val="0"/>
        </w:numPr>
        <w:spacing w:before="0" w:after="0" w:line="288" w:lineRule="auto"/>
        <w:ind w:left="0" w:right="0" w:firstLine="0"/>
        <w:jc w:val="both"/>
        <w:outlineLvl w:val="9"/>
        <w:rPr>
          <w:rFonts w:ascii="Times New Roman" w:eastAsia="Times New Roman" w:hAnsi="Times New Roman" w:cs="Times New Roman"/>
          <w:b w:val="0"/>
          <w:i w:val="0"/>
          <w:color w:val="FF0090"/>
          <w:sz w:val="20"/>
          <w:u w:val="none"/>
        </w:rPr>
      </w:pPr>
      <w:bookmarkStart w:id="6" w:name="Section9"/>
      <w:bookmarkEnd w:id="6"/>
    </w:p>
    <w:p>
      <w:pPr>
        <w:keepNext/>
        <w:keepLines/>
        <w:pageBreakBefore w:val="0"/>
        <w:widowControl w:val="0"/>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EXECUTIVE COMPENSATION</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r>
        <w:rPr>
          <w:rFonts w:ascii="Arial" w:eastAsia="Arial" w:hAnsi="Arial" w:cs="Arial"/>
          <w:b/>
          <w:i w:val="0"/>
          <w:color w:val="171449"/>
          <w:sz w:val="24"/>
          <w:u w:val="none"/>
        </w:rPr>
        <w:t>Our Executive Compensation Philosophy</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171449"/>
          <w:sz w:val="20"/>
          <w:u w:val="none"/>
        </w:rPr>
      </w:pPr>
      <w:r>
        <w:rPr>
          <w:rFonts w:ascii="Arial" w:eastAsia="Arial" w:hAnsi="Arial" w:cs="Arial"/>
          <w:b w:val="0"/>
          <w:i w:val="0"/>
          <w:sz w:val="20"/>
        </w:rPr>
        <w:t xml:space="preserve">We are a growing company operating in an extremely competitive and changing industry. </w:t>
      </w:r>
      <w:r>
        <w:rPr>
          <w:rFonts w:ascii="Arial" w:eastAsia="Arial" w:hAnsi="Arial" w:cs="Arial"/>
          <w:b w:val="0"/>
          <w:i w:val="0"/>
          <w:sz w:val="20"/>
        </w:rPr>
        <w:t>While we consider many factors in our pay decisions, we are guided by the follow</w:t>
      </w:r>
      <w:r>
        <w:rPr>
          <w:rFonts w:ascii="Arial" w:eastAsia="Arial" w:hAnsi="Arial" w:cs="Arial"/>
          <w:b w:val="0"/>
          <w:i w:val="0"/>
          <w:sz w:val="20"/>
        </w:rPr>
        <w:t xml:space="preserve">ing </w:t>
      </w:r>
      <w:r>
        <w:rPr>
          <w:rFonts w:ascii="Arial" w:eastAsia="Arial" w:hAnsi="Arial" w:cs="Arial"/>
          <w:b w:val="0"/>
          <w:i w:val="0"/>
          <w:sz w:val="20"/>
        </w:rPr>
        <w:t>core principles:</w:t>
      </w: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860"/>
        <w:gridCol w:w="540"/>
        <w:gridCol w:w="4860"/>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95"/>
          <w:jc w:val="left"/>
        </w:trPr>
        <w:tc>
          <w:tcPr>
            <w:tcW w:w="48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48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960"/>
          <w:jc w:val="left"/>
        </w:trPr>
        <w:tc>
          <w:tcPr>
            <w:tcW w:w="48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delle Sans Light" w:eastAsia="Adelle Sans Light" w:hAnsi="Adelle Sans Light" w:cs="Adelle Sans Light"/>
                <w:b w:val="0"/>
                <w:i w:val="0"/>
                <w:color w:val="4494D1"/>
                <w:sz w:val="112"/>
                <w:u w:val="none"/>
              </w:rPr>
              <w:t>1</w:t>
            </w:r>
          </w:p>
        </w:tc>
        <w:tc>
          <w:tcPr>
            <w:tcW w:w="5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48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delle Sans Light" w:eastAsia="Adelle Sans Light" w:hAnsi="Adelle Sans Light" w:cs="Adelle Sans Light"/>
                <w:b w:val="0"/>
                <w:i w:val="0"/>
                <w:color w:val="4494D1"/>
                <w:sz w:val="112"/>
                <w:u w:val="none"/>
              </w:rPr>
              <w:t>2</w:t>
            </w:r>
          </w:p>
        </w:tc>
      </w:tr>
      <w:tr>
        <w:tblPrEx>
          <w:tblW w:w="10260" w:type="dxa"/>
          <w:jc w:val="left"/>
          <w:tblInd w:w="0" w:type="dxa"/>
          <w:tblLayout w:type="fixed"/>
          <w:tblCellMar>
            <w:left w:w="108" w:type="dxa"/>
            <w:right w:w="108" w:type="dxa"/>
          </w:tblCellMar>
        </w:tblPrEx>
        <w:trPr>
          <w:cantSplit/>
          <w:trHeight w:hRule="exact" w:val="105"/>
          <w:jc w:val="left"/>
        </w:trPr>
        <w:tc>
          <w:tcPr>
            <w:tcW w:w="48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48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315"/>
          <w:jc w:val="left"/>
        </w:trPr>
        <w:tc>
          <w:tcPr>
            <w:tcW w:w="48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20"/>
                <w:u w:val="none"/>
              </w:rPr>
              <w:t>Pay for Performance</w:t>
            </w:r>
          </w:p>
        </w:tc>
        <w:tc>
          <w:tcPr>
            <w:tcW w:w="5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48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20"/>
                <w:u w:val="none"/>
              </w:rPr>
              <w:t>Shareholder Alignment</w:t>
            </w:r>
          </w:p>
        </w:tc>
      </w:tr>
      <w:tr>
        <w:tblPrEx>
          <w:tblW w:w="10260" w:type="dxa"/>
          <w:jc w:val="left"/>
          <w:tblInd w:w="0" w:type="dxa"/>
          <w:tblLayout w:type="fixed"/>
          <w:tblCellMar>
            <w:left w:w="108" w:type="dxa"/>
            <w:right w:w="108" w:type="dxa"/>
          </w:tblCellMar>
        </w:tblPrEx>
        <w:trPr>
          <w:cantSplit/>
          <w:trHeight w:hRule="exact" w:val="105"/>
          <w:jc w:val="left"/>
        </w:trPr>
        <w:tc>
          <w:tcPr>
            <w:tcW w:w="48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48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605"/>
          <w:jc w:val="left"/>
        </w:trPr>
        <w:tc>
          <w:tcPr>
            <w:tcW w:w="48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300" w:lineRule="auto"/>
              <w:ind w:left="0" w:right="0" w:firstLine="0"/>
              <w:jc w:val="left"/>
              <w:outlineLvl w:val="9"/>
              <w:rPr>
                <w:rFonts w:ascii="Arial" w:eastAsia="Arial" w:hAnsi="Arial" w:cs="Arial"/>
                <w:b w:val="0"/>
                <w:i w:val="0"/>
                <w:sz w:val="20"/>
              </w:rPr>
            </w:pPr>
            <w:r>
              <w:rPr>
                <w:rFonts w:ascii="Arial" w:eastAsia="Arial" w:hAnsi="Arial" w:cs="Arial"/>
                <w:b w:val="0"/>
                <w:i w:val="0"/>
                <w:sz w:val="20"/>
              </w:rPr>
              <w:t xml:space="preserve">Incentivize performance consistent with clearly defined corporate objectives. </w:t>
            </w:r>
            <w:r>
              <w:rPr>
                <w:rFonts w:ascii="Arial" w:eastAsia="Arial" w:hAnsi="Arial" w:cs="Arial"/>
                <w:b w:val="0"/>
                <w:i w:val="0"/>
                <w:sz w:val="20"/>
              </w:rPr>
              <w:t xml:space="preserve">A majority of </w:t>
            </w:r>
            <w:r>
              <w:rPr>
                <w:rFonts w:ascii="Arial" w:eastAsia="Arial" w:hAnsi="Arial" w:cs="Arial"/>
                <w:b w:val="0"/>
                <w:i w:val="0"/>
                <w:sz w:val="20"/>
              </w:rPr>
              <w:t>o</w:t>
            </w:r>
            <w:r>
              <w:rPr>
                <w:rFonts w:ascii="Arial" w:eastAsia="Arial" w:hAnsi="Arial" w:cs="Arial"/>
                <w:b w:val="0"/>
                <w:i w:val="0"/>
                <w:sz w:val="20"/>
              </w:rPr>
              <w:t xml:space="preserve">ur </w:t>
            </w:r>
            <w:r>
              <w:rPr>
                <w:rFonts w:ascii="Arial" w:eastAsia="Arial" w:hAnsi="Arial" w:cs="Arial"/>
                <w:b w:val="0"/>
                <w:i w:val="0"/>
                <w:sz w:val="20"/>
              </w:rPr>
              <w:t xml:space="preserve">exeutives' </w:t>
            </w:r>
            <w:r>
              <w:rPr>
                <w:rFonts w:ascii="Arial" w:eastAsia="Arial" w:hAnsi="Arial" w:cs="Arial"/>
                <w:b w:val="0"/>
                <w:i w:val="0"/>
                <w:sz w:val="20"/>
              </w:rPr>
              <w:t>compensation is variable or at-risk and directly linked to Company, function, and individual performance.</w:t>
            </w:r>
          </w:p>
        </w:tc>
        <w:tc>
          <w:tcPr>
            <w:tcW w:w="5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48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300" w:lineRule="auto"/>
              <w:ind w:left="0" w:right="0" w:firstLine="0"/>
              <w:jc w:val="left"/>
              <w:outlineLvl w:val="9"/>
              <w:rPr>
                <w:rFonts w:ascii="Arial" w:eastAsia="Arial" w:hAnsi="Arial" w:cs="Arial"/>
                <w:b w:val="0"/>
                <w:i w:val="0"/>
                <w:sz w:val="20"/>
              </w:rPr>
            </w:pPr>
            <w:r>
              <w:rPr>
                <w:rFonts w:ascii="Arial" w:eastAsia="Arial" w:hAnsi="Arial" w:cs="Arial"/>
                <w:b w:val="0"/>
                <w:i w:val="0"/>
                <w:sz w:val="20"/>
              </w:rPr>
              <w:t xml:space="preserve">Align our executives’ long-term interests </w:t>
            </w:r>
            <w:r>
              <w:rPr>
                <w:rFonts w:ascii="Arial" w:eastAsia="Arial" w:hAnsi="Arial" w:cs="Arial"/>
                <w:b w:val="0"/>
                <w:i w:val="0"/>
                <w:sz w:val="20"/>
              </w:rPr>
              <w:t>with those of our shareholders. The financial interests of</w:t>
            </w:r>
            <w:r>
              <w:rPr>
                <w:rFonts w:ascii="Arial" w:eastAsia="Arial" w:hAnsi="Arial" w:cs="Arial"/>
                <w:b w:val="0"/>
                <w:i w:val="0"/>
                <w:sz w:val="20"/>
              </w:rPr>
              <w:t xml:space="preserve"> </w:t>
            </w:r>
            <w:r>
              <w:rPr>
                <w:rFonts w:ascii="Arial" w:eastAsia="Arial" w:hAnsi="Arial" w:cs="Arial"/>
                <w:b w:val="0"/>
                <w:i w:val="0"/>
                <w:sz w:val="20"/>
              </w:rPr>
              <w:t>executives are aligned with the long-term interests of our shareholders through stock-based compensation and performance metrics that correlate with long-term shareholder value.</w:t>
            </w:r>
          </w:p>
        </w:tc>
      </w:tr>
      <w:tr>
        <w:tblPrEx>
          <w:tblW w:w="10260" w:type="dxa"/>
          <w:jc w:val="left"/>
          <w:tblInd w:w="0" w:type="dxa"/>
          <w:tblLayout w:type="fixed"/>
          <w:tblCellMar>
            <w:left w:w="108" w:type="dxa"/>
            <w:right w:w="108" w:type="dxa"/>
          </w:tblCellMar>
        </w:tblPrEx>
        <w:trPr>
          <w:cantSplit/>
          <w:trHeight w:hRule="exact" w:val="315"/>
          <w:jc w:val="left"/>
        </w:trPr>
        <w:tc>
          <w:tcPr>
            <w:tcW w:w="48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48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960"/>
          <w:jc w:val="left"/>
        </w:trPr>
        <w:tc>
          <w:tcPr>
            <w:tcW w:w="48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delle Sans Light" w:eastAsia="Adelle Sans Light" w:hAnsi="Adelle Sans Light" w:cs="Adelle Sans Light"/>
                <w:b w:val="0"/>
                <w:i w:val="0"/>
                <w:color w:val="4494D1"/>
                <w:sz w:val="112"/>
                <w:u w:val="none"/>
              </w:rPr>
              <w:t>3</w:t>
            </w:r>
          </w:p>
        </w:tc>
        <w:tc>
          <w:tcPr>
            <w:tcW w:w="5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48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delle Sans Light" w:eastAsia="Adelle Sans Light" w:hAnsi="Adelle Sans Light" w:cs="Adelle Sans Light"/>
                <w:b w:val="0"/>
                <w:i w:val="0"/>
                <w:color w:val="4494D1"/>
                <w:sz w:val="112"/>
                <w:u w:val="none"/>
              </w:rPr>
              <w:t>4</w:t>
            </w:r>
          </w:p>
        </w:tc>
      </w:tr>
      <w:tr>
        <w:tblPrEx>
          <w:tblW w:w="10260" w:type="dxa"/>
          <w:jc w:val="left"/>
          <w:tblInd w:w="0" w:type="dxa"/>
          <w:tblLayout w:type="fixed"/>
          <w:tblCellMar>
            <w:left w:w="108" w:type="dxa"/>
            <w:right w:w="108" w:type="dxa"/>
          </w:tblCellMar>
        </w:tblPrEx>
        <w:trPr>
          <w:cantSplit/>
          <w:trHeight w:hRule="exact" w:val="105"/>
          <w:jc w:val="left"/>
        </w:trPr>
        <w:tc>
          <w:tcPr>
            <w:tcW w:w="48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48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315"/>
          <w:jc w:val="left"/>
        </w:trPr>
        <w:tc>
          <w:tcPr>
            <w:tcW w:w="48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20"/>
                <w:u w:val="none"/>
              </w:rPr>
              <w:t>Competitive Pay Levels</w:t>
            </w:r>
          </w:p>
        </w:tc>
        <w:tc>
          <w:tcPr>
            <w:tcW w:w="5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486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20"/>
                <w:u w:val="none"/>
              </w:rPr>
              <w:t>Retain and Attract Talent</w:t>
            </w:r>
          </w:p>
        </w:tc>
      </w:tr>
      <w:tr>
        <w:tblPrEx>
          <w:tblW w:w="10260" w:type="dxa"/>
          <w:jc w:val="left"/>
          <w:tblInd w:w="0" w:type="dxa"/>
          <w:tblLayout w:type="fixed"/>
          <w:tblCellMar>
            <w:left w:w="108" w:type="dxa"/>
            <w:right w:w="108" w:type="dxa"/>
          </w:tblCellMar>
        </w:tblPrEx>
        <w:trPr>
          <w:cantSplit/>
          <w:trHeight w:hRule="exact" w:val="105"/>
          <w:jc w:val="left"/>
        </w:trPr>
        <w:tc>
          <w:tcPr>
            <w:tcW w:w="48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4860" w:type="dxa"/>
            <w:tcBorders>
              <w:top w:val="nil"/>
              <w:left w:val="nil"/>
              <w:bottom w:val="nil"/>
              <w:right w:val="nil"/>
            </w:tcBorders>
            <w:tcMar>
              <w:top w:w="0" w:type="dxa"/>
              <w:left w:w="53" w:type="dxa"/>
              <w:bottom w:w="0" w:type="dxa"/>
              <w:right w:w="53" w:type="dxa"/>
            </w:tcMar>
            <w:vAlign w:val="center"/>
          </w:tcPr>
          <w:p>
            <w:pPr>
              <w:keepNext/>
              <w:pageBreakBefore w:val="0"/>
              <w:spacing w:before="0" w:after="0" w:line="300" w:lineRule="auto"/>
              <w:jc w:val="both"/>
            </w:pPr>
          </w:p>
        </w:tc>
      </w:tr>
      <w:tr>
        <w:tblPrEx>
          <w:tblW w:w="10260" w:type="dxa"/>
          <w:jc w:val="left"/>
          <w:tblInd w:w="0" w:type="dxa"/>
          <w:tblLayout w:type="fixed"/>
          <w:tblCellMar>
            <w:left w:w="108" w:type="dxa"/>
            <w:right w:w="108" w:type="dxa"/>
          </w:tblCellMar>
        </w:tblPrEx>
        <w:trPr>
          <w:cantSplit/>
          <w:trHeight w:hRule="exact" w:val="1605"/>
          <w:jc w:val="left"/>
        </w:trPr>
        <w:tc>
          <w:tcPr>
            <w:tcW w:w="48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300" w:lineRule="auto"/>
              <w:ind w:left="0" w:right="0" w:firstLine="0"/>
              <w:jc w:val="left"/>
              <w:outlineLvl w:val="9"/>
              <w:rPr>
                <w:rFonts w:ascii="Arial" w:eastAsia="Arial" w:hAnsi="Arial" w:cs="Arial"/>
                <w:b w:val="0"/>
                <w:i w:val="0"/>
                <w:sz w:val="20"/>
              </w:rPr>
            </w:pPr>
            <w:r>
              <w:rPr>
                <w:rFonts w:ascii="Arial" w:eastAsia="Arial" w:hAnsi="Arial" w:cs="Arial"/>
                <w:b w:val="0"/>
                <w:i w:val="0"/>
                <w:sz w:val="20"/>
              </w:rPr>
              <w:t>Competitively compensate our executives. Total compensation is sufficiently competitive with industry peers.</w:t>
            </w:r>
          </w:p>
        </w:tc>
        <w:tc>
          <w:tcPr>
            <w:tcW w:w="5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486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300" w:lineRule="auto"/>
              <w:ind w:left="0" w:right="0" w:firstLine="0"/>
              <w:jc w:val="left"/>
              <w:outlineLvl w:val="9"/>
              <w:rPr>
                <w:rFonts w:ascii="Arial" w:eastAsia="Arial" w:hAnsi="Arial" w:cs="Arial"/>
                <w:b w:val="0"/>
                <w:i w:val="0"/>
                <w:sz w:val="20"/>
              </w:rPr>
            </w:pPr>
            <w:r>
              <w:rPr>
                <w:rFonts w:ascii="Arial" w:eastAsia="Arial" w:hAnsi="Arial" w:cs="Arial"/>
                <w:b w:val="0"/>
                <w:i w:val="0"/>
                <w:sz w:val="20"/>
              </w:rPr>
              <w:t xml:space="preserve">Retain and attract qualified executives who are able to contribute to our long-term success. Our short- and long-term incentive awards are designed to attract and retain skilled executives. </w:t>
            </w:r>
          </w:p>
        </w:tc>
      </w:tr>
      <w:tr>
        <w:tblPrEx>
          <w:tblW w:w="10260" w:type="dxa"/>
          <w:jc w:val="left"/>
          <w:tblInd w:w="0" w:type="dxa"/>
          <w:tblLayout w:type="fixed"/>
          <w:tblCellMar>
            <w:left w:w="108" w:type="dxa"/>
            <w:right w:w="108" w:type="dxa"/>
          </w:tblCellMar>
        </w:tblPrEx>
        <w:trPr>
          <w:cantSplit/>
          <w:trHeight w:hRule="exact" w:val="315"/>
          <w:jc w:val="left"/>
        </w:trPr>
        <w:tc>
          <w:tcPr>
            <w:tcW w:w="48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54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48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60" w:after="60" w:line="288" w:lineRule="auto"/>
        <w:ind w:left="0" w:right="0" w:firstLine="0"/>
        <w:jc w:val="left"/>
        <w:outlineLvl w:val="9"/>
        <w:rPr>
          <w:rFonts w:ascii="Arial" w:eastAsia="Arial" w:hAnsi="Arial" w:cs="Arial"/>
          <w:b/>
          <w:i w:val="0"/>
          <w:color w:val="171449"/>
          <w:sz w:val="24"/>
          <w:u w:val="none"/>
        </w:rPr>
      </w:pPr>
    </w:p>
    <w:p>
      <w:pPr>
        <w:keepNext w:val="0"/>
        <w:keepLines w:val="0"/>
        <w:pageBreakBefore w:val="0"/>
        <w:widowControl/>
        <w:numPr>
          <w:ilvl w:val="0"/>
          <w:numId w:val="0"/>
        </w:numPr>
        <w:spacing w:before="120" w:after="60" w:line="288" w:lineRule="auto"/>
        <w:ind w:left="0" w:right="0" w:firstLine="0"/>
        <w:jc w:val="left"/>
        <w:outlineLvl w:val="9"/>
        <w:rPr>
          <w:rFonts w:ascii="Arial" w:eastAsia="Arial" w:hAnsi="Arial" w:cs="Arial"/>
          <w:b/>
          <w:i w:val="0"/>
          <w:color w:val="171449"/>
          <w:sz w:val="12"/>
          <w:u w:val="none"/>
        </w:rPr>
      </w:pPr>
      <w:r>
        <w:rPr>
          <w:rFonts w:ascii="Arial" w:eastAsia="Arial" w:hAnsi="Arial" w:cs="Arial"/>
          <w:b/>
          <w:i w:val="0"/>
          <w:color w:val="171449"/>
          <w:sz w:val="24"/>
          <w:u w:val="none"/>
        </w:rPr>
        <w:t>Results of Say-on-Pay Vote</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595"/>
        <w:gridCol w:w="766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05"/>
        </w:trPr>
        <w:tc>
          <w:tcPr>
            <w:tcW w:w="25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400"/>
        </w:trPr>
        <w:tc>
          <w:tcPr>
            <w:tcW w:w="2595"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40" w:lineRule="auto"/>
              <w:ind w:left="0" w:right="0" w:hanging="450"/>
              <w:jc w:val="left"/>
              <w:outlineLvl w:val="9"/>
              <w:rPr>
                <w:rFonts w:ascii="Arial" w:eastAsia="Arial" w:hAnsi="Arial" w:cs="Arial"/>
                <w:b w:val="0"/>
                <w:i w:val="0"/>
                <w:sz w:val="20"/>
              </w:rPr>
            </w:pPr>
            <w:r>
              <w:pict>
                <v:shape id="_x0000_i1038" type="#_x0000_t75" style="width:252pt;height:120.75pt">
                  <v:imagedata r:id="rId27" o:title=""/>
                  <o:lock v:ext="edit" aspectratio="t"/>
                </v:shape>
              </w:pict>
            </w:r>
          </w:p>
        </w:tc>
        <w:tc>
          <w:tcPr>
            <w:tcW w:w="766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At last year's annual general meeting held on</w:t>
            </w:r>
            <w:r>
              <w:rPr>
                <w:rFonts w:ascii="Arial" w:eastAsia="Arial" w:hAnsi="Arial" w:cs="Arial"/>
                <w:b w:val="0"/>
                <w:i w:val="0"/>
                <w:sz w:val="20"/>
              </w:rPr>
              <w:t xml:space="preserve"> </w:t>
            </w:r>
            <w:r>
              <w:rPr>
                <w:rFonts w:ascii="Arial" w:eastAsia="Arial" w:hAnsi="Arial" w:cs="Arial"/>
                <w:b w:val="0"/>
                <w:i w:val="0"/>
                <w:color w:val="000000"/>
                <w:sz w:val="20"/>
                <w:u w:val="none"/>
              </w:rPr>
              <w:t>June 1, 2023</w:t>
            </w:r>
            <w:r>
              <w:rPr>
                <w:rFonts w:ascii="Arial" w:eastAsia="Arial" w:hAnsi="Arial" w:cs="Arial"/>
                <w:b w:val="0"/>
                <w:i w:val="0"/>
                <w:sz w:val="20"/>
              </w:rPr>
              <w:t xml:space="preserve">, our shareholders approved the compensation of our executive officers with </w:t>
            </w:r>
            <w:r>
              <w:rPr>
                <w:rFonts w:ascii="Arial" w:eastAsia="Arial" w:hAnsi="Arial" w:cs="Arial"/>
                <w:b w:val="0"/>
                <w:i w:val="0"/>
                <w:color w:val="000000"/>
                <w:sz w:val="20"/>
                <w:u w:val="none"/>
              </w:rPr>
              <w:t>63%</w:t>
            </w:r>
            <w:r>
              <w:rPr>
                <w:rFonts w:ascii="Arial" w:eastAsia="Arial" w:hAnsi="Arial" w:cs="Arial"/>
                <w:b w:val="0"/>
                <w:i w:val="0"/>
                <w:sz w:val="20"/>
              </w:rPr>
              <w:t xml:space="preserve"> of the total votes cast in favor of the proposal. The </w:t>
            </w:r>
            <w:r>
              <w:rPr>
                <w:rFonts w:ascii="Arial" w:eastAsia="Arial" w:hAnsi="Arial" w:cs="Arial"/>
                <w:b w:val="0"/>
                <w:i w:val="0"/>
                <w:sz w:val="20"/>
              </w:rPr>
              <w:t xml:space="preserve">Human Resources and </w:t>
            </w:r>
            <w:r>
              <w:rPr>
                <w:rFonts w:ascii="Arial" w:eastAsia="Arial" w:hAnsi="Arial" w:cs="Arial"/>
                <w:b w:val="0"/>
                <w:i w:val="0"/>
                <w:sz w:val="20"/>
              </w:rPr>
              <w:t xml:space="preserve">Compensation Committee strives for a higher level of shareholder approval, and we increased our engagement efforts to understand shareholder concerns and increase the dialogue between shareholders and </w:t>
            </w:r>
            <w:r>
              <w:rPr>
                <w:rFonts w:ascii="Arial" w:eastAsia="Arial" w:hAnsi="Arial" w:cs="Arial"/>
                <w:b w:val="0"/>
                <w:i w:val="0"/>
                <w:sz w:val="20"/>
              </w:rPr>
              <w:t>c</w:t>
            </w:r>
            <w:r>
              <w:rPr>
                <w:rFonts w:ascii="Arial" w:eastAsia="Arial" w:hAnsi="Arial" w:cs="Arial"/>
                <w:b w:val="0"/>
                <w:i w:val="0"/>
                <w:sz w:val="20"/>
              </w:rPr>
              <w:t>ommittee members. A table outlining shareholder feedback and our responses is set forth in "Executive Compensation - Compensation Discussion &amp; Analysis - Results of Shareholder Vote on Compensation and Shareholder Engagement</w:t>
            </w:r>
            <w:r>
              <w:rPr>
                <w:rFonts w:ascii="Arial" w:eastAsia="Arial" w:hAnsi="Arial" w:cs="Arial"/>
                <w:b w:val="0"/>
                <w:i w:val="0"/>
                <w:sz w:val="20"/>
              </w:rPr>
              <w:t>"</w:t>
            </w:r>
            <w:r>
              <w:rPr>
                <w:rFonts w:ascii="Arial" w:eastAsia="Arial" w:hAnsi="Arial" w:cs="Arial"/>
                <w:b w:val="0"/>
                <w:i w:val="0"/>
                <w:sz w:val="20"/>
              </w:rPr>
              <w:t xml:space="preserve"> beginning on </w:t>
            </w:r>
            <w:r>
              <w:rPr>
                <w:rFonts w:ascii="Arial" w:eastAsia="Arial" w:hAnsi="Arial" w:cs="Arial"/>
                <w:b w:val="0"/>
                <w:i w:val="0"/>
                <w:sz w:val="20"/>
              </w:rPr>
              <w:t>page</w:t>
            </w:r>
            <w:r>
              <w:rPr>
                <w:rFonts w:ascii="Arial" w:eastAsia="Arial" w:hAnsi="Arial" w:cs="Arial"/>
                <w:b w:val="0"/>
                <w:i w:val="0"/>
                <w:sz w:val="20"/>
              </w:rPr>
              <w:t xml:space="preserve"> </w:t>
            </w:r>
            <w:r>
              <w:rPr>
                <w:rFonts w:ascii="Arial" w:eastAsia="Arial" w:hAnsi="Arial" w:cs="Arial"/>
                <w:b w:val="0"/>
                <w:i w:val="0"/>
                <w:color w:val="0000FF"/>
                <w:sz w:val="20"/>
                <w:u w:val="single"/>
              </w:rPr>
              <w:fldChar w:fldCharType="begin"/>
            </w:r>
            <w:r>
              <w:rPr>
                <w:rFonts w:ascii="Arial" w:eastAsia="Arial" w:hAnsi="Arial" w:cs="Arial"/>
                <w:b w:val="0"/>
                <w:i w:val="0"/>
                <w:color w:val="0000FF"/>
                <w:sz w:val="20"/>
                <w:u w:val="single"/>
              </w:rPr>
              <w:instrText xml:space="preserve"> PAGEREF </w:instrText>
            </w:r>
            <w:r>
              <w:rPr>
                <w:rFonts w:ascii="Arial" w:eastAsia="Arial" w:hAnsi="Arial" w:cs="Arial"/>
                <w:b w:val="0"/>
                <w:i w:val="0"/>
                <w:color w:val="0000FF"/>
                <w:sz w:val="20"/>
                <w:u w:val="single"/>
              </w:rPr>
              <w:instrText xml:space="preserve"> </w:instrText>
            </w:r>
            <w:r>
              <w:rPr>
                <w:rFonts w:ascii="Arial" w:eastAsia="Arial" w:hAnsi="Arial" w:cs="Arial"/>
                <w:b w:val="0"/>
                <w:i w:val="0"/>
                <w:color w:val="0000FF"/>
                <w:sz w:val="20"/>
                <w:u w:val="single"/>
              </w:rPr>
              <w:instrText>Section70</w:instrText>
            </w:r>
            <w:r>
              <w:rPr>
                <w:rFonts w:ascii="Arial" w:eastAsia="Arial" w:hAnsi="Arial" w:cs="Arial"/>
                <w:b w:val="0"/>
                <w:i w:val="0"/>
                <w:color w:val="0000FF"/>
                <w:sz w:val="20"/>
                <w:u w:val="single"/>
              </w:rPr>
              <w:instrText xml:space="preserve"> \h</w:instrText>
            </w:r>
            <w:r>
              <w:rPr>
                <w:rFonts w:ascii="Arial" w:eastAsia="Arial" w:hAnsi="Arial" w:cs="Arial"/>
                <w:b w:val="0"/>
                <w:i w:val="0"/>
                <w:color w:val="0000FF"/>
                <w:sz w:val="20"/>
                <w:u w:val="single"/>
              </w:rPr>
              <w:fldChar w:fldCharType="separate"/>
            </w:r>
            <w:r>
              <w:rPr>
                <w:rFonts w:ascii="Arial" w:eastAsia="Arial" w:hAnsi="Arial" w:cs="Arial"/>
                <w:b w:val="0"/>
                <w:i w:val="0"/>
                <w:color w:val="0000FF"/>
                <w:sz w:val="20"/>
                <w:u w:val="single"/>
              </w:rPr>
              <w:t>46</w:t>
            </w:r>
            <w:r>
              <w:rPr>
                <w:rFonts w:ascii="Arial" w:eastAsia="Arial" w:hAnsi="Arial" w:cs="Arial"/>
                <w:b w:val="0"/>
                <w:i w:val="0"/>
                <w:color w:val="0000FF"/>
                <w:sz w:val="20"/>
                <w:u w:val="single"/>
              </w:rPr>
              <w:fldChar w:fldCharType="end"/>
            </w:r>
            <w:r>
              <w:rPr>
                <w:rFonts w:ascii="Arial" w:eastAsia="Arial" w:hAnsi="Arial" w:cs="Arial"/>
                <w:b w:val="0"/>
                <w:i w:val="0"/>
                <w:sz w:val="20"/>
              </w:rPr>
              <w:t>.</w:t>
            </w:r>
          </w:p>
        </w:tc>
      </w:tr>
    </w:tbl>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171449"/>
          <w:sz w:val="2"/>
          <w:u w:val="none"/>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171449"/>
          <w:sz w:val="2"/>
          <w:u w:val="none"/>
        </w:rPr>
        <w:sectPr>
          <w:headerReference w:type="default" r:id="rId28"/>
          <w:footerReference w:type="default" r:id="rId29"/>
          <w:pgSz w:w="12240" w:h="15840"/>
          <w:pgMar w:top="855" w:right="990" w:bottom="855" w:left="990" w:header="180" w:footer="270"/>
          <w:pgNumType w:fmt="lowerRoman"/>
          <w:cols w:space="708"/>
        </w:sectPr>
      </w:pPr>
    </w:p>
    <w:p>
      <w:pPr>
        <w:keepNext/>
        <w:keepLines/>
        <w:pageBreakBefore w:val="0"/>
        <w:widowControl w:val="0"/>
        <w:numPr>
          <w:ilvl w:val="0"/>
          <w:numId w:val="0"/>
        </w:numPr>
        <w:spacing w:before="0" w:after="0" w:line="288" w:lineRule="auto"/>
        <w:ind w:left="0" w:right="0" w:firstLine="0"/>
        <w:jc w:val="both"/>
        <w:outlineLvl w:val="9"/>
        <w:rPr>
          <w:rFonts w:ascii="Times New Roman" w:eastAsia="Times New Roman" w:hAnsi="Times New Roman" w:cs="Times New Roman"/>
          <w:b w:val="0"/>
          <w:i w:val="0"/>
          <w:color w:val="FF0090"/>
          <w:sz w:val="20"/>
          <w:u w:val="none"/>
        </w:rPr>
      </w:pPr>
      <w:bookmarkStart w:id="7" w:name="Section10"/>
      <w:bookmarkEnd w:id="7"/>
    </w:p>
    <w:p>
      <w:pPr>
        <w:keepNext/>
        <w:keepLines/>
        <w:pageBreakBefore w:val="0"/>
        <w:widowControl w:val="0"/>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KEY COMPENSATION DECISIONS FOR 2023 PERFORMANCE YEAR</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6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Our Human Resources and Compensation Committee (the "Compensation Committee") made the following key compensation decisions:</w:t>
      </w: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6"/>
          <w:u w:val="none"/>
        </w:r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0"/>
          <w:u w:val="none"/>
        </w:rPr>
      </w:pPr>
    </w:p>
    <w:p>
      <w:pPr>
        <w:keepNext w:val="0"/>
        <w:keepLines w:val="0"/>
        <w:pageBreakBefore w:val="0"/>
        <w:widowControl/>
        <w:numPr>
          <w:ilvl w:val="0"/>
          <w:numId w:val="0"/>
        </w:numPr>
        <w:spacing w:before="120" w:after="60" w:line="288" w:lineRule="auto"/>
        <w:ind w:left="0" w:right="0" w:firstLine="0"/>
        <w:jc w:val="left"/>
        <w:outlineLvl w:val="9"/>
        <w:rPr>
          <w:rFonts w:ascii="Arial" w:eastAsia="Arial" w:hAnsi="Arial" w:cs="Arial"/>
          <w:b/>
          <w:i w:val="0"/>
          <w:color w:val="002060"/>
          <w:sz w:val="24"/>
          <w:u w:val="none"/>
        </w:rPr>
      </w:pPr>
      <w:r>
        <w:rPr>
          <w:rFonts w:ascii="Arial" w:eastAsia="Arial" w:hAnsi="Arial" w:cs="Arial"/>
          <w:b/>
          <w:i w:val="0"/>
          <w:color w:val="002060"/>
          <w:sz w:val="24"/>
          <w:u w:val="none"/>
        </w:rPr>
        <w:t>Annual Incentive Awards:</w:t>
      </w: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625"/>
        <w:gridCol w:w="763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35"/>
          <w:jc w:val="left"/>
        </w:trPr>
        <w:tc>
          <w:tcPr>
            <w:tcW w:w="262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200"/>
          <w:jc w:val="left"/>
        </w:trPr>
        <w:tc>
          <w:tcPr>
            <w:tcW w:w="2625" w:type="dxa"/>
            <w:tcBorders>
              <w:top w:val="nil"/>
              <w:left w:val="nil"/>
              <w:bottom w:val="nil"/>
              <w:right w:val="nil"/>
            </w:tcBorders>
            <w:tcMar>
              <w:top w:w="0" w:type="dxa"/>
              <w:left w:w="53" w:type="dxa"/>
              <w:bottom w:w="0" w:type="dxa"/>
              <w:right w:w="53" w:type="dxa"/>
            </w:tcMar>
            <w:vAlign w:val="top"/>
          </w:tcPr>
          <w:p>
            <w:pPr>
              <w:keepNext/>
              <w:pageBreakBefore w:val="0"/>
              <w:spacing w:before="53" w:line="240" w:lineRule="auto"/>
              <w:ind w:left="-43"/>
              <w:jc w:val="left"/>
            </w:pPr>
            <w:r>
              <w:rPr>
                <w:rFonts w:ascii="Arial" w:eastAsia="Arial" w:hAnsi="Arial" w:cs="Arial"/>
                <w:b/>
                <w:i w:val="0"/>
                <w:color w:val="000000"/>
                <w:sz w:val="22"/>
                <w:u w:val="none"/>
              </w:rPr>
              <w:t xml:space="preserve">Financial </w:t>
            </w:r>
          </w:p>
          <w:p>
            <w:pPr>
              <w:spacing w:after="30" w:line="240" w:lineRule="auto"/>
              <w:ind w:left="-43"/>
              <w:jc w:val="left"/>
            </w:pPr>
            <w:r>
              <w:rPr>
                <w:rFonts w:ascii="Arial" w:eastAsia="Arial" w:hAnsi="Arial" w:cs="Arial"/>
                <w:b/>
                <w:i w:val="0"/>
                <w:color w:val="000000"/>
                <w:sz w:val="22"/>
                <w:u w:val="none"/>
              </w:rPr>
              <w:t>Component</w:t>
            </w:r>
          </w:p>
        </w:tc>
        <w:tc>
          <w:tcPr>
            <w:tcW w:w="7635" w:type="dxa"/>
            <w:tcBorders>
              <w:top w:val="nil"/>
              <w:left w:val="nil"/>
              <w:bottom w:val="nil"/>
              <w:right w:val="nil"/>
            </w:tcBorders>
            <w:tcMar>
              <w:top w:w="0" w:type="dxa"/>
              <w:left w:w="53" w:type="dxa"/>
              <w:bottom w:w="0" w:type="dxa"/>
              <w:right w:w="53" w:type="dxa"/>
            </w:tcMar>
            <w:vAlign w:val="top"/>
          </w:tcPr>
          <w:p>
            <w:pPr>
              <w:keepNext/>
              <w:pageBreakBefore w:val="0"/>
              <w:numPr>
                <w:ilvl w:val="0"/>
                <w:numId w:val="21"/>
              </w:numPr>
              <w:spacing w:before="53" w:after="120" w:line="300" w:lineRule="auto"/>
              <w:ind w:left="270" w:right="0" w:hanging="180"/>
              <w:jc w:val="left"/>
              <w:outlineLvl w:val="9"/>
              <w:rPr>
                <w:rFonts w:ascii="Arial" w:eastAsia="Arial" w:hAnsi="Arial" w:cs="Arial"/>
                <w:b w:val="0"/>
                <w:i w:val="0"/>
                <w:sz w:val="20"/>
              </w:rPr>
            </w:pPr>
            <w:r>
              <w:rPr>
                <w:rFonts w:ascii="Arial" w:eastAsia="Arial" w:hAnsi="Arial" w:cs="Arial"/>
                <w:b w:val="0"/>
                <w:i w:val="0"/>
                <w:sz w:val="20"/>
              </w:rPr>
              <w:t>The financial component for all executive officers scored "Above Target" based on the level of achievement of Adjusted Return on Equity.</w:t>
            </w:r>
          </w:p>
          <w:p>
            <w:pPr>
              <w:pageBreakBefore w:val="0"/>
              <w:numPr>
                <w:ilvl w:val="0"/>
                <w:numId w:val="22"/>
              </w:numPr>
              <w:spacing w:before="0" w:after="30" w:line="300" w:lineRule="auto"/>
              <w:ind w:left="270" w:right="0" w:hanging="180"/>
              <w:jc w:val="left"/>
              <w:outlineLvl w:val="9"/>
              <w:rPr>
                <w:rFonts w:ascii="Arial" w:eastAsia="Arial" w:hAnsi="Arial" w:cs="Arial"/>
                <w:b w:val="0"/>
                <w:i w:val="0"/>
                <w:sz w:val="20"/>
              </w:rPr>
            </w:pPr>
            <w:r>
              <w:rPr>
                <w:rFonts w:ascii="Arial" w:eastAsia="Arial" w:hAnsi="Arial" w:cs="Arial"/>
                <w:b w:val="0"/>
                <w:i w:val="0"/>
                <w:sz w:val="20"/>
              </w:rPr>
              <w:t>Adjusted Return on Equity continues to be the sole financial metric used for annual incentive awards.</w:t>
            </w:r>
          </w:p>
        </w:tc>
      </w:tr>
      <w:tr>
        <w:tblPrEx>
          <w:tblW w:w="10260" w:type="dxa"/>
          <w:jc w:val="left"/>
          <w:tblInd w:w="0" w:type="dxa"/>
          <w:tblLayout w:type="fixed"/>
          <w:tblCellMar>
            <w:left w:w="108" w:type="dxa"/>
            <w:right w:w="108" w:type="dxa"/>
          </w:tblCellMar>
        </w:tblPrEx>
        <w:trPr>
          <w:cantSplit/>
          <w:trHeight w:hRule="exact" w:val="195"/>
          <w:jc w:val="left"/>
        </w:trPr>
        <w:tc>
          <w:tcPr>
            <w:tcW w:w="262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35" w:type="dxa"/>
            <w:tcBorders>
              <w:top w:val="nil"/>
              <w:left w:val="nil"/>
              <w:bottom w:val="single" w:sz="8" w:space="0" w:color="4494D1"/>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95"/>
          <w:jc w:val="left"/>
        </w:trPr>
        <w:tc>
          <w:tcPr>
            <w:tcW w:w="262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35" w:type="dxa"/>
            <w:tcBorders>
              <w:top w:val="single" w:sz="8" w:space="0" w:color="4494D1"/>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395"/>
          <w:jc w:val="left"/>
        </w:trPr>
        <w:tc>
          <w:tcPr>
            <w:tcW w:w="2625" w:type="dxa"/>
            <w:tcBorders>
              <w:top w:val="nil"/>
              <w:left w:val="nil"/>
              <w:bottom w:val="nil"/>
              <w:right w:val="nil"/>
            </w:tcBorders>
            <w:tcMar>
              <w:top w:w="0" w:type="dxa"/>
              <w:left w:w="53" w:type="dxa"/>
              <w:bottom w:w="0" w:type="dxa"/>
              <w:right w:w="53" w:type="dxa"/>
            </w:tcMar>
            <w:vAlign w:val="top"/>
          </w:tcPr>
          <w:p>
            <w:pPr>
              <w:keepNext/>
              <w:pageBreakBefore w:val="0"/>
              <w:spacing w:before="53" w:line="240" w:lineRule="auto"/>
              <w:ind w:left="-43"/>
              <w:jc w:val="left"/>
            </w:pPr>
            <w:r>
              <w:rPr>
                <w:rFonts w:ascii="Arial" w:eastAsia="Arial" w:hAnsi="Arial" w:cs="Arial"/>
                <w:b/>
                <w:i w:val="0"/>
                <w:color w:val="000000"/>
                <w:sz w:val="22"/>
                <w:u w:val="none"/>
              </w:rPr>
              <w:t xml:space="preserve">Corporate </w:t>
            </w:r>
          </w:p>
          <w:p>
            <w:pPr>
              <w:spacing w:after="30" w:line="240" w:lineRule="auto"/>
              <w:ind w:left="-43"/>
              <w:jc w:val="left"/>
            </w:pPr>
            <w:r>
              <w:rPr>
                <w:rFonts w:ascii="Arial" w:eastAsia="Arial" w:hAnsi="Arial" w:cs="Arial"/>
                <w:b/>
                <w:i w:val="0"/>
                <w:color w:val="000000"/>
                <w:sz w:val="22"/>
                <w:u w:val="none"/>
              </w:rPr>
              <w:t>Component</w:t>
            </w:r>
          </w:p>
        </w:tc>
        <w:tc>
          <w:tcPr>
            <w:tcW w:w="7635" w:type="dxa"/>
            <w:tcBorders>
              <w:top w:val="nil"/>
              <w:left w:val="nil"/>
              <w:bottom w:val="nil"/>
              <w:right w:val="nil"/>
            </w:tcBorders>
            <w:tcMar>
              <w:top w:w="0" w:type="dxa"/>
              <w:left w:w="53" w:type="dxa"/>
              <w:bottom w:w="0" w:type="dxa"/>
              <w:right w:w="53" w:type="dxa"/>
            </w:tcMar>
            <w:vAlign w:val="top"/>
          </w:tcPr>
          <w:p>
            <w:pPr>
              <w:keepNext/>
              <w:pageBreakBefore w:val="0"/>
              <w:numPr>
                <w:ilvl w:val="0"/>
                <w:numId w:val="19"/>
              </w:numPr>
              <w:spacing w:before="53" w:after="120" w:line="300" w:lineRule="auto"/>
              <w:ind w:left="270" w:right="47" w:hanging="180"/>
              <w:jc w:val="left"/>
              <w:outlineLvl w:val="9"/>
              <w:rPr>
                <w:rFonts w:ascii="Arial" w:eastAsia="Arial" w:hAnsi="Arial" w:cs="Arial"/>
                <w:b w:val="0"/>
                <w:i w:val="0"/>
                <w:sz w:val="20"/>
              </w:rPr>
            </w:pPr>
            <w:r>
              <w:rPr>
                <w:rFonts w:ascii="Arial" w:eastAsia="Arial" w:hAnsi="Arial" w:cs="Arial"/>
                <w:b w:val="0"/>
                <w:i w:val="0"/>
                <w:sz w:val="20"/>
              </w:rPr>
              <w:t xml:space="preserve">The Compensation Committee </w:t>
            </w:r>
            <w:r>
              <w:rPr>
                <w:rFonts w:ascii="Arial" w:eastAsia="Arial" w:hAnsi="Arial" w:cs="Arial"/>
                <w:b w:val="0"/>
                <w:i w:val="0"/>
                <w:sz w:val="20"/>
              </w:rPr>
              <w:t xml:space="preserve">evaluated the Company's performance against objectives designed to drive our medium to long-term strategic plan to determine an overall corporate component rating. </w:t>
            </w:r>
          </w:p>
          <w:p>
            <w:pPr>
              <w:pageBreakBefore w:val="0"/>
              <w:numPr>
                <w:ilvl w:val="0"/>
                <w:numId w:val="20"/>
              </w:numPr>
              <w:spacing w:before="0" w:after="30" w:line="300" w:lineRule="auto"/>
              <w:ind w:left="270" w:right="47" w:hanging="180"/>
              <w:jc w:val="left"/>
              <w:outlineLvl w:val="9"/>
              <w:rPr>
                <w:rFonts w:ascii="Arial" w:eastAsia="Arial" w:hAnsi="Arial" w:cs="Arial"/>
                <w:b w:val="0"/>
                <w:i w:val="0"/>
                <w:sz w:val="20"/>
              </w:rPr>
            </w:pPr>
            <w:r>
              <w:rPr>
                <w:rFonts w:ascii="Arial" w:eastAsia="Arial" w:hAnsi="Arial" w:cs="Arial"/>
                <w:b w:val="0"/>
                <w:i w:val="0"/>
                <w:sz w:val="20"/>
              </w:rPr>
              <w:t>The overall corporate component rating was achieved at a "target" level of opportunity.</w:t>
            </w:r>
          </w:p>
        </w:tc>
      </w:tr>
      <w:tr>
        <w:tblPrEx>
          <w:tblW w:w="10260" w:type="dxa"/>
          <w:jc w:val="left"/>
          <w:tblInd w:w="0" w:type="dxa"/>
          <w:tblLayout w:type="fixed"/>
          <w:tblCellMar>
            <w:left w:w="108" w:type="dxa"/>
            <w:right w:w="108" w:type="dxa"/>
          </w:tblCellMar>
        </w:tblPrEx>
        <w:trPr>
          <w:cantSplit/>
          <w:trHeight w:hRule="exact" w:val="195"/>
          <w:jc w:val="left"/>
        </w:trPr>
        <w:tc>
          <w:tcPr>
            <w:tcW w:w="262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35" w:type="dxa"/>
            <w:tcBorders>
              <w:top w:val="nil"/>
              <w:left w:val="nil"/>
              <w:bottom w:val="single" w:sz="8" w:space="0" w:color="4494D1"/>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95"/>
          <w:jc w:val="left"/>
        </w:trPr>
        <w:tc>
          <w:tcPr>
            <w:tcW w:w="262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35" w:type="dxa"/>
            <w:tcBorders>
              <w:top w:val="single" w:sz="8" w:space="0" w:color="4494D1"/>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245"/>
          <w:jc w:val="left"/>
        </w:trPr>
        <w:tc>
          <w:tcPr>
            <w:tcW w:w="2625" w:type="dxa"/>
            <w:tcBorders>
              <w:top w:val="nil"/>
              <w:left w:val="nil"/>
              <w:bottom w:val="nil"/>
              <w:right w:val="nil"/>
            </w:tcBorders>
            <w:tcMar>
              <w:top w:w="0" w:type="dxa"/>
              <w:left w:w="53" w:type="dxa"/>
              <w:bottom w:w="0" w:type="dxa"/>
              <w:right w:w="53" w:type="dxa"/>
            </w:tcMar>
            <w:vAlign w:val="top"/>
          </w:tcPr>
          <w:p>
            <w:pPr>
              <w:keepNext/>
              <w:pageBreakBefore w:val="0"/>
              <w:spacing w:before="53" w:line="240" w:lineRule="auto"/>
              <w:ind w:left="-43"/>
              <w:jc w:val="left"/>
            </w:pPr>
            <w:r>
              <w:rPr>
                <w:rFonts w:ascii="Arial" w:eastAsia="Arial" w:hAnsi="Arial" w:cs="Arial"/>
                <w:b/>
                <w:i w:val="0"/>
                <w:color w:val="000000"/>
                <w:sz w:val="22"/>
                <w:u w:val="none"/>
              </w:rPr>
              <w:t xml:space="preserve">Individual </w:t>
            </w:r>
          </w:p>
          <w:p>
            <w:pPr>
              <w:spacing w:after="30" w:line="240" w:lineRule="auto"/>
              <w:ind w:left="-43"/>
              <w:jc w:val="left"/>
            </w:pPr>
            <w:r>
              <w:rPr>
                <w:rFonts w:ascii="Arial" w:eastAsia="Arial" w:hAnsi="Arial" w:cs="Arial"/>
                <w:b/>
                <w:i w:val="0"/>
                <w:color w:val="000000"/>
                <w:sz w:val="22"/>
                <w:u w:val="none"/>
              </w:rPr>
              <w:t>Component</w:t>
            </w:r>
          </w:p>
        </w:tc>
        <w:tc>
          <w:tcPr>
            <w:tcW w:w="7635" w:type="dxa"/>
            <w:tcBorders>
              <w:top w:val="nil"/>
              <w:left w:val="nil"/>
              <w:bottom w:val="nil"/>
              <w:right w:val="nil"/>
            </w:tcBorders>
            <w:tcMar>
              <w:top w:w="0" w:type="dxa"/>
              <w:left w:w="53" w:type="dxa"/>
              <w:bottom w:w="0" w:type="dxa"/>
              <w:right w:w="53" w:type="dxa"/>
            </w:tcMar>
            <w:vAlign w:val="top"/>
          </w:tcPr>
          <w:p>
            <w:pPr>
              <w:keepNext/>
              <w:pageBreakBefore w:val="0"/>
              <w:numPr>
                <w:ilvl w:val="0"/>
                <w:numId w:val="17"/>
              </w:numPr>
              <w:spacing w:before="53" w:after="120" w:line="300" w:lineRule="auto"/>
              <w:ind w:left="270" w:right="47" w:hanging="180"/>
              <w:jc w:val="left"/>
              <w:outlineLvl w:val="9"/>
              <w:rPr>
                <w:rFonts w:ascii="Arial" w:eastAsia="Arial" w:hAnsi="Arial" w:cs="Arial"/>
                <w:b w:val="0"/>
                <w:i w:val="0"/>
                <w:sz w:val="20"/>
              </w:rPr>
            </w:pPr>
            <w:r>
              <w:rPr>
                <w:rFonts w:ascii="Arial" w:eastAsia="Arial" w:hAnsi="Arial" w:cs="Arial"/>
                <w:b w:val="0"/>
                <w:i w:val="0"/>
                <w:sz w:val="20"/>
              </w:rPr>
              <w:t xml:space="preserve">The Compensation Committee evaluated each executive based on a robust set of individual objectives, which take into consideration the Company's goals and operational priorities for the year. </w:t>
            </w:r>
          </w:p>
          <w:p>
            <w:pPr>
              <w:pageBreakBefore w:val="0"/>
              <w:numPr>
                <w:ilvl w:val="0"/>
                <w:numId w:val="18"/>
              </w:numPr>
              <w:spacing w:before="0" w:after="30" w:line="300" w:lineRule="auto"/>
              <w:ind w:left="270" w:right="47" w:hanging="180"/>
              <w:jc w:val="left"/>
              <w:outlineLvl w:val="9"/>
              <w:rPr>
                <w:rFonts w:ascii="Arial" w:eastAsia="Arial" w:hAnsi="Arial" w:cs="Arial"/>
                <w:b w:val="0"/>
                <w:i w:val="0"/>
                <w:sz w:val="20"/>
              </w:rPr>
            </w:pPr>
            <w:r>
              <w:rPr>
                <w:rFonts w:ascii="Arial" w:eastAsia="Arial" w:hAnsi="Arial" w:cs="Arial"/>
                <w:b w:val="0"/>
                <w:i w:val="0"/>
                <w:sz w:val="20"/>
              </w:rPr>
              <w:t>Individual objectives were achieved largely between "threshold" and "target".</w:t>
            </w:r>
          </w:p>
        </w:tc>
      </w:tr>
      <w:tr>
        <w:tblPrEx>
          <w:tblW w:w="10260" w:type="dxa"/>
          <w:jc w:val="left"/>
          <w:tblInd w:w="0" w:type="dxa"/>
          <w:tblLayout w:type="fixed"/>
          <w:tblCellMar>
            <w:left w:w="108" w:type="dxa"/>
            <w:right w:w="108" w:type="dxa"/>
          </w:tblCellMar>
        </w:tblPrEx>
        <w:trPr>
          <w:cantSplit/>
          <w:trHeight w:hRule="exact" w:val="165"/>
          <w:jc w:val="left"/>
        </w:trPr>
        <w:tc>
          <w:tcPr>
            <w:tcW w:w="262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7635"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bl>
    <w:p>
      <w:pPr>
        <w:keepNext/>
        <w:keepLines w:val="0"/>
        <w:pageBreakBefore w:val="0"/>
        <w:widowControl/>
        <w:numPr>
          <w:ilvl w:val="0"/>
          <w:numId w:val="0"/>
        </w:numPr>
        <w:spacing w:before="120" w:after="60" w:line="288" w:lineRule="auto"/>
        <w:ind w:left="0" w:right="0" w:firstLine="0"/>
        <w:jc w:val="left"/>
        <w:outlineLvl w:val="9"/>
        <w:rPr>
          <w:rFonts w:ascii="Arial" w:eastAsia="Arial" w:hAnsi="Arial" w:cs="Arial"/>
          <w:b/>
          <w:i w:val="0"/>
          <w:color w:val="4494D1"/>
          <w:sz w:val="24"/>
          <w:u w:val="none"/>
        </w:rPr>
      </w:pPr>
    </w:p>
    <w:p>
      <w:pPr>
        <w:keepNext/>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002060"/>
          <w:sz w:val="24"/>
          <w:u w:val="none"/>
        </w:rPr>
      </w:pPr>
      <w:r>
        <w:rPr>
          <w:rFonts w:ascii="Arial" w:eastAsia="Arial" w:hAnsi="Arial" w:cs="Arial"/>
          <w:b/>
          <w:i w:val="0"/>
          <w:color w:val="002060"/>
          <w:sz w:val="24"/>
          <w:u w:val="none"/>
        </w:rPr>
        <w:t>Long-term</w:t>
      </w:r>
      <w:r>
        <w:rPr>
          <w:rFonts w:ascii="Arial" w:eastAsia="Arial" w:hAnsi="Arial" w:cs="Arial"/>
          <w:b/>
          <w:i w:val="0"/>
          <w:color w:val="002060"/>
          <w:sz w:val="24"/>
          <w:u w:val="none"/>
        </w:rPr>
        <w:t xml:space="preserve"> Incentive Awards:</w:t>
      </w:r>
      <w:r>
        <w:rPr>
          <w:rFonts w:ascii="Arial" w:eastAsia="Arial" w:hAnsi="Arial" w:cs="Arial"/>
          <w:b/>
          <w:i w:val="0"/>
          <w:color w:val="002060"/>
          <w:sz w:val="24"/>
          <w:u w:val="none"/>
        </w:rPr>
        <w:t xml:space="preserve"> </w:t>
      </w: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625"/>
        <w:gridCol w:w="763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35"/>
          <w:jc w:val="left"/>
        </w:trPr>
        <w:tc>
          <w:tcPr>
            <w:tcW w:w="262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780"/>
          <w:jc w:val="left"/>
        </w:trPr>
        <w:tc>
          <w:tcPr>
            <w:tcW w:w="262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ind w:left="-43"/>
              <w:jc w:val="left"/>
            </w:pPr>
            <w:r>
              <w:rPr>
                <w:rFonts w:ascii="Arial" w:eastAsia="Arial" w:hAnsi="Arial" w:cs="Arial"/>
                <w:b/>
                <w:i w:val="0"/>
                <w:color w:val="000000"/>
                <w:sz w:val="22"/>
                <w:u w:val="none"/>
              </w:rPr>
              <w:t>CEO</w:t>
            </w:r>
          </w:p>
        </w:tc>
        <w:tc>
          <w:tcPr>
            <w:tcW w:w="7635" w:type="dxa"/>
            <w:tcBorders>
              <w:top w:val="nil"/>
              <w:left w:val="nil"/>
              <w:bottom w:val="nil"/>
              <w:right w:val="nil"/>
            </w:tcBorders>
            <w:tcMar>
              <w:top w:w="0" w:type="dxa"/>
              <w:left w:w="53" w:type="dxa"/>
              <w:bottom w:w="0" w:type="dxa"/>
              <w:right w:w="53" w:type="dxa"/>
            </w:tcMar>
            <w:vAlign w:val="top"/>
          </w:tcPr>
          <w:p>
            <w:pPr>
              <w:keepNext/>
              <w:pageBreakBefore w:val="0"/>
              <w:numPr>
                <w:ilvl w:val="0"/>
                <w:numId w:val="26"/>
              </w:numPr>
              <w:spacing w:before="53" w:after="30" w:line="300" w:lineRule="auto"/>
              <w:ind w:left="270" w:right="0" w:hanging="180"/>
              <w:jc w:val="left"/>
              <w:outlineLvl w:val="9"/>
              <w:rPr>
                <w:rFonts w:ascii="Arial" w:eastAsia="Arial" w:hAnsi="Arial" w:cs="Arial"/>
                <w:b w:val="0"/>
                <w:i w:val="0"/>
                <w:sz w:val="20"/>
              </w:rPr>
            </w:pPr>
            <w:r>
              <w:rPr>
                <w:rFonts w:ascii="Arial" w:eastAsia="Arial" w:hAnsi="Arial" w:cs="Arial"/>
                <w:b w:val="0"/>
                <w:i w:val="0"/>
                <w:sz w:val="20"/>
              </w:rPr>
              <w:t xml:space="preserve">No new equity awards granted to </w:t>
            </w:r>
            <w:r>
              <w:rPr>
                <w:rFonts w:ascii="Arial" w:eastAsia="Arial" w:hAnsi="Arial" w:cs="Arial"/>
                <w:b w:val="0"/>
                <w:i w:val="0"/>
                <w:sz w:val="20"/>
              </w:rPr>
              <w:t xml:space="preserve">our </w:t>
            </w:r>
            <w:r>
              <w:rPr>
                <w:rFonts w:ascii="Arial" w:eastAsia="Arial" w:hAnsi="Arial" w:cs="Arial"/>
                <w:b w:val="0"/>
                <w:i w:val="0"/>
                <w:sz w:val="20"/>
              </w:rPr>
              <w:t xml:space="preserve">CEO </w:t>
            </w:r>
            <w:r>
              <w:rPr>
                <w:rFonts w:ascii="Arial" w:eastAsia="Arial" w:hAnsi="Arial" w:cs="Arial"/>
                <w:b w:val="0"/>
                <w:i w:val="0"/>
                <w:sz w:val="20"/>
              </w:rPr>
              <w:t xml:space="preserve">after </w:t>
            </w:r>
            <w:r>
              <w:rPr>
                <w:rFonts w:ascii="Arial" w:eastAsia="Arial" w:hAnsi="Arial" w:cs="Arial"/>
                <w:b w:val="0"/>
                <w:i w:val="0"/>
                <w:sz w:val="20"/>
              </w:rPr>
              <w:t xml:space="preserve">the terms of his </w:t>
            </w:r>
            <w:r>
              <w:rPr>
                <w:rFonts w:ascii="Arial" w:eastAsia="Arial" w:hAnsi="Arial" w:cs="Arial"/>
                <w:b w:val="0"/>
                <w:i w:val="0"/>
                <w:sz w:val="20"/>
              </w:rPr>
              <w:t>Joint Share Ownership Plan</w:t>
            </w:r>
            <w:r>
              <w:rPr>
                <w:rFonts w:ascii="Arial" w:eastAsia="Arial" w:hAnsi="Arial" w:cs="Arial"/>
                <w:b w:val="0"/>
                <w:i w:val="0"/>
                <w:sz w:val="20"/>
              </w:rPr>
              <w:t xml:space="preserve"> </w:t>
            </w:r>
            <w:r>
              <w:rPr>
                <w:rFonts w:ascii="Arial" w:eastAsia="Arial" w:hAnsi="Arial" w:cs="Arial"/>
                <w:b w:val="0"/>
                <w:i w:val="0"/>
                <w:sz w:val="20"/>
              </w:rPr>
              <w:t xml:space="preserve">award (the "JSOP </w:t>
            </w:r>
            <w:r>
              <w:rPr>
                <w:rFonts w:ascii="Arial" w:eastAsia="Arial" w:hAnsi="Arial" w:cs="Arial"/>
                <w:b w:val="0"/>
                <w:i w:val="0"/>
                <w:sz w:val="20"/>
              </w:rPr>
              <w:t>A</w:t>
            </w:r>
            <w:r>
              <w:rPr>
                <w:rFonts w:ascii="Arial" w:eastAsia="Arial" w:hAnsi="Arial" w:cs="Arial"/>
                <w:b w:val="0"/>
                <w:i w:val="0"/>
                <w:sz w:val="20"/>
              </w:rPr>
              <w:t>ward")</w:t>
            </w:r>
            <w:r>
              <w:rPr>
                <w:rFonts w:ascii="Arial" w:eastAsia="Arial" w:hAnsi="Arial" w:cs="Arial"/>
                <w:b w:val="0"/>
                <w:i w:val="0"/>
                <w:sz w:val="20"/>
              </w:rPr>
              <w:t xml:space="preserve"> were extended in 2022 to </w:t>
            </w:r>
            <w:r>
              <w:rPr>
                <w:rFonts w:ascii="Arial" w:eastAsia="Arial" w:hAnsi="Arial" w:cs="Arial"/>
                <w:b w:val="0"/>
                <w:i w:val="0"/>
                <w:sz w:val="20"/>
              </w:rPr>
              <w:t>ensure he remains incentivized throughout his remaining contract term in</w:t>
            </w:r>
            <w:r>
              <w:rPr>
                <w:rFonts w:ascii="Arial" w:eastAsia="Arial" w:hAnsi="Arial" w:cs="Arial"/>
                <w:b w:val="0"/>
                <w:i w:val="0"/>
                <w:sz w:val="20"/>
              </w:rPr>
              <w:t xml:space="preserve">to 2025. </w:t>
            </w:r>
            <w:r>
              <w:rPr>
                <w:rFonts w:ascii="Arial" w:eastAsia="Arial" w:hAnsi="Arial" w:cs="Arial"/>
                <w:b w:val="0"/>
                <w:i w:val="0"/>
                <w:sz w:val="20"/>
              </w:rPr>
              <w:tab/>
            </w:r>
          </w:p>
        </w:tc>
      </w:tr>
      <w:tr>
        <w:tblPrEx>
          <w:tblW w:w="10260" w:type="dxa"/>
          <w:jc w:val="left"/>
          <w:tblInd w:w="0" w:type="dxa"/>
          <w:tblLayout w:type="fixed"/>
          <w:tblCellMar>
            <w:left w:w="108" w:type="dxa"/>
            <w:right w:w="108" w:type="dxa"/>
          </w:tblCellMar>
        </w:tblPrEx>
        <w:trPr>
          <w:cantSplit/>
          <w:trHeight w:hRule="exact" w:val="195"/>
          <w:jc w:val="left"/>
        </w:trPr>
        <w:tc>
          <w:tcPr>
            <w:tcW w:w="262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35" w:type="dxa"/>
            <w:tcBorders>
              <w:top w:val="nil"/>
              <w:left w:val="nil"/>
              <w:bottom w:val="single" w:sz="8" w:space="0" w:color="4494D1"/>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95"/>
          <w:jc w:val="left"/>
        </w:trPr>
        <w:tc>
          <w:tcPr>
            <w:tcW w:w="262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35" w:type="dxa"/>
            <w:tcBorders>
              <w:top w:val="single" w:sz="8" w:space="0" w:color="4494D1"/>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035"/>
          <w:jc w:val="left"/>
        </w:trPr>
        <w:tc>
          <w:tcPr>
            <w:tcW w:w="262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ind w:left="-43"/>
              <w:jc w:val="left"/>
            </w:pPr>
            <w:r>
              <w:rPr>
                <w:rFonts w:ascii="Arial" w:eastAsia="Arial" w:hAnsi="Arial" w:cs="Arial"/>
                <w:b/>
                <w:i w:val="0"/>
                <w:color w:val="000000"/>
                <w:sz w:val="22"/>
                <w:u w:val="none"/>
              </w:rPr>
              <w:t>President</w:t>
            </w:r>
          </w:p>
        </w:tc>
        <w:tc>
          <w:tcPr>
            <w:tcW w:w="7635" w:type="dxa"/>
            <w:tcBorders>
              <w:top w:val="nil"/>
              <w:left w:val="nil"/>
              <w:bottom w:val="nil"/>
              <w:right w:val="nil"/>
            </w:tcBorders>
            <w:tcMar>
              <w:top w:w="0" w:type="dxa"/>
              <w:left w:w="53" w:type="dxa"/>
              <w:bottom w:w="0" w:type="dxa"/>
              <w:right w:w="53" w:type="dxa"/>
            </w:tcMar>
            <w:vAlign w:val="top"/>
          </w:tcPr>
          <w:p>
            <w:pPr>
              <w:keepNext/>
              <w:pageBreakBefore w:val="0"/>
              <w:numPr>
                <w:ilvl w:val="0"/>
                <w:numId w:val="25"/>
              </w:numPr>
              <w:spacing w:before="53" w:after="30" w:line="300" w:lineRule="auto"/>
              <w:ind w:left="270" w:right="47" w:hanging="180"/>
              <w:jc w:val="left"/>
              <w:outlineLvl w:val="9"/>
              <w:rPr>
                <w:rFonts w:ascii="Arial" w:eastAsia="Arial" w:hAnsi="Arial" w:cs="Arial"/>
                <w:b w:val="0"/>
                <w:i w:val="0"/>
                <w:sz w:val="20"/>
              </w:rPr>
            </w:pPr>
            <w:r>
              <w:rPr>
                <w:rFonts w:ascii="Arial" w:eastAsia="Arial" w:hAnsi="Arial" w:cs="Arial"/>
                <w:b w:val="0"/>
                <w:i w:val="0"/>
                <w:sz w:val="20"/>
              </w:rPr>
              <w:t>Our</w:t>
            </w:r>
            <w:r>
              <w:rPr>
                <w:rFonts w:ascii="Arial" w:eastAsia="Arial" w:hAnsi="Arial" w:cs="Arial"/>
                <w:b w:val="0"/>
                <w:i w:val="0"/>
                <w:sz w:val="20"/>
              </w:rPr>
              <w:t xml:space="preserve"> Pr</w:t>
            </w:r>
            <w:r>
              <w:rPr>
                <w:rFonts w:ascii="Arial" w:eastAsia="Arial" w:hAnsi="Arial" w:cs="Arial"/>
                <w:b w:val="0"/>
                <w:i w:val="0"/>
                <w:sz w:val="20"/>
              </w:rPr>
              <w:t>esident</w:t>
            </w:r>
            <w:r>
              <w:rPr>
                <w:rFonts w:ascii="Arial" w:eastAsia="Arial" w:hAnsi="Arial" w:cs="Arial"/>
                <w:b w:val="0"/>
                <w:i w:val="0"/>
                <w:sz w:val="20"/>
              </w:rPr>
              <w:t xml:space="preserve"> re</w:t>
            </w:r>
            <w:r>
              <w:rPr>
                <w:rFonts w:ascii="Arial" w:eastAsia="Arial" w:hAnsi="Arial" w:cs="Arial"/>
                <w:b w:val="0"/>
                <w:i w:val="0"/>
                <w:sz w:val="20"/>
              </w:rPr>
              <w:t>ceived</w:t>
            </w:r>
            <w:r>
              <w:rPr>
                <w:rFonts w:ascii="Arial" w:eastAsia="Arial" w:hAnsi="Arial" w:cs="Arial"/>
                <w:b w:val="0"/>
                <w:i w:val="0"/>
                <w:sz w:val="20"/>
              </w:rPr>
              <w:t xml:space="preserve"> </w:t>
            </w:r>
            <w:r>
              <w:rPr>
                <w:rFonts w:ascii="Arial" w:eastAsia="Arial" w:hAnsi="Arial" w:cs="Arial"/>
                <w:b w:val="0"/>
                <w:i w:val="0"/>
                <w:sz w:val="20"/>
              </w:rPr>
              <w:t xml:space="preserve">a </w:t>
            </w:r>
            <w:r>
              <w:rPr>
                <w:rFonts w:ascii="Arial" w:eastAsia="Arial" w:hAnsi="Arial" w:cs="Arial"/>
                <w:b w:val="0"/>
                <w:i w:val="0"/>
                <w:sz w:val="20"/>
              </w:rPr>
              <w:t>new long</w:t>
            </w:r>
            <w:r>
              <w:rPr>
                <w:rFonts w:ascii="Arial" w:eastAsia="Arial" w:hAnsi="Arial" w:cs="Arial"/>
                <w:b w:val="0"/>
                <w:i w:val="0"/>
                <w:sz w:val="20"/>
              </w:rPr>
              <w:t>-term incentive</w:t>
            </w:r>
            <w:r>
              <w:rPr>
                <w:rFonts w:ascii="Arial" w:eastAsia="Arial" w:hAnsi="Arial" w:cs="Arial"/>
                <w:b w:val="0"/>
                <w:i w:val="0"/>
                <w:sz w:val="20"/>
              </w:rPr>
              <w:t xml:space="preserve"> ("LTI") award</w:t>
            </w:r>
            <w:r>
              <w:rPr>
                <w:rFonts w:ascii="Arial" w:eastAsia="Arial" w:hAnsi="Arial" w:cs="Arial"/>
                <w:b w:val="0"/>
                <w:i w:val="0"/>
                <w:sz w:val="20"/>
              </w:rPr>
              <w:t xml:space="preserve"> </w:t>
            </w:r>
            <w:r>
              <w:rPr>
                <w:rFonts w:ascii="Arial" w:eastAsia="Arial" w:hAnsi="Arial" w:cs="Arial"/>
                <w:b w:val="0"/>
                <w:i w:val="0"/>
                <w:sz w:val="20"/>
              </w:rPr>
              <w:t>consisting of</w:t>
            </w:r>
            <w:r>
              <w:rPr>
                <w:rFonts w:ascii="Arial" w:eastAsia="Arial" w:hAnsi="Arial" w:cs="Arial"/>
                <w:b w:val="0"/>
                <w:i w:val="0"/>
                <w:sz w:val="20"/>
              </w:rPr>
              <w:t xml:space="preserve"> 75%</w:t>
            </w:r>
            <w:r>
              <w:rPr>
                <w:rFonts w:ascii="Arial" w:eastAsia="Arial" w:hAnsi="Arial" w:cs="Arial"/>
                <w:b w:val="0"/>
                <w:i w:val="0"/>
                <w:sz w:val="20"/>
              </w:rPr>
              <w:t xml:space="preserve"> </w:t>
            </w:r>
            <w:r>
              <w:rPr>
                <w:rFonts w:ascii="Arial" w:eastAsia="Arial" w:hAnsi="Arial" w:cs="Arial"/>
                <w:b w:val="0"/>
                <w:i w:val="0"/>
                <w:sz w:val="20"/>
              </w:rPr>
              <w:t>performance share unit</w:t>
            </w:r>
            <w:r>
              <w:rPr>
                <w:rFonts w:ascii="Arial" w:eastAsia="Arial" w:hAnsi="Arial" w:cs="Arial"/>
                <w:b w:val="0"/>
                <w:i w:val="0"/>
                <w:sz w:val="20"/>
              </w:rPr>
              <w:t xml:space="preserve">s ("PSUs") and </w:t>
            </w:r>
            <w:r>
              <w:rPr>
                <w:rFonts w:ascii="Arial" w:eastAsia="Arial" w:hAnsi="Arial" w:cs="Arial"/>
                <w:b w:val="0"/>
                <w:i w:val="0"/>
                <w:sz w:val="20"/>
              </w:rPr>
              <w:t xml:space="preserve">25% </w:t>
            </w:r>
            <w:r>
              <w:rPr>
                <w:rFonts w:ascii="Arial" w:eastAsia="Arial" w:hAnsi="Arial" w:cs="Arial"/>
                <w:b w:val="0"/>
                <w:i w:val="0"/>
                <w:sz w:val="20"/>
              </w:rPr>
              <w:t>restricted share units ("RSUs") in 2023</w:t>
            </w:r>
            <w:r>
              <w:rPr>
                <w:rFonts w:ascii="Arial" w:eastAsia="Arial" w:hAnsi="Arial" w:cs="Arial"/>
                <w:b w:val="0"/>
                <w:i w:val="0"/>
                <w:sz w:val="20"/>
              </w:rPr>
              <w:t xml:space="preserve">. This LTI </w:t>
            </w:r>
            <w:r>
              <w:rPr>
                <w:rFonts w:ascii="Arial" w:eastAsia="Arial" w:hAnsi="Arial" w:cs="Arial"/>
                <w:b w:val="0"/>
                <w:i w:val="0"/>
                <w:sz w:val="20"/>
              </w:rPr>
              <w:t>a</w:t>
            </w:r>
            <w:r>
              <w:rPr>
                <w:rFonts w:ascii="Arial" w:eastAsia="Arial" w:hAnsi="Arial" w:cs="Arial"/>
                <w:b w:val="0"/>
                <w:i w:val="0"/>
                <w:sz w:val="20"/>
              </w:rPr>
              <w:t xml:space="preserve">ward is intended to serve as the sole LTI award to </w:t>
            </w:r>
            <w:r>
              <w:rPr>
                <w:rFonts w:ascii="Arial" w:eastAsia="Arial" w:hAnsi="Arial" w:cs="Arial"/>
                <w:b w:val="0"/>
                <w:i w:val="0"/>
                <w:sz w:val="20"/>
              </w:rPr>
              <w:t xml:space="preserve">our </w:t>
            </w:r>
            <w:r>
              <w:rPr>
                <w:rFonts w:ascii="Arial" w:eastAsia="Arial" w:hAnsi="Arial" w:cs="Arial"/>
                <w:b w:val="0"/>
                <w:i w:val="0"/>
                <w:sz w:val="20"/>
              </w:rPr>
              <w:t>P</w:t>
            </w:r>
            <w:r>
              <w:rPr>
                <w:rFonts w:ascii="Arial" w:eastAsia="Arial" w:hAnsi="Arial" w:cs="Arial"/>
                <w:b w:val="0"/>
                <w:i w:val="0"/>
                <w:sz w:val="20"/>
              </w:rPr>
              <w:t xml:space="preserve">resident for three years. </w:t>
            </w:r>
          </w:p>
        </w:tc>
      </w:tr>
      <w:tr>
        <w:tblPrEx>
          <w:tblW w:w="10260" w:type="dxa"/>
          <w:jc w:val="left"/>
          <w:tblInd w:w="0" w:type="dxa"/>
          <w:tblLayout w:type="fixed"/>
          <w:tblCellMar>
            <w:left w:w="108" w:type="dxa"/>
            <w:right w:w="108" w:type="dxa"/>
          </w:tblCellMar>
        </w:tblPrEx>
        <w:trPr>
          <w:cantSplit/>
          <w:trHeight w:hRule="exact" w:val="195"/>
          <w:jc w:val="left"/>
        </w:trPr>
        <w:tc>
          <w:tcPr>
            <w:tcW w:w="262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35" w:type="dxa"/>
            <w:tcBorders>
              <w:top w:val="nil"/>
              <w:left w:val="nil"/>
              <w:bottom w:val="single" w:sz="8" w:space="0" w:color="4494D1"/>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95"/>
          <w:jc w:val="left"/>
        </w:trPr>
        <w:tc>
          <w:tcPr>
            <w:tcW w:w="262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35" w:type="dxa"/>
            <w:tcBorders>
              <w:top w:val="single" w:sz="8" w:space="0" w:color="4494D1"/>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500"/>
          <w:jc w:val="left"/>
        </w:trPr>
        <w:tc>
          <w:tcPr>
            <w:tcW w:w="262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ind w:left="-43"/>
              <w:jc w:val="left"/>
            </w:pPr>
            <w:r>
              <w:rPr>
                <w:rFonts w:ascii="Arial" w:eastAsia="Arial" w:hAnsi="Arial" w:cs="Arial"/>
                <w:b/>
                <w:i w:val="0"/>
                <w:color w:val="000000"/>
                <w:sz w:val="22"/>
                <w:u w:val="none"/>
              </w:rPr>
              <w:t>Other NEOs</w:t>
            </w:r>
          </w:p>
        </w:tc>
        <w:tc>
          <w:tcPr>
            <w:tcW w:w="7635" w:type="dxa"/>
            <w:tcBorders>
              <w:top w:val="nil"/>
              <w:left w:val="nil"/>
              <w:bottom w:val="nil"/>
              <w:right w:val="nil"/>
            </w:tcBorders>
            <w:tcMar>
              <w:top w:w="0" w:type="dxa"/>
              <w:left w:w="53" w:type="dxa"/>
              <w:bottom w:w="0" w:type="dxa"/>
              <w:right w:w="53" w:type="dxa"/>
            </w:tcMar>
            <w:vAlign w:val="top"/>
          </w:tcPr>
          <w:p>
            <w:pPr>
              <w:keepNext/>
              <w:pageBreakBefore w:val="0"/>
              <w:numPr>
                <w:ilvl w:val="0"/>
                <w:numId w:val="23"/>
              </w:numPr>
              <w:spacing w:before="53" w:after="120" w:line="300" w:lineRule="auto"/>
              <w:ind w:left="270" w:right="47" w:hanging="180"/>
              <w:jc w:val="left"/>
              <w:outlineLvl w:val="9"/>
              <w:rPr>
                <w:rFonts w:ascii="Arial" w:eastAsia="Arial" w:hAnsi="Arial" w:cs="Arial"/>
                <w:b w:val="0"/>
                <w:i w:val="0"/>
                <w:sz w:val="20"/>
              </w:rPr>
            </w:pPr>
            <w:r>
              <w:rPr>
                <w:rFonts w:ascii="Arial" w:eastAsia="Arial" w:hAnsi="Arial" w:cs="Arial"/>
                <w:b w:val="0"/>
                <w:i w:val="0"/>
                <w:sz w:val="20"/>
              </w:rPr>
              <w:t>Our CFO, C</w:t>
            </w:r>
            <w:r>
              <w:rPr>
                <w:rFonts w:ascii="Arial" w:eastAsia="Arial" w:hAnsi="Arial" w:cs="Arial"/>
                <w:b w:val="0"/>
                <w:i w:val="0"/>
                <w:sz w:val="20"/>
              </w:rPr>
              <w:t>SO, COO and CI</w:t>
            </w:r>
            <w:r>
              <w:rPr>
                <w:rFonts w:ascii="Arial" w:eastAsia="Arial" w:hAnsi="Arial" w:cs="Arial"/>
                <w:b w:val="0"/>
                <w:i w:val="0"/>
                <w:sz w:val="20"/>
              </w:rPr>
              <w:t>O</w:t>
            </w:r>
            <w:r>
              <w:rPr>
                <w:rFonts w:ascii="Arial" w:eastAsia="Arial" w:hAnsi="Arial" w:cs="Arial"/>
                <w:b w:val="0"/>
                <w:i w:val="0"/>
                <w:sz w:val="20"/>
              </w:rPr>
              <w:t xml:space="preserve"> all received </w:t>
            </w:r>
            <w:r>
              <w:rPr>
                <w:rFonts w:ascii="Arial" w:eastAsia="Arial" w:hAnsi="Arial" w:cs="Arial"/>
                <w:b w:val="0"/>
                <w:i w:val="0"/>
                <w:sz w:val="20"/>
              </w:rPr>
              <w:t>annual LTI awards consisting of</w:t>
            </w:r>
            <w:r>
              <w:rPr>
                <w:rFonts w:ascii="Arial" w:eastAsia="Arial" w:hAnsi="Arial" w:cs="Arial"/>
                <w:b w:val="0"/>
                <w:i w:val="0"/>
                <w:sz w:val="20"/>
              </w:rPr>
              <w:t xml:space="preserve"> 70% PSUs and 30% RSUs.</w:t>
            </w:r>
          </w:p>
          <w:p>
            <w:pPr>
              <w:pageBreakBefore w:val="0"/>
              <w:numPr>
                <w:ilvl w:val="0"/>
                <w:numId w:val="24"/>
              </w:numPr>
              <w:spacing w:before="0" w:after="30" w:line="240" w:lineRule="auto"/>
              <w:ind w:left="270" w:right="47" w:hanging="180"/>
              <w:jc w:val="both"/>
              <w:outlineLvl w:val="9"/>
              <w:rPr>
                <w:rFonts w:ascii="Arial" w:eastAsia="Arial" w:hAnsi="Arial" w:cs="Arial"/>
                <w:b w:val="0"/>
                <w:i w:val="0"/>
                <w:sz w:val="20"/>
              </w:rPr>
            </w:pPr>
            <w:r>
              <w:rPr>
                <w:rFonts w:ascii="Arial" w:eastAsia="Arial" w:hAnsi="Arial" w:cs="Arial"/>
                <w:b w:val="0"/>
                <w:i w:val="0"/>
                <w:sz w:val="20"/>
              </w:rPr>
              <w:t>The CSO</w:t>
            </w:r>
            <w:r>
              <w:rPr>
                <w:rFonts w:ascii="Arial" w:eastAsia="Arial" w:hAnsi="Arial" w:cs="Arial"/>
                <w:b w:val="0"/>
                <w:i w:val="0"/>
                <w:sz w:val="20"/>
              </w:rPr>
              <w:t>,</w:t>
            </w:r>
            <w:r>
              <w:rPr>
                <w:rFonts w:ascii="Arial" w:eastAsia="Arial" w:hAnsi="Arial" w:cs="Arial"/>
                <w:b w:val="0"/>
                <w:i w:val="0"/>
                <w:sz w:val="20"/>
              </w:rPr>
              <w:t xml:space="preserve"> COO </w:t>
            </w:r>
            <w:r>
              <w:rPr>
                <w:rFonts w:ascii="Arial" w:eastAsia="Arial" w:hAnsi="Arial" w:cs="Arial"/>
                <w:b w:val="0"/>
                <w:i w:val="0"/>
                <w:sz w:val="20"/>
              </w:rPr>
              <w:t>and CIO</w:t>
            </w:r>
            <w:r>
              <w:rPr>
                <w:rFonts w:ascii="Arial" w:eastAsia="Arial" w:hAnsi="Arial" w:cs="Arial"/>
                <w:b w:val="0"/>
                <w:i w:val="0"/>
                <w:sz w:val="20"/>
              </w:rPr>
              <w:t xml:space="preserve"> also</w:t>
            </w:r>
            <w:r>
              <w:rPr>
                <w:rFonts w:ascii="Arial" w:eastAsia="Arial" w:hAnsi="Arial" w:cs="Arial"/>
                <w:b w:val="0"/>
                <w:i w:val="0"/>
                <w:sz w:val="20"/>
              </w:rPr>
              <w:t xml:space="preserve"> each</w:t>
            </w:r>
            <w:r>
              <w:rPr>
                <w:rFonts w:ascii="Arial" w:eastAsia="Arial" w:hAnsi="Arial" w:cs="Arial"/>
                <w:b w:val="0"/>
                <w:i w:val="0"/>
                <w:sz w:val="20"/>
              </w:rPr>
              <w:t xml:space="preserve"> received </w:t>
            </w:r>
            <w:r>
              <w:rPr>
                <w:rFonts w:ascii="Arial" w:eastAsia="Arial" w:hAnsi="Arial" w:cs="Arial"/>
                <w:b w:val="0"/>
                <w:i w:val="0"/>
                <w:sz w:val="20"/>
              </w:rPr>
              <w:t xml:space="preserve">a </w:t>
            </w:r>
            <w:r>
              <w:rPr>
                <w:rFonts w:ascii="Arial" w:eastAsia="Arial" w:hAnsi="Arial" w:cs="Arial"/>
                <w:b w:val="0"/>
                <w:i w:val="0"/>
                <w:sz w:val="20"/>
              </w:rPr>
              <w:t xml:space="preserve">special </w:t>
            </w:r>
            <w:r>
              <w:rPr>
                <w:rFonts w:ascii="Arial" w:eastAsia="Arial" w:hAnsi="Arial" w:cs="Arial"/>
                <w:b w:val="0"/>
                <w:i w:val="0"/>
                <w:sz w:val="20"/>
              </w:rPr>
              <w:t>cliff-vesting RSU</w:t>
            </w:r>
            <w:r>
              <w:rPr>
                <w:rFonts w:ascii="Arial" w:eastAsia="Arial" w:hAnsi="Arial" w:cs="Arial"/>
                <w:b w:val="0"/>
                <w:i w:val="0"/>
                <w:sz w:val="20"/>
              </w:rPr>
              <w:t xml:space="preserve"> award during 2023 </w:t>
            </w:r>
            <w:r>
              <w:rPr>
                <w:rFonts w:ascii="Arial" w:eastAsia="Arial" w:hAnsi="Arial" w:cs="Arial"/>
                <w:b w:val="0"/>
                <w:i w:val="0"/>
                <w:sz w:val="20"/>
              </w:rPr>
              <w:t>in recognition of their achievements and in exch</w:t>
            </w:r>
            <w:r>
              <w:rPr>
                <w:rFonts w:ascii="Arial" w:eastAsia="Arial" w:hAnsi="Arial" w:cs="Arial"/>
                <w:b w:val="0"/>
                <w:i w:val="0"/>
                <w:sz w:val="20"/>
              </w:rPr>
              <w:t>ange for, in the case of our C</w:t>
            </w:r>
            <w:r>
              <w:rPr>
                <w:rFonts w:ascii="Arial" w:eastAsia="Arial" w:hAnsi="Arial" w:cs="Arial"/>
                <w:b w:val="0"/>
                <w:i w:val="0"/>
                <w:sz w:val="20"/>
              </w:rPr>
              <w:t xml:space="preserve">SO and COO, an extension of the vesting term to an outstanding RSU award. </w:t>
            </w:r>
            <w:r>
              <w:rPr>
                <w:rFonts w:ascii="Arial" w:eastAsia="Arial" w:hAnsi="Arial" w:cs="Arial"/>
                <w:b w:val="0"/>
                <w:i w:val="0"/>
                <w:sz w:val="20"/>
              </w:rPr>
              <w:tab/>
            </w:r>
          </w:p>
        </w:tc>
      </w:tr>
      <w:tr>
        <w:tblPrEx>
          <w:tblW w:w="10260" w:type="dxa"/>
          <w:jc w:val="left"/>
          <w:tblInd w:w="0" w:type="dxa"/>
          <w:tblLayout w:type="fixed"/>
          <w:tblCellMar>
            <w:left w:w="108" w:type="dxa"/>
            <w:right w:w="108" w:type="dxa"/>
          </w:tblCellMar>
        </w:tblPrEx>
        <w:trPr>
          <w:cantSplit/>
          <w:trHeight w:hRule="exact" w:val="165"/>
          <w:jc w:val="left"/>
        </w:trPr>
        <w:tc>
          <w:tcPr>
            <w:tcW w:w="262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7635"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bl>
    <w:p>
      <w:pPr>
        <w:keepNext/>
        <w:keepLines w:val="0"/>
        <w:pageBreakBefore w:val="0"/>
        <w:widowControl/>
        <w:numPr>
          <w:ilvl w:val="0"/>
          <w:numId w:val="0"/>
        </w:numPr>
        <w:spacing w:before="120" w:after="60" w:line="288" w:lineRule="auto"/>
        <w:ind w:left="0" w:right="0" w:firstLine="0"/>
        <w:jc w:val="left"/>
        <w:outlineLvl w:val="9"/>
        <w:rPr>
          <w:rFonts w:ascii="Arial" w:eastAsia="Arial" w:hAnsi="Arial" w:cs="Arial"/>
          <w:b/>
          <w:i w:val="0"/>
          <w:color w:val="171449"/>
          <w:sz w:val="12"/>
          <w:u w:val="none"/>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171449"/>
          <w:sz w:val="20"/>
          <w:u w:val="none"/>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i w:val="0"/>
          <w:color w:val="171449"/>
          <w:sz w:val="12"/>
          <w:u w:val="none"/>
        </w:rPr>
        <w:sectPr>
          <w:headerReference w:type="default" r:id="rId30"/>
          <w:footerReference w:type="default" r:id="rId31"/>
          <w:pgSz w:w="12240" w:h="15840"/>
          <w:pgMar w:top="855" w:right="990" w:bottom="855" w:left="990" w:header="180" w:footer="270"/>
          <w:pgNumType w:fmt="lowerRoman"/>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16"/>
          <w:u w:val="none"/>
        </w:rPr>
      </w:pPr>
      <w:bookmarkStart w:id="8" w:name="Section11"/>
      <w:bookmarkEnd w:id="8"/>
    </w:p>
    <w:p>
      <w:pPr>
        <w:keepNext w:val="0"/>
        <w:keepLines w:val="0"/>
        <w:pageBreakBefore w:val="0"/>
        <w:widowControl/>
        <w:numPr>
          <w:ilvl w:val="0"/>
          <w:numId w:val="0"/>
        </w:numPr>
        <w:spacing w:before="0" w:after="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O</w:t>
      </w:r>
      <w:r>
        <w:rPr>
          <w:rFonts w:ascii="Arial" w:eastAsia="Arial" w:hAnsi="Arial" w:cs="Arial"/>
          <w:b/>
          <w:i w:val="0"/>
          <w:color w:val="4495D1"/>
          <w:sz w:val="24"/>
          <w:u w:val="none"/>
        </w:rPr>
        <w:t>UR BOARD OF DIRECTORS</w:t>
      </w:r>
    </w:p>
    <w:tbl>
      <w:tblPr>
        <w:tblW w:w="1020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jc w:val="left"/>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60" w:after="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 following describes our current Board composition and current committee assignments of each of our directors with ages</w:t>
      </w:r>
      <w:r>
        <w:rPr>
          <w:rFonts w:ascii="Arial" w:eastAsia="Arial" w:hAnsi="Arial" w:cs="Arial"/>
          <w:b w:val="0"/>
          <w:i w:val="0"/>
          <w:sz w:val="20"/>
        </w:rPr>
        <w:t>,</w:t>
      </w:r>
      <w:r>
        <w:rPr>
          <w:rFonts w:ascii="Arial" w:eastAsia="Arial" w:hAnsi="Arial" w:cs="Arial"/>
          <w:b w:val="0"/>
          <w:i w:val="0"/>
          <w:sz w:val="20"/>
        </w:rPr>
        <w:t xml:space="preserve"> tenures</w:t>
      </w:r>
      <w:r>
        <w:rPr>
          <w:rFonts w:ascii="Arial" w:eastAsia="Arial" w:hAnsi="Arial" w:cs="Arial"/>
          <w:b w:val="0"/>
          <w:i w:val="0"/>
          <w:sz w:val="20"/>
        </w:rPr>
        <w:t xml:space="preserve"> and other </w:t>
      </w:r>
      <w:r>
        <w:rPr>
          <w:rFonts w:ascii="Arial" w:eastAsia="Arial" w:hAnsi="Arial" w:cs="Arial"/>
          <w:b w:val="0"/>
          <w:i w:val="0"/>
          <w:sz w:val="20"/>
        </w:rPr>
        <w:t xml:space="preserve">public company </w:t>
      </w:r>
      <w:r>
        <w:rPr>
          <w:rFonts w:ascii="Arial" w:eastAsia="Arial" w:hAnsi="Arial" w:cs="Arial"/>
          <w:b w:val="0"/>
          <w:i w:val="0"/>
          <w:sz w:val="20"/>
        </w:rPr>
        <w:t>directorships</w:t>
      </w:r>
      <w:r>
        <w:rPr>
          <w:rFonts w:ascii="Arial" w:eastAsia="Arial" w:hAnsi="Arial" w:cs="Arial"/>
          <w:b w:val="0"/>
          <w:i w:val="0"/>
          <w:sz w:val="20"/>
        </w:rPr>
        <w:t xml:space="preserve"> calculated as of </w:t>
      </w:r>
      <w:r>
        <w:rPr>
          <w:rFonts w:ascii="Arial" w:eastAsia="Arial" w:hAnsi="Arial" w:cs="Arial"/>
          <w:b w:val="0"/>
          <w:i w:val="0"/>
          <w:color w:val="000000"/>
          <w:sz w:val="20"/>
          <w:u w:val="none"/>
        </w:rPr>
        <w:t>April 26, 2024</w:t>
      </w:r>
      <w:r>
        <w:rPr>
          <w:rFonts w:ascii="Arial" w:eastAsia="Arial" w:hAnsi="Arial" w:cs="Arial"/>
          <w:b w:val="0"/>
          <w:i w:val="0"/>
          <w:sz w:val="20"/>
        </w:rPr>
        <w:t>.</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115"/>
        <w:gridCol w:w="2955"/>
        <w:gridCol w:w="645"/>
        <w:gridCol w:w="585"/>
        <w:gridCol w:w="585"/>
        <w:gridCol w:w="945"/>
        <w:gridCol w:w="405"/>
        <w:gridCol w:w="405"/>
        <w:gridCol w:w="405"/>
        <w:gridCol w:w="405"/>
        <w:gridCol w:w="405"/>
        <w:gridCol w:w="40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15"/>
        </w:trPr>
        <w:tc>
          <w:tcPr>
            <w:tcW w:w="21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95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45" w:type="dxa"/>
            <w:vMerge w:val="restart"/>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53" w:after="30" w:line="288" w:lineRule="auto"/>
              <w:jc w:val="center"/>
            </w:pPr>
            <w:r>
              <w:rPr>
                <w:rFonts w:ascii="Arial" w:eastAsia="Arial" w:hAnsi="Arial" w:cs="Arial"/>
                <w:b/>
                <w:i w:val="0"/>
                <w:color w:val="000000"/>
                <w:sz w:val="14"/>
                <w:u w:val="none"/>
              </w:rPr>
              <w:t>Director Since</w:t>
            </w:r>
          </w:p>
        </w:tc>
        <w:tc>
          <w:tcPr>
            <w:tcW w:w="5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85" w:type="dxa"/>
            <w:vMerge w:val="restart"/>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jc w:val="center"/>
            </w:pPr>
            <w:r>
              <w:rPr>
                <w:rFonts w:ascii="Arial" w:eastAsia="Arial" w:hAnsi="Arial" w:cs="Arial"/>
                <w:b/>
                <w:i w:val="0"/>
                <w:color w:val="000000"/>
                <w:sz w:val="14"/>
                <w:u w:val="none"/>
              </w:rPr>
              <w:t>Other Public Board</w:t>
            </w:r>
          </w:p>
        </w:tc>
        <w:tc>
          <w:tcPr>
            <w:tcW w:w="94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2430" w:type="dxa"/>
            <w:gridSpan w:val="6"/>
            <w:tcBorders>
              <w:top w:val="nil"/>
              <w:left w:val="nil"/>
              <w:bottom w:val="single" w:sz="12" w:space="0" w:color="4494D1"/>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center"/>
            </w:pPr>
            <w:r>
              <w:rPr>
                <w:rFonts w:ascii="Arial" w:eastAsia="Arial" w:hAnsi="Arial" w:cs="Arial"/>
                <w:b/>
                <w:i w:val="0"/>
                <w:color w:val="000000"/>
                <w:sz w:val="14"/>
                <w:u w:val="none"/>
              </w:rPr>
              <w:t>Committee Membership</w:t>
            </w:r>
          </w:p>
        </w:tc>
      </w:tr>
      <w:tr>
        <w:tblPrEx>
          <w:tblW w:w="10260" w:type="dxa"/>
          <w:tblInd w:w="0" w:type="dxa"/>
          <w:tblLayout w:type="fixed"/>
          <w:tblCellMar>
            <w:left w:w="108" w:type="dxa"/>
            <w:right w:w="108" w:type="dxa"/>
          </w:tblCellMar>
        </w:tblPrEx>
        <w:trPr>
          <w:cantSplit/>
          <w:trHeight w:hRule="exact" w:val="285"/>
        </w:trPr>
        <w:tc>
          <w:tcPr>
            <w:tcW w:w="2115" w:type="dxa"/>
            <w:tcBorders>
              <w:top w:val="nil"/>
              <w:left w:val="nil"/>
              <w:bottom w:val="nil"/>
              <w:right w:val="nil"/>
            </w:tcBorders>
            <w:tcMar>
              <w:top w:w="0" w:type="dxa"/>
              <w:left w:w="53" w:type="dxa"/>
              <w:bottom w:w="0" w:type="dxa"/>
              <w:right w:w="53" w:type="dxa"/>
            </w:tcMar>
            <w:vAlign w:val="bottom"/>
          </w:tcPr>
          <w:p>
            <w:pPr>
              <w:keepNext/>
              <w:pageBreakBefore w:val="0"/>
              <w:spacing w:before="23" w:after="30" w:line="288" w:lineRule="auto"/>
              <w:jc w:val="left"/>
            </w:pPr>
            <w:r>
              <w:rPr>
                <w:rFonts w:ascii="Arial" w:eastAsia="Arial" w:hAnsi="Arial" w:cs="Arial"/>
                <w:b/>
                <w:i w:val="0"/>
                <w:color w:val="000000"/>
                <w:sz w:val="14"/>
                <w:u w:val="none"/>
              </w:rPr>
              <w:t>Name</w:t>
            </w:r>
          </w:p>
        </w:tc>
        <w:tc>
          <w:tcPr>
            <w:tcW w:w="295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23" w:after="30" w:line="288" w:lineRule="auto"/>
              <w:jc w:val="left"/>
            </w:pPr>
            <w:r>
              <w:rPr>
                <w:rFonts w:ascii="Arial" w:eastAsia="Arial" w:hAnsi="Arial" w:cs="Arial"/>
                <w:b/>
                <w:i w:val="0"/>
                <w:color w:val="000000"/>
                <w:sz w:val="14"/>
                <w:u w:val="none"/>
              </w:rPr>
              <w:t>Primary Occupation</w:t>
            </w:r>
          </w:p>
        </w:tc>
        <w:tc>
          <w:tcPr>
            <w:tcW w:w="645" w:type="dxa"/>
            <w:vMerge/>
            <w:tcBorders>
              <w:top w:val="nil"/>
              <w:left w:val="nil"/>
              <w:bottom w:val="nil"/>
              <w:right w:val="nil"/>
            </w:tcBorders>
          </w:tcPr>
          <w:p>
            <w:pPr>
              <w:keepNext/>
              <w:pageBreakBefore w:val="0"/>
            </w:pPr>
          </w:p>
        </w:tc>
        <w:tc>
          <w:tcPr>
            <w:tcW w:w="58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23" w:after="30" w:line="288" w:lineRule="auto"/>
              <w:jc w:val="center"/>
            </w:pPr>
            <w:r>
              <w:rPr>
                <w:rFonts w:ascii="Arial" w:eastAsia="Arial" w:hAnsi="Arial" w:cs="Arial"/>
                <w:b/>
                <w:i w:val="0"/>
                <w:color w:val="000000"/>
                <w:sz w:val="14"/>
                <w:u w:val="none"/>
              </w:rPr>
              <w:t>Age</w:t>
            </w:r>
          </w:p>
        </w:tc>
        <w:tc>
          <w:tcPr>
            <w:tcW w:w="585" w:type="dxa"/>
            <w:vMerge/>
            <w:tcBorders>
              <w:top w:val="nil"/>
              <w:left w:val="nil"/>
              <w:bottom w:val="nil"/>
              <w:right w:val="nil"/>
            </w:tcBorders>
          </w:tcPr>
          <w:p>
            <w:pPr>
              <w:keepNext/>
              <w:pageBreakBefore w:val="0"/>
            </w:pPr>
          </w:p>
        </w:tc>
        <w:tc>
          <w:tcPr>
            <w:tcW w:w="94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23" w:after="30" w:line="288" w:lineRule="auto"/>
              <w:jc w:val="center"/>
            </w:pPr>
            <w:r>
              <w:rPr>
                <w:rFonts w:ascii="Arial" w:eastAsia="Arial" w:hAnsi="Arial" w:cs="Arial"/>
                <w:b/>
                <w:i w:val="0"/>
                <w:color w:val="000000"/>
                <w:sz w:val="14"/>
                <w:u w:val="none"/>
              </w:rPr>
              <w:t>Independent</w:t>
            </w:r>
          </w:p>
        </w:tc>
        <w:tc>
          <w:tcPr>
            <w:tcW w:w="40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spacing w:before="23" w:after="30" w:line="288" w:lineRule="auto"/>
              <w:jc w:val="center"/>
            </w:pPr>
            <w:r>
              <w:rPr>
                <w:rFonts w:ascii="Arial" w:eastAsia="Arial" w:hAnsi="Arial" w:cs="Arial"/>
                <w:b/>
                <w:i w:val="0"/>
                <w:color w:val="000000"/>
                <w:sz w:val="14"/>
                <w:u w:val="none"/>
              </w:rPr>
              <w:t>AC</w:t>
            </w:r>
          </w:p>
        </w:tc>
        <w:tc>
          <w:tcPr>
            <w:tcW w:w="405" w:type="dxa"/>
            <w:tcBorders>
              <w:top w:val="single" w:sz="12" w:space="0" w:color="4494D1"/>
              <w:left w:val="nil"/>
              <w:bottom w:val="nil"/>
              <w:right w:val="nil"/>
            </w:tcBorders>
            <w:shd w:val="clear" w:color="auto" w:fill="FFFFFF"/>
            <w:tcMar>
              <w:top w:w="0" w:type="dxa"/>
              <w:left w:w="53" w:type="dxa"/>
              <w:bottom w:w="0" w:type="dxa"/>
              <w:right w:w="53" w:type="dxa"/>
            </w:tcMar>
            <w:vAlign w:val="bottom"/>
          </w:tcPr>
          <w:p>
            <w:pPr>
              <w:keepNext/>
              <w:pageBreakBefore w:val="0"/>
              <w:spacing w:before="23" w:after="30" w:line="288" w:lineRule="auto"/>
              <w:jc w:val="center"/>
            </w:pPr>
            <w:r>
              <w:rPr>
                <w:rFonts w:ascii="Arial" w:eastAsia="Arial" w:hAnsi="Arial" w:cs="Arial"/>
                <w:b/>
                <w:i w:val="0"/>
                <w:color w:val="000000"/>
                <w:sz w:val="14"/>
                <w:u w:val="none"/>
              </w:rPr>
              <w:t>HC</w:t>
            </w:r>
          </w:p>
        </w:tc>
        <w:tc>
          <w:tcPr>
            <w:tcW w:w="405" w:type="dxa"/>
            <w:tcBorders>
              <w:top w:val="single" w:sz="12" w:space="0" w:color="4494D1"/>
              <w:left w:val="nil"/>
              <w:bottom w:val="nil"/>
              <w:right w:val="nil"/>
            </w:tcBorders>
            <w:shd w:val="clear" w:color="auto" w:fill="FFFFFF"/>
            <w:tcMar>
              <w:top w:w="0" w:type="dxa"/>
              <w:left w:w="53" w:type="dxa"/>
              <w:bottom w:w="0" w:type="dxa"/>
              <w:right w:w="53" w:type="dxa"/>
            </w:tcMar>
            <w:vAlign w:val="bottom"/>
          </w:tcPr>
          <w:p>
            <w:pPr>
              <w:keepNext/>
              <w:pageBreakBefore w:val="0"/>
              <w:spacing w:before="23" w:after="30" w:line="288" w:lineRule="auto"/>
              <w:jc w:val="center"/>
            </w:pPr>
            <w:r>
              <w:rPr>
                <w:rFonts w:ascii="Arial" w:eastAsia="Arial" w:hAnsi="Arial" w:cs="Arial"/>
                <w:b/>
                <w:i w:val="0"/>
                <w:color w:val="000000"/>
                <w:sz w:val="14"/>
                <w:u w:val="none"/>
              </w:rPr>
              <w:t>NC</w:t>
            </w:r>
          </w:p>
        </w:tc>
        <w:tc>
          <w:tcPr>
            <w:tcW w:w="405" w:type="dxa"/>
            <w:tcBorders>
              <w:top w:val="single" w:sz="12" w:space="0" w:color="4494D1"/>
              <w:left w:val="nil"/>
              <w:bottom w:val="nil"/>
              <w:right w:val="nil"/>
            </w:tcBorders>
            <w:shd w:val="clear" w:color="auto" w:fill="FFFFFF"/>
            <w:tcMar>
              <w:top w:w="0" w:type="dxa"/>
              <w:left w:w="53" w:type="dxa"/>
              <w:bottom w:w="0" w:type="dxa"/>
              <w:right w:w="53" w:type="dxa"/>
            </w:tcMar>
            <w:vAlign w:val="bottom"/>
          </w:tcPr>
          <w:p>
            <w:pPr>
              <w:keepNext/>
              <w:pageBreakBefore w:val="0"/>
              <w:spacing w:before="23" w:after="30" w:line="288" w:lineRule="auto"/>
              <w:jc w:val="center"/>
            </w:pPr>
            <w:r>
              <w:rPr>
                <w:rFonts w:ascii="Arial" w:eastAsia="Arial" w:hAnsi="Arial" w:cs="Arial"/>
                <w:b/>
                <w:i w:val="0"/>
                <w:color w:val="000000"/>
                <w:sz w:val="14"/>
                <w:u w:val="none"/>
              </w:rPr>
              <w:t>RC</w:t>
            </w:r>
          </w:p>
        </w:tc>
        <w:tc>
          <w:tcPr>
            <w:tcW w:w="405" w:type="dxa"/>
            <w:tcBorders>
              <w:top w:val="single" w:sz="12" w:space="0" w:color="4494D1"/>
              <w:left w:val="nil"/>
              <w:bottom w:val="nil"/>
              <w:right w:val="nil"/>
            </w:tcBorders>
            <w:shd w:val="clear" w:color="auto" w:fill="FFFFFF"/>
            <w:tcMar>
              <w:top w:w="0" w:type="dxa"/>
              <w:left w:w="53" w:type="dxa"/>
              <w:bottom w:w="0" w:type="dxa"/>
              <w:right w:w="53" w:type="dxa"/>
            </w:tcMar>
            <w:vAlign w:val="bottom"/>
          </w:tcPr>
          <w:p>
            <w:pPr>
              <w:keepNext/>
              <w:pageBreakBefore w:val="0"/>
              <w:spacing w:before="23" w:after="30" w:line="288" w:lineRule="auto"/>
              <w:jc w:val="center"/>
            </w:pPr>
            <w:r>
              <w:rPr>
                <w:rFonts w:ascii="Arial" w:eastAsia="Arial" w:hAnsi="Arial" w:cs="Arial"/>
                <w:b/>
                <w:i w:val="0"/>
                <w:color w:val="000000"/>
                <w:sz w:val="14"/>
                <w:u w:val="none"/>
              </w:rPr>
              <w:t>IC</w:t>
            </w:r>
          </w:p>
        </w:tc>
        <w:tc>
          <w:tcPr>
            <w:tcW w:w="405" w:type="dxa"/>
            <w:tcBorders>
              <w:top w:val="single" w:sz="12" w:space="0" w:color="4494D1"/>
              <w:left w:val="nil"/>
              <w:bottom w:val="nil"/>
              <w:right w:val="nil"/>
            </w:tcBorders>
            <w:shd w:val="clear" w:color="auto" w:fill="FFFFFF"/>
            <w:tcMar>
              <w:top w:w="0" w:type="dxa"/>
              <w:left w:w="53" w:type="dxa"/>
              <w:bottom w:w="0" w:type="dxa"/>
              <w:right w:w="53" w:type="dxa"/>
            </w:tcMar>
            <w:vAlign w:val="bottom"/>
          </w:tcPr>
          <w:p>
            <w:pPr>
              <w:keepNext/>
              <w:pageBreakBefore w:val="0"/>
              <w:spacing w:before="23" w:after="30" w:line="288" w:lineRule="auto"/>
              <w:jc w:val="center"/>
            </w:pPr>
            <w:r>
              <w:rPr>
                <w:rFonts w:ascii="Arial" w:eastAsia="Arial" w:hAnsi="Arial" w:cs="Arial"/>
                <w:b/>
                <w:i w:val="0"/>
                <w:color w:val="000000"/>
                <w:sz w:val="14"/>
                <w:u w:val="none"/>
              </w:rPr>
              <w:t>EC</w:t>
            </w:r>
          </w:p>
        </w:tc>
      </w:tr>
      <w:tr>
        <w:tblPrEx>
          <w:tblW w:w="10260" w:type="dxa"/>
          <w:tblInd w:w="0" w:type="dxa"/>
          <w:tblLayout w:type="fixed"/>
          <w:tblCellMar>
            <w:left w:w="108" w:type="dxa"/>
            <w:right w:w="108" w:type="dxa"/>
          </w:tblCellMar>
        </w:tblPrEx>
        <w:trPr>
          <w:cantSplit/>
          <w:trHeight w:hRule="exact" w:val="60"/>
        </w:trPr>
        <w:tc>
          <w:tcPr>
            <w:tcW w:w="2115" w:type="dxa"/>
            <w:tcBorders>
              <w:top w:val="nil"/>
              <w:left w:val="nil"/>
              <w:bottom w:val="single" w:sz="12" w:space="0" w:color="4494D1"/>
              <w:right w:val="nil"/>
            </w:tcBorders>
            <w:shd w:val="clear" w:color="auto" w:fill="FFFFFF"/>
            <w:tcMar>
              <w:top w:w="0" w:type="dxa"/>
              <w:left w:w="0" w:type="dxa"/>
              <w:bottom w:w="0" w:type="dxa"/>
              <w:right w:w="0" w:type="dxa"/>
            </w:tcMar>
            <w:vAlign w:val="bottom"/>
          </w:tcPr>
          <w:p>
            <w:pPr>
              <w:keepNext/>
              <w:pageBreakBefore w:val="0"/>
              <w:spacing w:before="0" w:after="0"/>
            </w:pPr>
          </w:p>
        </w:tc>
        <w:tc>
          <w:tcPr>
            <w:tcW w:w="2955" w:type="dxa"/>
            <w:tcBorders>
              <w:top w:val="nil"/>
              <w:left w:val="nil"/>
              <w:bottom w:val="single" w:sz="12" w:space="0" w:color="4494D1"/>
              <w:right w:val="nil"/>
            </w:tcBorders>
            <w:shd w:val="clear" w:color="auto" w:fill="FFFFFF"/>
            <w:tcMar>
              <w:top w:w="0" w:type="dxa"/>
              <w:left w:w="0" w:type="dxa"/>
              <w:bottom w:w="0" w:type="dxa"/>
              <w:right w:w="0" w:type="dxa"/>
            </w:tcMar>
            <w:vAlign w:val="bottom"/>
          </w:tcPr>
          <w:p>
            <w:pPr>
              <w:keepNext/>
              <w:pageBreakBefore w:val="0"/>
              <w:spacing w:before="0" w:after="0"/>
            </w:pPr>
          </w:p>
        </w:tc>
        <w:tc>
          <w:tcPr>
            <w:tcW w:w="645" w:type="dxa"/>
            <w:tcBorders>
              <w:top w:val="nil"/>
              <w:left w:val="nil"/>
              <w:bottom w:val="single" w:sz="12" w:space="0" w:color="4494D1"/>
              <w:right w:val="nil"/>
            </w:tcBorders>
            <w:shd w:val="clear" w:color="auto" w:fill="FFFFFF"/>
            <w:tcMar>
              <w:top w:w="0" w:type="dxa"/>
              <w:left w:w="0" w:type="dxa"/>
              <w:bottom w:w="0" w:type="dxa"/>
              <w:right w:w="0" w:type="dxa"/>
            </w:tcMar>
            <w:vAlign w:val="bottom"/>
          </w:tcPr>
          <w:p>
            <w:pPr>
              <w:keepNext/>
              <w:pageBreakBefore w:val="0"/>
              <w:spacing w:before="0" w:after="0"/>
            </w:pPr>
          </w:p>
        </w:tc>
        <w:tc>
          <w:tcPr>
            <w:tcW w:w="585" w:type="dxa"/>
            <w:tcBorders>
              <w:top w:val="nil"/>
              <w:left w:val="nil"/>
              <w:bottom w:val="single" w:sz="12" w:space="0" w:color="4494D1"/>
              <w:right w:val="nil"/>
            </w:tcBorders>
            <w:shd w:val="clear" w:color="auto" w:fill="FFFFFF"/>
            <w:tcMar>
              <w:top w:w="0" w:type="dxa"/>
              <w:left w:w="0" w:type="dxa"/>
              <w:bottom w:w="0" w:type="dxa"/>
              <w:right w:w="0" w:type="dxa"/>
            </w:tcMar>
            <w:vAlign w:val="bottom"/>
          </w:tcPr>
          <w:p>
            <w:pPr>
              <w:keepNext/>
              <w:pageBreakBefore w:val="0"/>
              <w:spacing w:before="0" w:after="0"/>
            </w:pPr>
          </w:p>
        </w:tc>
        <w:tc>
          <w:tcPr>
            <w:tcW w:w="585" w:type="dxa"/>
            <w:tcBorders>
              <w:top w:val="nil"/>
              <w:left w:val="nil"/>
              <w:bottom w:val="single" w:sz="12" w:space="0" w:color="4494D1"/>
              <w:right w:val="nil"/>
            </w:tcBorders>
            <w:shd w:val="clear" w:color="auto" w:fill="FFFFFF"/>
            <w:tcMar>
              <w:top w:w="0" w:type="dxa"/>
              <w:left w:w="0" w:type="dxa"/>
              <w:bottom w:w="0" w:type="dxa"/>
              <w:right w:w="0" w:type="dxa"/>
            </w:tcMar>
            <w:vAlign w:val="bottom"/>
          </w:tcPr>
          <w:p>
            <w:pPr>
              <w:keepNext/>
              <w:pageBreakBefore w:val="0"/>
              <w:spacing w:before="0" w:after="0"/>
            </w:pPr>
          </w:p>
        </w:tc>
        <w:tc>
          <w:tcPr>
            <w:tcW w:w="945" w:type="dxa"/>
            <w:tcBorders>
              <w:top w:val="nil"/>
              <w:left w:val="nil"/>
              <w:bottom w:val="single" w:sz="12" w:space="0" w:color="4494D1"/>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nil"/>
              <w:left w:val="nil"/>
              <w:bottom w:val="single" w:sz="12" w:space="0" w:color="4494D1"/>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nil"/>
              <w:left w:val="nil"/>
              <w:bottom w:val="single" w:sz="12" w:space="0" w:color="4494D1"/>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nil"/>
              <w:left w:val="nil"/>
              <w:bottom w:val="single" w:sz="12" w:space="0" w:color="4494D1"/>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nil"/>
              <w:left w:val="nil"/>
              <w:bottom w:val="single" w:sz="12" w:space="0" w:color="4494D1"/>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nil"/>
              <w:left w:val="nil"/>
              <w:bottom w:val="single" w:sz="12" w:space="0" w:color="4494D1"/>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nil"/>
              <w:left w:val="nil"/>
              <w:bottom w:val="single" w:sz="12" w:space="0" w:color="4494D1"/>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525"/>
        </w:trPr>
        <w:tc>
          <w:tcPr>
            <w:tcW w:w="10260" w:type="dxa"/>
            <w:gridSpan w:val="12"/>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i w:val="0"/>
                <w:color w:val="4494D1"/>
                <w:sz w:val="16"/>
                <w:u w:val="none"/>
              </w:rPr>
              <w:t>Non-Management Directors</w:t>
            </w:r>
          </w:p>
        </w:tc>
      </w:tr>
      <w:tr>
        <w:tblPrEx>
          <w:tblW w:w="10260" w:type="dxa"/>
          <w:tblInd w:w="0" w:type="dxa"/>
          <w:tblLayout w:type="fixed"/>
          <w:tblCellMar>
            <w:left w:w="108" w:type="dxa"/>
            <w:right w:w="108" w:type="dxa"/>
          </w:tblCellMar>
        </w:tblPrEx>
        <w:trPr>
          <w:cantSplit/>
          <w:trHeight w:hRule="exact" w:val="525"/>
        </w:trPr>
        <w:tc>
          <w:tcPr>
            <w:tcW w:w="211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16"/>
                <w:u w:val="none"/>
              </w:rPr>
              <w:t>B. Frederick Becker</w:t>
            </w:r>
          </w:p>
        </w:tc>
        <w:tc>
          <w:tcPr>
            <w:tcW w:w="295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6"/>
                <w:u w:val="none"/>
              </w:rPr>
              <w:t>Co-founder and Former Chair, Clarity Group, Inc.</w:t>
            </w:r>
          </w:p>
        </w:tc>
        <w:tc>
          <w:tcPr>
            <w:tcW w:w="64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2015</w:t>
            </w:r>
          </w:p>
        </w:tc>
        <w:tc>
          <w:tcPr>
            <w:tcW w:w="58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77</w:t>
            </w:r>
          </w:p>
        </w:tc>
        <w:tc>
          <w:tcPr>
            <w:tcW w:w="58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0</w:t>
            </w:r>
          </w:p>
        </w:tc>
        <w:tc>
          <w:tcPr>
            <w:tcW w:w="94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Yes</w:t>
            </w: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2"/>
                <w:u w:val="none"/>
              </w:rPr>
            </w:pPr>
            <w:r>
              <w:pict>
                <v:shape id="_x0000_i1039" type="#_x0000_t75" style="width:6.75pt;height:6.75pt">
                  <v:imagedata r:id="rId32" o:title=""/>
                  <o:lock v:ext="edit" aspectratio="t"/>
                </v:shape>
              </w:pict>
            </w:r>
            <w:r>
              <w:rPr>
                <w:rFonts w:ascii="Arial" w:eastAsia="Arial" w:hAnsi="Arial" w:cs="Arial"/>
                <w:b w:val="0"/>
                <w:i w:val="0"/>
                <w:color w:val="4495D1"/>
                <w:sz w:val="4"/>
                <w:u w:val="none"/>
              </w:rPr>
              <w:t xml:space="preserve"> </w:t>
            </w:r>
            <w:r>
              <w:rPr>
                <w:rFonts w:ascii="Arial" w:eastAsia="Arial" w:hAnsi="Arial" w:cs="Arial"/>
                <w:b/>
                <w:i w:val="0"/>
                <w:color w:val="4494D1"/>
                <w:sz w:val="14"/>
                <w:u w:val="none"/>
              </w:rPr>
              <w:t>E</w:t>
            </w: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center"/>
            </w:pPr>
            <w:r>
              <w:rPr>
                <w:rFonts w:ascii="Arial" w:eastAsia="Arial" w:hAnsi="Arial" w:cs="Arial"/>
                <w:b/>
                <w:i w:val="0"/>
                <w:color w:val="002060"/>
                <w:sz w:val="18"/>
                <w:u w:val="none"/>
              </w:rPr>
              <w:t>C</w:t>
            </w: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center"/>
            </w:pPr>
            <w:r>
              <w:rPr>
                <w:rFonts w:ascii="Arial" w:eastAsia="Arial" w:hAnsi="Arial" w:cs="Arial"/>
                <w:b/>
                <w:i w:val="0"/>
                <w:color w:val="002060"/>
                <w:sz w:val="18"/>
                <w:u w:val="none"/>
              </w:rPr>
              <w:t>C</w:t>
            </w: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sz w:val="18"/>
              </w:rPr>
            </w:pP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525"/>
        </w:trPr>
        <w:tc>
          <w:tcPr>
            <w:tcW w:w="211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16"/>
                <w:u w:val="none"/>
              </w:rPr>
              <w:t>Sharon A. Beesley</w:t>
            </w:r>
          </w:p>
        </w:tc>
        <w:tc>
          <w:tcPr>
            <w:tcW w:w="295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52" w:lineRule="auto"/>
              <w:jc w:val="left"/>
            </w:pPr>
            <w:r>
              <w:rPr>
                <w:rFonts w:ascii="Arial" w:eastAsia="Arial" w:hAnsi="Arial" w:cs="Arial"/>
                <w:b w:val="0"/>
                <w:i w:val="0"/>
                <w:color w:val="000000"/>
                <w:sz w:val="16"/>
                <w:u w:val="none"/>
              </w:rPr>
              <w:t>Managing Partner, BeesMont Law Limited, and CEO, BeesMont Consultancy Limited</w:t>
            </w:r>
          </w:p>
        </w:tc>
        <w:tc>
          <w:tcPr>
            <w:tcW w:w="64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2021</w:t>
            </w:r>
          </w:p>
        </w:tc>
        <w:tc>
          <w:tcPr>
            <w:tcW w:w="58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67</w:t>
            </w:r>
          </w:p>
        </w:tc>
        <w:tc>
          <w:tcPr>
            <w:tcW w:w="58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0</w:t>
            </w:r>
          </w:p>
        </w:tc>
        <w:tc>
          <w:tcPr>
            <w:tcW w:w="94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Yes</w:t>
            </w: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40" type="#_x0000_t75" style="width:6.75pt;height:6.75pt;margin-top:0;margin-left:0;mso-position-horizontal:center;position:absolute;z-index:251666432">
                  <v:imagedata r:id="rId32" o:title=""/>
                  <o:lock v:ext="edit" aspectratio="t"/>
                  <w10:wrap type="square"/>
                </v:shape>
              </w:pict>
            </w: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525"/>
        </w:trPr>
        <w:tc>
          <w:tcPr>
            <w:tcW w:w="211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16"/>
                <w:u w:val="none"/>
              </w:rPr>
              <w:t>Robert J. Campbell (Chair)</w:t>
            </w:r>
          </w:p>
        </w:tc>
        <w:tc>
          <w:tcPr>
            <w:tcW w:w="295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6"/>
                <w:u w:val="none"/>
              </w:rPr>
              <w:t>Partner, Beck Mack &amp; Oliver</w:t>
            </w:r>
          </w:p>
        </w:tc>
        <w:tc>
          <w:tcPr>
            <w:tcW w:w="64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2007</w:t>
            </w:r>
          </w:p>
        </w:tc>
        <w:tc>
          <w:tcPr>
            <w:tcW w:w="58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75</w:t>
            </w:r>
          </w:p>
        </w:tc>
        <w:tc>
          <w:tcPr>
            <w:tcW w:w="58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sz w:val="16"/>
              </w:rPr>
              <w:t xml:space="preserve">   </w:t>
            </w:r>
            <w:r>
              <w:rPr>
                <w:rFonts w:ascii="Arial" w:eastAsia="Arial" w:hAnsi="Arial" w:cs="Arial"/>
                <w:b w:val="0"/>
                <w:i w:val="0"/>
                <w:color w:val="000000"/>
                <w:sz w:val="16"/>
                <w:u w:val="none"/>
              </w:rPr>
              <w:t>0</w:t>
            </w:r>
            <w:r>
              <w:rPr>
                <w:rFonts w:ascii="Arial" w:eastAsia="Arial" w:hAnsi="Arial" w:cs="Arial"/>
                <w:b w:val="0"/>
                <w:i w:val="0"/>
                <w:sz w:val="16"/>
                <w:vertAlign w:val="superscript"/>
              </w:rPr>
              <w:t>(</w:t>
            </w:r>
            <w:r>
              <w:rPr>
                <w:rFonts w:ascii="Arial" w:eastAsia="Arial" w:hAnsi="Arial" w:cs="Arial"/>
                <w:b w:val="0"/>
                <w:i w:val="0"/>
                <w:sz w:val="16"/>
                <w:vertAlign w:val="superscript"/>
              </w:rPr>
              <w:t>1)</w:t>
            </w:r>
          </w:p>
        </w:tc>
        <w:tc>
          <w:tcPr>
            <w:tcW w:w="94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Yes</w:t>
            </w: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center"/>
              <w:outlineLvl w:val="9"/>
              <w:rPr>
                <w:rFonts w:ascii="Arial" w:eastAsia="Arial" w:hAnsi="Arial" w:cs="Arial"/>
                <w:b/>
                <w:i w:val="0"/>
                <w:color w:val="4495D1"/>
                <w:sz w:val="20"/>
                <w:u w:val="none"/>
              </w:rPr>
            </w:pPr>
            <w:r>
              <w:rPr>
                <w:rFonts w:ascii="Arial" w:eastAsia="Arial" w:hAnsi="Arial" w:cs="Arial"/>
                <w:b/>
                <w:i w:val="0"/>
                <w:color w:val="002060"/>
                <w:sz w:val="18"/>
                <w:u w:val="none"/>
              </w:rPr>
              <w:t>C</w:t>
            </w:r>
            <w:r>
              <w:rPr>
                <w:rFonts w:ascii="Arial" w:eastAsia="Arial" w:hAnsi="Arial" w:cs="Arial"/>
                <w:b/>
                <w:i w:val="0"/>
                <w:color w:val="4495D1"/>
                <w:sz w:val="4"/>
                <w:u w:val="none"/>
              </w:rPr>
              <w:t xml:space="preserve"> </w:t>
            </w:r>
            <w:r>
              <w:rPr>
                <w:rFonts w:ascii="Arial" w:eastAsia="Arial" w:hAnsi="Arial" w:cs="Arial"/>
                <w:b/>
                <w:i w:val="0"/>
                <w:color w:val="4494D1"/>
                <w:sz w:val="14"/>
                <w:u w:val="none"/>
              </w:rPr>
              <w:t>E</w:t>
            </w: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41" type="#_x0000_t75" style="width:6.75pt;height:6.75pt;margin-top:0;margin-left:0;mso-position-horizontal:center;position:absolute;z-index:251667456">
                  <v:imagedata r:id="rId32" o:title=""/>
                  <o:lock v:ext="edit" aspectratio="t"/>
                  <w10:wrap type="square"/>
                </v:shape>
              </w:pict>
            </w: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42" type="#_x0000_t75" style="width:6.75pt;height:6.75pt;margin-top:0;margin-left:0;mso-position-horizontal:center;position:absolute;z-index:251668480">
                  <v:imagedata r:id="rId32" o:title=""/>
                  <o:lock v:ext="edit" aspectratio="t"/>
                  <w10:wrap type="square"/>
                </v:shape>
              </w:pict>
            </w: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center"/>
            </w:pPr>
            <w:r>
              <w:rPr>
                <w:rFonts w:ascii="Arial" w:eastAsia="Arial" w:hAnsi="Arial" w:cs="Arial"/>
                <w:b/>
                <w:i w:val="0"/>
                <w:color w:val="002060"/>
                <w:sz w:val="18"/>
                <w:u w:val="none"/>
              </w:rPr>
              <w:t>C</w:t>
            </w: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center"/>
            </w:pPr>
            <w:r>
              <w:rPr>
                <w:rFonts w:ascii="Arial" w:eastAsia="Arial" w:hAnsi="Arial" w:cs="Arial"/>
                <w:b/>
                <w:i w:val="0"/>
                <w:color w:val="002060"/>
                <w:sz w:val="18"/>
                <w:u w:val="none"/>
              </w:rPr>
              <w:t>C</w:t>
            </w:r>
          </w:p>
        </w:tc>
      </w:tr>
      <w:tr>
        <w:tblPrEx>
          <w:tblW w:w="10260" w:type="dxa"/>
          <w:tblInd w:w="0" w:type="dxa"/>
          <w:tblLayout w:type="fixed"/>
          <w:tblCellMar>
            <w:left w:w="108" w:type="dxa"/>
            <w:right w:w="108" w:type="dxa"/>
          </w:tblCellMar>
        </w:tblPrEx>
        <w:trPr>
          <w:cantSplit/>
          <w:trHeight w:hRule="exact" w:val="525"/>
        </w:trPr>
        <w:tc>
          <w:tcPr>
            <w:tcW w:w="211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16"/>
                <w:u w:val="none"/>
              </w:rPr>
              <w:t>James D. Carey</w:t>
            </w:r>
          </w:p>
        </w:tc>
        <w:tc>
          <w:tcPr>
            <w:tcW w:w="295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6"/>
                <w:u w:val="none"/>
              </w:rPr>
              <w:t>Co-CEO, Stone Point Capital</w:t>
            </w:r>
          </w:p>
        </w:tc>
        <w:tc>
          <w:tcPr>
            <w:tcW w:w="64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2013</w:t>
            </w:r>
          </w:p>
        </w:tc>
        <w:tc>
          <w:tcPr>
            <w:tcW w:w="58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57</w:t>
            </w:r>
          </w:p>
        </w:tc>
        <w:tc>
          <w:tcPr>
            <w:tcW w:w="58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sz w:val="16"/>
              </w:rPr>
              <w:t xml:space="preserve">   </w:t>
            </w:r>
            <w:r>
              <w:rPr>
                <w:rFonts w:ascii="Arial" w:eastAsia="Arial" w:hAnsi="Arial" w:cs="Arial"/>
                <w:b w:val="0"/>
                <w:i w:val="0"/>
                <w:color w:val="000000"/>
                <w:sz w:val="16"/>
                <w:u w:val="none"/>
              </w:rPr>
              <w:t>1</w:t>
            </w:r>
            <w:r>
              <w:rPr>
                <w:rFonts w:ascii="Arial" w:eastAsia="Arial" w:hAnsi="Arial" w:cs="Arial"/>
                <w:b w:val="0"/>
                <w:i w:val="0"/>
                <w:sz w:val="16"/>
                <w:vertAlign w:val="superscript"/>
              </w:rPr>
              <w:t>(</w:t>
            </w:r>
            <w:r>
              <w:rPr>
                <w:rFonts w:ascii="Arial" w:eastAsia="Arial" w:hAnsi="Arial" w:cs="Arial"/>
                <w:b w:val="0"/>
                <w:i w:val="0"/>
                <w:sz w:val="16"/>
                <w:vertAlign w:val="superscript"/>
              </w:rPr>
              <w:t>2)</w:t>
            </w:r>
          </w:p>
        </w:tc>
        <w:tc>
          <w:tcPr>
            <w:tcW w:w="94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No</w:t>
            </w: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43" type="#_x0000_t75" style="width:6.75pt;height:6.75pt;margin-top:0;margin-left:0;mso-position-horizontal:center;position:absolute;z-index:251669504">
                  <v:imagedata r:id="rId32" o:title=""/>
                  <o:lock v:ext="edit" aspectratio="t"/>
                  <w10:wrap type="square"/>
                </v:shape>
              </w:pict>
            </w: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525"/>
        </w:trPr>
        <w:tc>
          <w:tcPr>
            <w:tcW w:w="211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16"/>
                <w:u w:val="none"/>
              </w:rPr>
              <w:t>Susan L. Cross</w:t>
            </w:r>
          </w:p>
        </w:tc>
        <w:tc>
          <w:tcPr>
            <w:tcW w:w="295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52" w:lineRule="auto"/>
              <w:jc w:val="left"/>
            </w:pPr>
            <w:r>
              <w:rPr>
                <w:rFonts w:ascii="Arial" w:eastAsia="Arial" w:hAnsi="Arial" w:cs="Arial"/>
                <w:b w:val="0"/>
                <w:i w:val="0"/>
                <w:color w:val="000000"/>
                <w:sz w:val="16"/>
                <w:u w:val="none"/>
              </w:rPr>
              <w:t>Former EVP and Global Chief Actuary, XL Group (now AXA XL)</w:t>
            </w:r>
          </w:p>
        </w:tc>
        <w:tc>
          <w:tcPr>
            <w:tcW w:w="64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2020</w:t>
            </w:r>
          </w:p>
        </w:tc>
        <w:tc>
          <w:tcPr>
            <w:tcW w:w="58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64</w:t>
            </w:r>
          </w:p>
        </w:tc>
        <w:tc>
          <w:tcPr>
            <w:tcW w:w="58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1</w:t>
            </w:r>
          </w:p>
        </w:tc>
        <w:tc>
          <w:tcPr>
            <w:tcW w:w="94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Yes</w:t>
            </w: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2"/>
                <w:u w:val="none"/>
              </w:rPr>
            </w:pPr>
            <w:r>
              <w:pict>
                <v:shape id="_x0000_i1044" type="#_x0000_t75" style="width:6.75pt;height:6.75pt">
                  <v:imagedata r:id="rId32" o:title=""/>
                  <o:lock v:ext="edit" aspectratio="t"/>
                </v:shape>
              </w:pict>
            </w:r>
            <w:r>
              <w:rPr>
                <w:rFonts w:ascii="Arial" w:eastAsia="Arial" w:hAnsi="Arial" w:cs="Arial"/>
                <w:b w:val="0"/>
                <w:i w:val="0"/>
                <w:color w:val="4495D1"/>
                <w:sz w:val="4"/>
                <w:u w:val="none"/>
              </w:rPr>
              <w:t xml:space="preserve"> </w:t>
            </w:r>
            <w:r>
              <w:rPr>
                <w:rFonts w:ascii="Arial" w:eastAsia="Arial" w:hAnsi="Arial" w:cs="Arial"/>
                <w:b/>
                <w:i w:val="0"/>
                <w:color w:val="4494D1"/>
                <w:sz w:val="14"/>
                <w:u w:val="none"/>
              </w:rPr>
              <w:t>E</w:t>
            </w: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45" type="#_x0000_t75" style="width:6.75pt;height:6.75pt;margin-top:0;margin-left:0;mso-position-horizontal:center;position:absolute;z-index:251670528">
                  <v:imagedata r:id="rId32" o:title=""/>
                  <o:lock v:ext="edit" aspectratio="t"/>
                  <w10:wrap type="square"/>
                </v:shape>
              </w:pict>
            </w: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525"/>
        </w:trPr>
        <w:tc>
          <w:tcPr>
            <w:tcW w:w="211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16"/>
                <w:u w:val="none"/>
              </w:rPr>
              <w:t>Hans-Peter Gerhardt</w:t>
            </w:r>
          </w:p>
        </w:tc>
        <w:tc>
          <w:tcPr>
            <w:tcW w:w="295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52" w:lineRule="auto"/>
              <w:jc w:val="left"/>
            </w:pPr>
            <w:r>
              <w:rPr>
                <w:rFonts w:ascii="Arial" w:eastAsia="Arial" w:hAnsi="Arial" w:cs="Arial"/>
                <w:b w:val="0"/>
                <w:i w:val="0"/>
                <w:color w:val="000000"/>
                <w:sz w:val="16"/>
                <w:u w:val="none"/>
              </w:rPr>
              <w:t>Former CEO of Asia Capital Re, PARIS RE and AXA Re</w:t>
            </w:r>
          </w:p>
        </w:tc>
        <w:tc>
          <w:tcPr>
            <w:tcW w:w="64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2015</w:t>
            </w:r>
          </w:p>
        </w:tc>
        <w:tc>
          <w:tcPr>
            <w:tcW w:w="58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68</w:t>
            </w:r>
          </w:p>
        </w:tc>
        <w:tc>
          <w:tcPr>
            <w:tcW w:w="58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0</w:t>
            </w:r>
          </w:p>
        </w:tc>
        <w:tc>
          <w:tcPr>
            <w:tcW w:w="94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Yes</w:t>
            </w: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46" type="#_x0000_t75" style="width:6.75pt;height:6.75pt;margin-top:0;margin-left:0;mso-position-horizontal:center;position:absolute;z-index:251671552">
                  <v:imagedata r:id="rId32" o:title=""/>
                  <o:lock v:ext="edit" aspectratio="t"/>
                  <w10:wrap type="square"/>
                </v:shape>
              </w:pict>
            </w: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47" type="#_x0000_t75" style="width:6.75pt;height:6.75pt;margin-top:0;margin-left:0;mso-position-horizontal:center;position:absolute;z-index:251672576">
                  <v:imagedata r:id="rId32" o:title=""/>
                  <o:lock v:ext="edit" aspectratio="t"/>
                  <w10:wrap type="square"/>
                </v:shape>
              </w:pict>
            </w: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48" type="#_x0000_t75" style="width:6.75pt;height:6.75pt;margin-top:0;margin-left:0;mso-position-horizontal:center;position:absolute;z-index:251673600">
                  <v:imagedata r:id="rId32" o:title=""/>
                  <o:lock v:ext="edit" aspectratio="t"/>
                  <w10:wrap type="square"/>
                </v:shape>
              </w:pict>
            </w:r>
          </w:p>
        </w:tc>
      </w:tr>
      <w:tr>
        <w:tblPrEx>
          <w:tblW w:w="10260" w:type="dxa"/>
          <w:tblInd w:w="0" w:type="dxa"/>
          <w:tblLayout w:type="fixed"/>
          <w:tblCellMar>
            <w:left w:w="108" w:type="dxa"/>
            <w:right w:w="108" w:type="dxa"/>
          </w:tblCellMar>
        </w:tblPrEx>
        <w:trPr>
          <w:cantSplit/>
          <w:trHeight w:hRule="exact" w:val="525"/>
        </w:trPr>
        <w:tc>
          <w:tcPr>
            <w:tcW w:w="211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16"/>
                <w:u w:val="none"/>
              </w:rPr>
              <w:t>Myron Hendry</w:t>
            </w:r>
          </w:p>
        </w:tc>
        <w:tc>
          <w:tcPr>
            <w:tcW w:w="295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52" w:lineRule="auto"/>
              <w:jc w:val="left"/>
            </w:pPr>
            <w:r>
              <w:rPr>
                <w:rFonts w:ascii="Arial" w:eastAsia="Arial" w:hAnsi="Arial" w:cs="Arial"/>
                <w:b w:val="0"/>
                <w:i w:val="0"/>
                <w:color w:val="000000"/>
                <w:sz w:val="16"/>
                <w:u w:val="none"/>
              </w:rPr>
              <w:t>Former EVP and Chief Platform Officer, XL Group (now AXA XL)</w:t>
            </w:r>
          </w:p>
        </w:tc>
        <w:tc>
          <w:tcPr>
            <w:tcW w:w="64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2019</w:t>
            </w:r>
          </w:p>
        </w:tc>
        <w:tc>
          <w:tcPr>
            <w:tcW w:w="58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75</w:t>
            </w:r>
          </w:p>
        </w:tc>
        <w:tc>
          <w:tcPr>
            <w:tcW w:w="58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0</w:t>
            </w:r>
          </w:p>
        </w:tc>
        <w:tc>
          <w:tcPr>
            <w:tcW w:w="94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Yes</w:t>
            </w: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49" type="#_x0000_t75" style="width:6.75pt;height:6.75pt;margin-top:0;margin-left:0;mso-position-horizontal:center;position:absolute;z-index:251674624">
                  <v:imagedata r:id="rId32" o:title=""/>
                  <o:lock v:ext="edit" aspectratio="t"/>
                  <w10:wrap type="square"/>
                </v:shape>
              </w:pict>
            </w: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50" type="#_x0000_t75" style="width:6.75pt;height:6.75pt;margin-top:0;margin-left:0;mso-position-horizontal:center;position:absolute;z-index:251675648">
                  <v:imagedata r:id="rId32" o:title=""/>
                  <o:lock v:ext="edit" aspectratio="t"/>
                  <w10:wrap type="square"/>
                </v:shape>
              </w:pict>
            </w: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525"/>
        </w:trPr>
        <w:tc>
          <w:tcPr>
            <w:tcW w:w="211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16"/>
                <w:u w:val="none"/>
              </w:rPr>
              <w:t>Paul J. O’Shea</w:t>
            </w:r>
          </w:p>
        </w:tc>
        <w:tc>
          <w:tcPr>
            <w:tcW w:w="295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6"/>
                <w:u w:val="none"/>
              </w:rPr>
              <w:t>Former President, Enstar Group Limited</w:t>
            </w:r>
          </w:p>
        </w:tc>
        <w:tc>
          <w:tcPr>
            <w:tcW w:w="64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2001</w:t>
            </w:r>
          </w:p>
        </w:tc>
        <w:tc>
          <w:tcPr>
            <w:tcW w:w="58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66</w:t>
            </w:r>
          </w:p>
        </w:tc>
        <w:tc>
          <w:tcPr>
            <w:tcW w:w="58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0</w:t>
            </w:r>
          </w:p>
        </w:tc>
        <w:tc>
          <w:tcPr>
            <w:tcW w:w="94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No</w:t>
            </w: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51" type="#_x0000_t75" style="width:6.75pt;height:6.75pt;margin-top:0;margin-left:0;mso-position-horizontal:center;position:absolute;z-index:251676672">
                  <v:imagedata r:id="rId32" o:title=""/>
                  <o:lock v:ext="edit" aspectratio="t"/>
                  <w10:wrap type="square"/>
                </v:shape>
              </w:pict>
            </w:r>
          </w:p>
        </w:tc>
      </w:tr>
      <w:tr>
        <w:tblPrEx>
          <w:tblW w:w="10260" w:type="dxa"/>
          <w:tblInd w:w="0" w:type="dxa"/>
          <w:tblLayout w:type="fixed"/>
          <w:tblCellMar>
            <w:left w:w="108" w:type="dxa"/>
            <w:right w:w="108" w:type="dxa"/>
          </w:tblCellMar>
        </w:tblPrEx>
        <w:trPr>
          <w:cantSplit/>
          <w:trHeight w:hRule="exact" w:val="525"/>
        </w:trPr>
        <w:tc>
          <w:tcPr>
            <w:tcW w:w="211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16"/>
                <w:u w:val="none"/>
              </w:rPr>
              <w:t>Hitesh Patel</w:t>
            </w:r>
          </w:p>
        </w:tc>
        <w:tc>
          <w:tcPr>
            <w:tcW w:w="295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6"/>
                <w:u w:val="none"/>
              </w:rPr>
              <w:t>Non-Executive Director</w:t>
            </w:r>
          </w:p>
        </w:tc>
        <w:tc>
          <w:tcPr>
            <w:tcW w:w="64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2015</w:t>
            </w:r>
          </w:p>
        </w:tc>
        <w:tc>
          <w:tcPr>
            <w:tcW w:w="58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63</w:t>
            </w:r>
          </w:p>
        </w:tc>
        <w:tc>
          <w:tcPr>
            <w:tcW w:w="58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0</w:t>
            </w:r>
          </w:p>
        </w:tc>
        <w:tc>
          <w:tcPr>
            <w:tcW w:w="94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Yes</w:t>
            </w: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2"/>
                <w:u w:val="none"/>
              </w:rPr>
            </w:pPr>
            <w:r>
              <w:pict>
                <v:shape id="_x0000_i1052" type="#_x0000_t75" style="width:6.75pt;height:6.75pt">
                  <v:imagedata r:id="rId32" o:title=""/>
                  <o:lock v:ext="edit" aspectratio="t"/>
                </v:shape>
              </w:pict>
            </w:r>
            <w:r>
              <w:rPr>
                <w:rFonts w:ascii="Arial" w:eastAsia="Arial" w:hAnsi="Arial" w:cs="Arial"/>
                <w:b w:val="0"/>
                <w:i w:val="0"/>
                <w:color w:val="4495D1"/>
                <w:sz w:val="4"/>
                <w:u w:val="none"/>
              </w:rPr>
              <w:t xml:space="preserve"> </w:t>
            </w:r>
            <w:r>
              <w:rPr>
                <w:rFonts w:ascii="Arial" w:eastAsia="Arial" w:hAnsi="Arial" w:cs="Arial"/>
                <w:b/>
                <w:i w:val="0"/>
                <w:color w:val="4494D1"/>
                <w:sz w:val="14"/>
                <w:u w:val="none"/>
              </w:rPr>
              <w:t>E</w:t>
            </w: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53" type="#_x0000_t75" style="width:6.75pt;height:6.75pt;margin-top:0;margin-left:0;mso-position-horizontal:center;position:absolute;z-index:251677696">
                  <v:imagedata r:id="rId32" o:title=""/>
                  <o:lock v:ext="edit" aspectratio="t"/>
                  <w10:wrap type="square"/>
                </v:shape>
              </w:pict>
            </w: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center"/>
            </w:pPr>
            <w:r>
              <w:rPr>
                <w:rFonts w:ascii="Arial" w:eastAsia="Arial" w:hAnsi="Arial" w:cs="Arial"/>
                <w:b/>
                <w:i w:val="0"/>
                <w:color w:val="002060"/>
                <w:sz w:val="18"/>
                <w:u w:val="none"/>
              </w:rPr>
              <w:t>C</w:t>
            </w: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525"/>
        </w:trPr>
        <w:tc>
          <w:tcPr>
            <w:tcW w:w="211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16"/>
                <w:u w:val="none"/>
              </w:rPr>
              <w:t>Poul A. Winslow</w:t>
            </w:r>
          </w:p>
        </w:tc>
        <w:tc>
          <w:tcPr>
            <w:tcW w:w="295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52" w:lineRule="auto"/>
              <w:jc w:val="left"/>
            </w:pPr>
            <w:r>
              <w:rPr>
                <w:rFonts w:ascii="Arial" w:eastAsia="Arial" w:hAnsi="Arial" w:cs="Arial"/>
                <w:b w:val="0"/>
                <w:i w:val="0"/>
                <w:color w:val="000000"/>
                <w:sz w:val="16"/>
                <w:u w:val="none"/>
              </w:rPr>
              <w:t>Former Senior Managing Director, Canada Pension Plan Investment Board</w:t>
            </w:r>
          </w:p>
        </w:tc>
        <w:tc>
          <w:tcPr>
            <w:tcW w:w="64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2015</w:t>
            </w:r>
          </w:p>
        </w:tc>
        <w:tc>
          <w:tcPr>
            <w:tcW w:w="58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58</w:t>
            </w:r>
          </w:p>
        </w:tc>
        <w:tc>
          <w:tcPr>
            <w:tcW w:w="58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0</w:t>
            </w:r>
          </w:p>
        </w:tc>
        <w:tc>
          <w:tcPr>
            <w:tcW w:w="94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Yes</w:t>
            </w: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54" type="#_x0000_t75" style="width:6.75pt;height:6.75pt;margin-top:0;margin-left:0;mso-position-horizontal:center;position:absolute;z-index:251678720">
                  <v:imagedata r:id="rId32" o:title=""/>
                  <o:lock v:ext="edit" aspectratio="t"/>
                  <w10:wrap type="square"/>
                </v:shape>
              </w:pict>
            </w: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55" type="#_x0000_t75" style="width:6.75pt;height:6.75pt;margin-top:0;margin-left:0;mso-position-horizontal:center;position:absolute;z-index:251679744">
                  <v:imagedata r:id="rId32" o:title=""/>
                  <o:lock v:ext="edit" aspectratio="t"/>
                  <w10:wrap type="square"/>
                </v:shape>
              </w:pict>
            </w:r>
          </w:p>
        </w:tc>
        <w:tc>
          <w:tcPr>
            <w:tcW w:w="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56" type="#_x0000_t75" style="width:6.75pt;height:6.75pt;margin-top:0;margin-left:0;mso-position-horizontal:center;position:absolute;z-index:251680768">
                  <v:imagedata r:id="rId32" o:title=""/>
                  <o:lock v:ext="edit" aspectratio="t"/>
                  <w10:wrap type="square"/>
                </v:shape>
              </w:pict>
            </w:r>
          </w:p>
        </w:tc>
      </w:tr>
      <w:tr>
        <w:tblPrEx>
          <w:tblW w:w="10260" w:type="dxa"/>
          <w:tblInd w:w="0" w:type="dxa"/>
          <w:tblLayout w:type="fixed"/>
          <w:tblCellMar>
            <w:left w:w="108" w:type="dxa"/>
            <w:right w:w="108" w:type="dxa"/>
          </w:tblCellMar>
        </w:tblPrEx>
        <w:trPr>
          <w:cantSplit/>
          <w:trHeight w:hRule="exact" w:val="525"/>
        </w:trPr>
        <w:tc>
          <w:tcPr>
            <w:tcW w:w="10260" w:type="dxa"/>
            <w:gridSpan w:val="12"/>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i w:val="0"/>
                <w:color w:val="4494D1"/>
                <w:sz w:val="16"/>
                <w:u w:val="none"/>
              </w:rPr>
              <w:t>Management Directors</w:t>
            </w:r>
          </w:p>
        </w:tc>
      </w:tr>
      <w:tr>
        <w:tblPrEx>
          <w:tblW w:w="10260" w:type="dxa"/>
          <w:tblInd w:w="0" w:type="dxa"/>
          <w:tblLayout w:type="fixed"/>
          <w:tblCellMar>
            <w:left w:w="108" w:type="dxa"/>
            <w:right w:w="108" w:type="dxa"/>
          </w:tblCellMar>
        </w:tblPrEx>
        <w:trPr>
          <w:cantSplit/>
          <w:trHeight w:hRule="exact" w:val="525"/>
        </w:trPr>
        <w:tc>
          <w:tcPr>
            <w:tcW w:w="211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16"/>
                <w:u w:val="none"/>
              </w:rPr>
              <w:t>Orla Gregory</w:t>
            </w:r>
          </w:p>
        </w:tc>
        <w:tc>
          <w:tcPr>
            <w:tcW w:w="295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52" w:lineRule="auto"/>
              <w:jc w:val="left"/>
            </w:pPr>
            <w:r>
              <w:rPr>
                <w:rFonts w:ascii="Arial" w:eastAsia="Arial" w:hAnsi="Arial" w:cs="Arial"/>
                <w:b w:val="0"/>
                <w:i w:val="0"/>
                <w:color w:val="000000"/>
                <w:sz w:val="16"/>
                <w:u w:val="none"/>
              </w:rPr>
              <w:t>President, Enstar Group Limited</w:t>
            </w:r>
          </w:p>
        </w:tc>
        <w:tc>
          <w:tcPr>
            <w:tcW w:w="64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2022</w:t>
            </w:r>
          </w:p>
        </w:tc>
        <w:tc>
          <w:tcPr>
            <w:tcW w:w="58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50</w:t>
            </w:r>
          </w:p>
        </w:tc>
        <w:tc>
          <w:tcPr>
            <w:tcW w:w="58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0</w:t>
            </w:r>
          </w:p>
        </w:tc>
        <w:tc>
          <w:tcPr>
            <w:tcW w:w="94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No</w:t>
            </w: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8" w:space="0" w:color="DBDBDB"/>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525"/>
        </w:trPr>
        <w:tc>
          <w:tcPr>
            <w:tcW w:w="2115" w:type="dxa"/>
            <w:tcBorders>
              <w:top w:val="single" w:sz="8" w:space="0" w:color="DBDBDB"/>
              <w:left w:val="nil"/>
              <w:bottom w:val="single" w:sz="12" w:space="0" w:color="4494D1"/>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16"/>
                <w:u w:val="none"/>
              </w:rPr>
              <w:t>Dominic Silvester</w:t>
            </w:r>
          </w:p>
        </w:tc>
        <w:tc>
          <w:tcPr>
            <w:tcW w:w="2955" w:type="dxa"/>
            <w:tcBorders>
              <w:top w:val="single" w:sz="8" w:space="0" w:color="DBDBDB"/>
              <w:left w:val="nil"/>
              <w:bottom w:val="single" w:sz="12" w:space="0" w:color="4494D1"/>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6"/>
                <w:u w:val="none"/>
              </w:rPr>
              <w:t>CEO, Enstar Group Limited</w:t>
            </w:r>
          </w:p>
        </w:tc>
        <w:tc>
          <w:tcPr>
            <w:tcW w:w="645" w:type="dxa"/>
            <w:tcBorders>
              <w:top w:val="single" w:sz="8" w:space="0" w:color="DBDBDB"/>
              <w:left w:val="nil"/>
              <w:bottom w:val="single" w:sz="12" w:space="0" w:color="4494D1"/>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2001</w:t>
            </w:r>
          </w:p>
        </w:tc>
        <w:tc>
          <w:tcPr>
            <w:tcW w:w="585" w:type="dxa"/>
            <w:tcBorders>
              <w:top w:val="single" w:sz="8" w:space="0" w:color="DBDBDB"/>
              <w:left w:val="nil"/>
              <w:bottom w:val="single" w:sz="12" w:space="0" w:color="4494D1"/>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16"/>
              </w:rPr>
            </w:pPr>
            <w:r>
              <w:rPr>
                <w:rFonts w:ascii="Arial" w:eastAsia="Arial" w:hAnsi="Arial" w:cs="Arial"/>
                <w:b w:val="0"/>
                <w:i w:val="0"/>
                <w:color w:val="000000"/>
                <w:sz w:val="16"/>
                <w:u w:val="none"/>
              </w:rPr>
              <w:t>63</w:t>
            </w:r>
          </w:p>
        </w:tc>
        <w:tc>
          <w:tcPr>
            <w:tcW w:w="585" w:type="dxa"/>
            <w:tcBorders>
              <w:top w:val="single" w:sz="8" w:space="0" w:color="DBDBDB"/>
              <w:left w:val="nil"/>
              <w:bottom w:val="single" w:sz="12" w:space="0" w:color="4494D1"/>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0</w:t>
            </w:r>
          </w:p>
        </w:tc>
        <w:tc>
          <w:tcPr>
            <w:tcW w:w="945" w:type="dxa"/>
            <w:tcBorders>
              <w:top w:val="single" w:sz="8" w:space="0" w:color="DBDBDB"/>
              <w:left w:val="nil"/>
              <w:bottom w:val="single" w:sz="12" w:space="0" w:color="4494D1"/>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No</w:t>
            </w:r>
          </w:p>
        </w:tc>
        <w:tc>
          <w:tcPr>
            <w:tcW w:w="405" w:type="dxa"/>
            <w:tcBorders>
              <w:top w:val="single" w:sz="8" w:space="0" w:color="DBDBDB"/>
              <w:left w:val="nil"/>
              <w:bottom w:val="single" w:sz="12" w:space="0" w:color="4494D1"/>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12" w:space="0" w:color="4494D1"/>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12" w:space="0" w:color="4494D1"/>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12" w:space="0" w:color="4494D1"/>
              <w:right w:val="nil"/>
            </w:tcBorders>
            <w:shd w:val="clear" w:color="auto" w:fill="FFFFFF"/>
            <w:tcMar>
              <w:top w:w="0" w:type="dxa"/>
              <w:left w:w="0" w:type="dxa"/>
              <w:bottom w:w="0" w:type="dxa"/>
              <w:right w:w="0" w:type="dxa"/>
            </w:tcMar>
            <w:vAlign w:val="bottom"/>
          </w:tcPr>
          <w:p>
            <w:pPr>
              <w:keepNext/>
              <w:pageBreakBefore w:val="0"/>
              <w:spacing w:before="0" w:after="0"/>
            </w:pPr>
          </w:p>
        </w:tc>
        <w:tc>
          <w:tcPr>
            <w:tcW w:w="405" w:type="dxa"/>
            <w:tcBorders>
              <w:top w:val="single" w:sz="8" w:space="0" w:color="DBDBDB"/>
              <w:left w:val="nil"/>
              <w:bottom w:val="single" w:sz="12" w:space="0" w:color="4494D1"/>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57" type="#_x0000_t75" style="width:6.75pt;height:6.75pt;margin-top:0;margin-left:0;mso-position-horizontal:center;position:absolute;z-index:251681792">
                  <v:imagedata r:id="rId32" o:title=""/>
                  <o:lock v:ext="edit" aspectratio="t"/>
                  <w10:wrap type="square"/>
                </v:shape>
              </w:pict>
            </w:r>
          </w:p>
        </w:tc>
        <w:tc>
          <w:tcPr>
            <w:tcW w:w="405" w:type="dxa"/>
            <w:tcBorders>
              <w:top w:val="single" w:sz="8" w:space="0" w:color="DBDBDB"/>
              <w:left w:val="nil"/>
              <w:bottom w:val="single" w:sz="12" w:space="0" w:color="4494D1"/>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58" type="#_x0000_t75" style="width:6.75pt;height:6.75pt;margin-top:0;margin-left:0;mso-position-horizontal:center;position:absolute;z-index:251682816">
                  <v:imagedata r:id="rId32" o:title=""/>
                  <o:lock v:ext="edit" aspectratio="t"/>
                  <w10:wrap type="square"/>
                </v:shape>
              </w:pict>
            </w:r>
          </w:p>
        </w:tc>
      </w:tr>
      <w:tr>
        <w:tblPrEx>
          <w:tblW w:w="10260" w:type="dxa"/>
          <w:tblInd w:w="0" w:type="dxa"/>
          <w:tblLayout w:type="fixed"/>
          <w:tblCellMar>
            <w:left w:w="108" w:type="dxa"/>
            <w:right w:w="108" w:type="dxa"/>
          </w:tblCellMar>
        </w:tblPrEx>
        <w:trPr>
          <w:cantSplit/>
          <w:trHeight w:hRule="exact" w:val="1440"/>
        </w:trPr>
        <w:tc>
          <w:tcPr>
            <w:tcW w:w="10260" w:type="dxa"/>
            <w:gridSpan w:val="12"/>
            <w:tcBorders>
              <w:top w:val="nil"/>
              <w:left w:val="nil"/>
              <w:bottom w:val="nil"/>
              <w:right w:val="nil"/>
            </w:tcBorders>
            <w:shd w:val="clear" w:color="auto" w:fill="FFFFFF"/>
            <w:tcMar>
              <w:top w:w="0" w:type="dxa"/>
              <w:left w:w="53" w:type="dxa"/>
              <w:bottom w:w="0" w:type="dxa"/>
              <w:right w:w="53" w:type="dxa"/>
            </w:tcMar>
            <w:vAlign w:val="top"/>
          </w:tcPr>
          <w:p>
            <w:pPr>
              <w:pageBreakBefore w:val="0"/>
              <w:numPr>
                <w:ilvl w:val="0"/>
                <w:numId w:val="0"/>
              </w:numPr>
              <w:spacing w:before="23" w:after="0" w:line="240" w:lineRule="auto"/>
              <w:ind w:left="0" w:right="0" w:firstLine="0"/>
              <w:jc w:val="left"/>
              <w:outlineLvl w:val="9"/>
              <w:rPr>
                <w:rFonts w:ascii="Arial" w:eastAsia="Arial" w:hAnsi="Arial" w:cs="Arial"/>
                <w:b w:val="0"/>
                <w:i w:val="0"/>
                <w:sz w:val="10"/>
              </w:rPr>
            </w:pPr>
          </w:p>
          <w:p>
            <w:pPr>
              <w:pageBreakBefore w:val="0"/>
              <w:numPr>
                <w:ilvl w:val="0"/>
                <w:numId w:val="0"/>
              </w:numPr>
              <w:spacing w:before="0" w:after="0" w:line="240" w:lineRule="auto"/>
              <w:ind w:left="0" w:right="0" w:firstLine="0"/>
              <w:jc w:val="left"/>
              <w:outlineLvl w:val="9"/>
              <w:rPr>
                <w:rFonts w:ascii="Arial" w:eastAsia="Arial" w:hAnsi="Arial" w:cs="Arial"/>
                <w:b/>
                <w:i w:val="0"/>
                <w:color w:val="929292"/>
                <w:sz w:val="14"/>
                <w:u w:val="none"/>
              </w:rPr>
            </w:pPr>
            <w:r>
              <w:rPr>
                <w:rFonts w:ascii="Arial" w:eastAsia="Arial" w:hAnsi="Arial" w:cs="Arial"/>
                <w:b/>
                <w:i w:val="0"/>
                <w:color w:val="002060"/>
                <w:sz w:val="14"/>
                <w:u w:val="none"/>
              </w:rPr>
              <w:t>C</w:t>
            </w:r>
            <w:r>
              <w:rPr>
                <w:rFonts w:ascii="Arial" w:eastAsia="Arial" w:hAnsi="Arial" w:cs="Arial"/>
                <w:b w:val="0"/>
                <w:i w:val="0"/>
                <w:color w:val="929292"/>
                <w:sz w:val="14"/>
                <w:u w:val="none"/>
              </w:rPr>
              <w:t xml:space="preserve"> = Committee Chair                                                 </w:t>
            </w:r>
            <w:r>
              <w:rPr>
                <w:rFonts w:ascii="Arial" w:eastAsia="Arial" w:hAnsi="Arial" w:cs="Arial"/>
                <w:b/>
                <w:i w:val="0"/>
                <w:color w:val="4494D1"/>
                <w:sz w:val="14"/>
                <w:u w:val="none"/>
              </w:rPr>
              <w:t>AC</w:t>
            </w:r>
            <w:r>
              <w:rPr>
                <w:rFonts w:ascii="Arial" w:eastAsia="Arial" w:hAnsi="Arial" w:cs="Arial"/>
                <w:b w:val="0"/>
                <w:i w:val="0"/>
                <w:sz w:val="14"/>
              </w:rPr>
              <w:t xml:space="preserve"> </w:t>
            </w:r>
            <w:r>
              <w:rPr>
                <w:rFonts w:ascii="Arial" w:eastAsia="Arial" w:hAnsi="Arial" w:cs="Arial"/>
                <w:b w:val="0"/>
                <w:i w:val="0"/>
                <w:color w:val="929292"/>
                <w:sz w:val="14"/>
                <w:u w:val="none"/>
              </w:rPr>
              <w:t xml:space="preserve">= Audit Committee                                                                      </w:t>
            </w:r>
            <w:r>
              <w:rPr>
                <w:rFonts w:ascii="Arial" w:eastAsia="Arial" w:hAnsi="Arial" w:cs="Arial"/>
                <w:b/>
                <w:i w:val="0"/>
                <w:color w:val="4494D1"/>
                <w:sz w:val="14"/>
                <w:u w:val="none"/>
              </w:rPr>
              <w:t>RC</w:t>
            </w:r>
            <w:r>
              <w:rPr>
                <w:rFonts w:ascii="Arial" w:eastAsia="Arial" w:hAnsi="Arial" w:cs="Arial"/>
                <w:b w:val="0"/>
                <w:i w:val="0"/>
                <w:sz w:val="14"/>
              </w:rPr>
              <w:t xml:space="preserve"> </w:t>
            </w:r>
            <w:r>
              <w:rPr>
                <w:rFonts w:ascii="Arial" w:eastAsia="Arial" w:hAnsi="Arial" w:cs="Arial"/>
                <w:b w:val="0"/>
                <w:i w:val="0"/>
                <w:color w:val="929292"/>
                <w:sz w:val="14"/>
                <w:u w:val="none"/>
              </w:rPr>
              <w:t xml:space="preserve">= Risk Committee </w:t>
            </w:r>
          </w:p>
          <w:p>
            <w:pPr>
              <w:pageBreakBefore w:val="0"/>
              <w:numPr>
                <w:ilvl w:val="0"/>
                <w:numId w:val="0"/>
              </w:numPr>
              <w:spacing w:before="0" w:after="0" w:line="240" w:lineRule="auto"/>
              <w:ind w:left="0" w:right="0" w:firstLine="0"/>
              <w:jc w:val="left"/>
              <w:outlineLvl w:val="9"/>
              <w:rPr>
                <w:rFonts w:ascii="Arial" w:eastAsia="Arial" w:hAnsi="Arial" w:cs="Arial"/>
                <w:b/>
                <w:i w:val="0"/>
                <w:color w:val="929292"/>
                <w:sz w:val="14"/>
                <w:u w:val="none"/>
              </w:rPr>
            </w:pPr>
            <w:r>
              <w:rPr>
                <w:rFonts w:ascii="Arial" w:eastAsia="Arial" w:hAnsi="Arial" w:cs="Arial"/>
                <w:b/>
                <w:i w:val="0"/>
                <w:color w:val="4494D1"/>
                <w:sz w:val="14"/>
                <w:u w:val="none"/>
              </w:rPr>
              <w:t>E</w:t>
            </w:r>
            <w:r>
              <w:rPr>
                <w:rFonts w:ascii="Arial" w:eastAsia="Arial" w:hAnsi="Arial" w:cs="Arial"/>
                <w:b w:val="0"/>
                <w:i w:val="0"/>
                <w:sz w:val="14"/>
              </w:rPr>
              <w:t xml:space="preserve"> </w:t>
            </w:r>
            <w:r>
              <w:rPr>
                <w:rFonts w:ascii="Arial" w:eastAsia="Arial" w:hAnsi="Arial" w:cs="Arial"/>
                <w:b w:val="0"/>
                <w:i w:val="0"/>
                <w:color w:val="929292"/>
                <w:sz w:val="14"/>
                <w:u w:val="none"/>
              </w:rPr>
              <w:t xml:space="preserve">= Audit Committee Financial Expert                       </w:t>
            </w:r>
            <w:r>
              <w:rPr>
                <w:rFonts w:ascii="Arial" w:eastAsia="Arial" w:hAnsi="Arial" w:cs="Arial"/>
                <w:b/>
                <w:i w:val="0"/>
                <w:color w:val="4494D1"/>
                <w:sz w:val="14"/>
                <w:u w:val="none"/>
              </w:rPr>
              <w:t>HC</w:t>
            </w:r>
            <w:r>
              <w:rPr>
                <w:rFonts w:ascii="Arial" w:eastAsia="Arial" w:hAnsi="Arial" w:cs="Arial"/>
                <w:b w:val="0"/>
                <w:i w:val="0"/>
                <w:sz w:val="14"/>
              </w:rPr>
              <w:t xml:space="preserve"> </w:t>
            </w:r>
            <w:r>
              <w:rPr>
                <w:rFonts w:ascii="Arial" w:eastAsia="Arial" w:hAnsi="Arial" w:cs="Arial"/>
                <w:b w:val="0"/>
                <w:i w:val="0"/>
                <w:color w:val="929292"/>
                <w:sz w:val="14"/>
                <w:u w:val="none"/>
              </w:rPr>
              <w:t xml:space="preserve">= Human Resources and Compensation Committee                 </w:t>
            </w:r>
            <w:r>
              <w:rPr>
                <w:rFonts w:ascii="Arial" w:eastAsia="Arial" w:hAnsi="Arial" w:cs="Arial"/>
                <w:b/>
                <w:i w:val="0"/>
                <w:color w:val="4494D1"/>
                <w:sz w:val="14"/>
                <w:u w:val="none"/>
              </w:rPr>
              <w:t xml:space="preserve">IC </w:t>
            </w:r>
            <w:r>
              <w:rPr>
                <w:rFonts w:ascii="Arial" w:eastAsia="Arial" w:hAnsi="Arial" w:cs="Arial"/>
                <w:b w:val="0"/>
                <w:i w:val="0"/>
                <w:color w:val="4494D1"/>
                <w:sz w:val="12"/>
                <w:u w:val="none"/>
              </w:rPr>
              <w:t xml:space="preserve"> </w:t>
            </w:r>
            <w:r>
              <w:rPr>
                <w:rFonts w:ascii="Arial" w:eastAsia="Arial" w:hAnsi="Arial" w:cs="Arial"/>
                <w:b w:val="0"/>
                <w:i w:val="0"/>
                <w:sz w:val="12"/>
              </w:rPr>
              <w:t xml:space="preserve"> </w:t>
            </w:r>
            <w:r>
              <w:rPr>
                <w:rFonts w:ascii="Arial" w:eastAsia="Arial" w:hAnsi="Arial" w:cs="Arial"/>
                <w:b w:val="0"/>
                <w:i w:val="0"/>
                <w:color w:val="929292"/>
                <w:sz w:val="14"/>
                <w:u w:val="none"/>
              </w:rPr>
              <w:t>= Investment Committee</w:t>
            </w:r>
          </w:p>
          <w:p>
            <w:pPr>
              <w:pageBreakBefore w:val="0"/>
              <w:numPr>
                <w:ilvl w:val="0"/>
                <w:numId w:val="0"/>
              </w:numPr>
              <w:spacing w:before="0" w:after="0" w:line="240" w:lineRule="auto"/>
              <w:ind w:left="0" w:right="0" w:firstLine="0"/>
              <w:jc w:val="left"/>
              <w:outlineLvl w:val="9"/>
              <w:rPr>
                <w:rFonts w:ascii="Arial" w:eastAsia="Arial" w:hAnsi="Arial" w:cs="Arial"/>
                <w:b w:val="0"/>
                <w:i w:val="0"/>
                <w:color w:val="929292"/>
                <w:sz w:val="14"/>
                <w:u w:val="none"/>
              </w:rPr>
            </w:pPr>
            <w:r>
              <w:pict>
                <v:shape id="_x0000_i1059" type="#_x0000_t75" style="width:5.25pt;height:5.25pt">
                  <v:imagedata r:id="rId32" o:title=""/>
                  <o:lock v:ext="edit" aspectratio="t"/>
                </v:shape>
              </w:pict>
            </w:r>
            <w:r>
              <w:rPr>
                <w:rFonts w:ascii="Arial" w:eastAsia="Arial" w:hAnsi="Arial" w:cs="Arial"/>
                <w:b w:val="0"/>
                <w:i w:val="0"/>
                <w:sz w:val="14"/>
              </w:rPr>
              <w:t xml:space="preserve"> </w:t>
            </w:r>
            <w:r>
              <w:rPr>
                <w:rFonts w:ascii="Arial" w:eastAsia="Arial" w:hAnsi="Arial" w:cs="Arial"/>
                <w:b w:val="0"/>
                <w:i w:val="0"/>
                <w:color w:val="929292"/>
                <w:sz w:val="14"/>
                <w:u w:val="none"/>
              </w:rPr>
              <w:t xml:space="preserve">= Committee Member                                            </w:t>
            </w:r>
            <w:r>
              <w:rPr>
                <w:rFonts w:ascii="Arial" w:eastAsia="Arial" w:hAnsi="Arial" w:cs="Arial"/>
                <w:b/>
                <w:i w:val="0"/>
                <w:color w:val="4494D1"/>
                <w:sz w:val="14"/>
                <w:u w:val="none"/>
              </w:rPr>
              <w:t>NC</w:t>
            </w:r>
            <w:r>
              <w:rPr>
                <w:rFonts w:ascii="Arial" w:eastAsia="Arial" w:hAnsi="Arial" w:cs="Arial"/>
                <w:b w:val="0"/>
                <w:i w:val="0"/>
                <w:sz w:val="14"/>
              </w:rPr>
              <w:t xml:space="preserve"> </w:t>
            </w:r>
            <w:r>
              <w:rPr>
                <w:rFonts w:ascii="Arial" w:eastAsia="Arial" w:hAnsi="Arial" w:cs="Arial"/>
                <w:b w:val="0"/>
                <w:i w:val="0"/>
                <w:color w:val="929292"/>
                <w:sz w:val="14"/>
                <w:u w:val="none"/>
              </w:rPr>
              <w:t xml:space="preserve">= Nominating and Governance Committee                                </w:t>
            </w:r>
            <w:r>
              <w:rPr>
                <w:rFonts w:ascii="Arial" w:eastAsia="Arial" w:hAnsi="Arial" w:cs="Arial"/>
                <w:b/>
                <w:i w:val="0"/>
                <w:color w:val="4494D1"/>
                <w:sz w:val="14"/>
                <w:u w:val="none"/>
              </w:rPr>
              <w:t>EC</w:t>
            </w:r>
            <w:r>
              <w:rPr>
                <w:rFonts w:ascii="Arial" w:eastAsia="Arial" w:hAnsi="Arial" w:cs="Arial"/>
                <w:b w:val="0"/>
                <w:i w:val="0"/>
                <w:sz w:val="14"/>
              </w:rPr>
              <w:t xml:space="preserve"> </w:t>
            </w:r>
            <w:r>
              <w:rPr>
                <w:rFonts w:ascii="Arial" w:eastAsia="Arial" w:hAnsi="Arial" w:cs="Arial"/>
                <w:b w:val="0"/>
                <w:i w:val="0"/>
                <w:color w:val="929292"/>
                <w:sz w:val="14"/>
                <w:u w:val="none"/>
              </w:rPr>
              <w:t>= Executive Committee</w:t>
            </w:r>
          </w:p>
          <w:p>
            <w:pPr>
              <w:pageBreakBefore w:val="0"/>
              <w:numPr>
                <w:ilvl w:val="0"/>
                <w:numId w:val="0"/>
              </w:numPr>
              <w:spacing w:before="0" w:after="0" w:line="240" w:lineRule="auto"/>
              <w:ind w:left="0" w:right="0" w:firstLine="0"/>
              <w:jc w:val="left"/>
              <w:outlineLvl w:val="9"/>
              <w:rPr>
                <w:rFonts w:ascii="Arial" w:eastAsia="Arial" w:hAnsi="Arial" w:cs="Arial"/>
                <w:b w:val="0"/>
                <w:i w:val="0"/>
                <w:color w:val="929292"/>
                <w:sz w:val="14"/>
                <w:u w:val="none"/>
              </w:rPr>
            </w:pPr>
          </w:p>
          <w:p>
            <w:pPr>
              <w:pageBreakBefore w:val="0"/>
              <w:numPr>
                <w:ilvl w:val="0"/>
                <w:numId w:val="0"/>
              </w:numPr>
              <w:spacing w:before="0" w:after="0" w:line="240" w:lineRule="auto"/>
              <w:ind w:left="270" w:right="0" w:hanging="270"/>
              <w:jc w:val="both"/>
              <w:outlineLvl w:val="9"/>
              <w:rPr>
                <w:rFonts w:ascii="Arial" w:eastAsia="Arial" w:hAnsi="Arial" w:cs="Arial"/>
                <w:b w:val="0"/>
                <w:i w:val="0"/>
                <w:color w:val="929292"/>
                <w:sz w:val="14"/>
                <w:u w:val="none"/>
              </w:rPr>
            </w:pPr>
            <w:r>
              <w:rPr>
                <w:rFonts w:ascii="Arial" w:eastAsia="Arial" w:hAnsi="Arial" w:cs="Arial"/>
                <w:b w:val="0"/>
                <w:i w:val="0"/>
                <w:color w:val="929292"/>
                <w:sz w:val="14"/>
                <w:u w:val="none"/>
              </w:rPr>
              <w:t xml:space="preserve">(1) </w:t>
            </w:r>
            <w:r>
              <w:rPr>
                <w:rFonts w:ascii="Arial" w:eastAsia="Arial" w:hAnsi="Arial" w:cs="Arial"/>
                <w:b w:val="0"/>
                <w:i w:val="0"/>
                <w:color w:val="929292"/>
                <w:sz w:val="14"/>
                <w:u w:val="none"/>
              </w:rPr>
              <w:t xml:space="preserve"> </w:t>
            </w:r>
            <w:r>
              <w:rPr>
                <w:rFonts w:ascii="Arial" w:eastAsia="Arial" w:hAnsi="Arial" w:cs="Arial"/>
                <w:b w:val="0"/>
                <w:i w:val="0"/>
                <w:color w:val="929292"/>
                <w:sz w:val="14"/>
                <w:u w:val="none"/>
              </w:rPr>
              <w:t xml:space="preserve">Mr. Campbell is a director </w:t>
            </w:r>
            <w:r>
              <w:rPr>
                <w:rFonts w:ascii="Arial" w:eastAsia="Arial" w:hAnsi="Arial" w:cs="Arial"/>
                <w:b w:val="0"/>
                <w:i w:val="0"/>
                <w:color w:val="929292"/>
                <w:sz w:val="14"/>
                <w:u w:val="none"/>
              </w:rPr>
              <w:t>of AgroFresh Solutions, Inc. (formerly Boulevard Acquisition Corp.), a global agricultural technologies company, which was publicly traded until March 2023.</w:t>
            </w:r>
          </w:p>
          <w:p>
            <w:pPr>
              <w:pageBreakBefore w:val="0"/>
              <w:numPr>
                <w:ilvl w:val="0"/>
                <w:numId w:val="0"/>
              </w:numPr>
              <w:spacing w:before="0" w:after="0" w:line="240" w:lineRule="auto"/>
              <w:ind w:left="270" w:right="0" w:hanging="270"/>
              <w:jc w:val="both"/>
              <w:outlineLvl w:val="9"/>
              <w:rPr>
                <w:rFonts w:ascii="Arial" w:eastAsia="Arial" w:hAnsi="Arial" w:cs="Arial"/>
                <w:b w:val="0"/>
                <w:i w:val="0"/>
                <w:color w:val="929292"/>
                <w:sz w:val="6"/>
                <w:u w:val="none"/>
              </w:rPr>
            </w:pPr>
            <w:r>
              <w:rPr>
                <w:rFonts w:ascii="Arial" w:eastAsia="Arial" w:hAnsi="Arial" w:cs="Arial"/>
                <w:b w:val="0"/>
                <w:i w:val="0"/>
                <w:color w:val="929292"/>
                <w:sz w:val="6"/>
                <w:u w:val="none"/>
              </w:rPr>
              <w:t xml:space="preserve"> </w:t>
            </w:r>
            <w:r>
              <w:rPr>
                <w:rFonts w:ascii="Arial" w:eastAsia="Arial" w:hAnsi="Arial" w:cs="Arial"/>
                <w:b w:val="0"/>
                <w:i w:val="0"/>
                <w:color w:val="929292"/>
                <w:sz w:val="6"/>
                <w:u w:val="none"/>
              </w:rPr>
              <w:t xml:space="preserve"> </w:t>
            </w:r>
          </w:p>
          <w:p>
            <w:pPr>
              <w:pageBreakBefore w:val="0"/>
              <w:numPr>
                <w:ilvl w:val="0"/>
                <w:numId w:val="0"/>
              </w:numPr>
              <w:spacing w:before="0" w:after="30" w:line="240" w:lineRule="auto"/>
              <w:ind w:left="270" w:right="0" w:hanging="270"/>
              <w:jc w:val="both"/>
              <w:outlineLvl w:val="9"/>
              <w:rPr>
                <w:rFonts w:ascii="Arial" w:eastAsia="Arial" w:hAnsi="Arial" w:cs="Arial"/>
                <w:b w:val="0"/>
                <w:i w:val="0"/>
                <w:color w:val="929292"/>
                <w:sz w:val="14"/>
                <w:u w:val="none"/>
              </w:rPr>
            </w:pPr>
            <w:r>
              <w:rPr>
                <w:rFonts w:ascii="Arial" w:eastAsia="Arial" w:hAnsi="Arial" w:cs="Arial"/>
                <w:b w:val="0"/>
                <w:i w:val="0"/>
                <w:color w:val="929292"/>
                <w:sz w:val="14"/>
                <w:u w:val="none"/>
              </w:rPr>
              <w:t>(</w:t>
            </w:r>
            <w:r>
              <w:rPr>
                <w:rFonts w:ascii="Arial" w:eastAsia="Arial" w:hAnsi="Arial" w:cs="Arial"/>
                <w:b w:val="0"/>
                <w:i w:val="0"/>
                <w:color w:val="929292"/>
                <w:sz w:val="14"/>
                <w:u w:val="none"/>
              </w:rPr>
              <w:t>2</w:t>
            </w:r>
            <w:r>
              <w:rPr>
                <w:rFonts w:ascii="Arial" w:eastAsia="Arial" w:hAnsi="Arial" w:cs="Arial"/>
                <w:b w:val="0"/>
                <w:i w:val="0"/>
                <w:color w:val="929292"/>
                <w:sz w:val="14"/>
                <w:u w:val="none"/>
              </w:rPr>
              <w:t xml:space="preserve">) </w:t>
            </w:r>
            <w:r>
              <w:rPr>
                <w:rFonts w:ascii="Arial" w:eastAsia="Arial" w:hAnsi="Arial" w:cs="Arial"/>
                <w:b w:val="0"/>
                <w:i w:val="0"/>
                <w:color w:val="929292"/>
                <w:sz w:val="8"/>
                <w:u w:val="none"/>
              </w:rPr>
              <w:t xml:space="preserve"> </w:t>
            </w:r>
            <w:r>
              <w:rPr>
                <w:rFonts w:ascii="Arial" w:eastAsia="Arial" w:hAnsi="Arial" w:cs="Arial"/>
                <w:b w:val="0"/>
                <w:i w:val="0"/>
                <w:color w:val="929292"/>
                <w:sz w:val="14"/>
                <w:u w:val="none"/>
              </w:rPr>
              <w:t>F</w:t>
            </w:r>
            <w:r>
              <w:rPr>
                <w:rFonts w:ascii="Arial" w:eastAsia="Arial" w:hAnsi="Arial" w:cs="Arial"/>
                <w:b w:val="0"/>
                <w:i w:val="0"/>
                <w:color w:val="929292"/>
                <w:sz w:val="14"/>
                <w:u w:val="none"/>
              </w:rPr>
              <w:t xml:space="preserve">rom July 2018 to October 2023, </w:t>
            </w:r>
            <w:r>
              <w:rPr>
                <w:rFonts w:ascii="Arial" w:eastAsia="Arial" w:hAnsi="Arial" w:cs="Arial"/>
                <w:b w:val="0"/>
                <w:i w:val="0"/>
                <w:color w:val="929292"/>
                <w:sz w:val="14"/>
                <w:u w:val="none"/>
              </w:rPr>
              <w:t>Mr. Carey also</w:t>
            </w:r>
            <w:r>
              <w:rPr>
                <w:rFonts w:ascii="Arial" w:eastAsia="Arial" w:hAnsi="Arial" w:cs="Arial"/>
                <w:b w:val="0"/>
                <w:i w:val="0"/>
                <w:color w:val="929292"/>
                <w:sz w:val="14"/>
                <w:u w:val="none"/>
              </w:rPr>
              <w:t xml:space="preserve"> served as a director of Focus Financial Partners, a publicly traded company that invests in independent fiduciary wealth management firms</w:t>
            </w:r>
            <w:r>
              <w:rPr>
                <w:rFonts w:ascii="Arial" w:eastAsia="Arial" w:hAnsi="Arial" w:cs="Arial"/>
                <w:b w:val="0"/>
                <w:i w:val="0"/>
                <w:color w:val="929292"/>
                <w:sz w:val="14"/>
                <w:u w:val="none"/>
              </w:rPr>
              <w:t>.</w:t>
            </w:r>
          </w:p>
        </w:tc>
      </w:tr>
    </w:tbl>
    <w:p>
      <w:pPr>
        <w:keepNext w:val="0"/>
        <w:keepLines w:val="0"/>
        <w:pageBreakBefore w:val="0"/>
        <w:widowControl/>
        <w:numPr>
          <w:ilvl w:val="0"/>
          <w:numId w:val="0"/>
        </w:numPr>
        <w:spacing w:before="120" w:after="0" w:line="288" w:lineRule="auto"/>
        <w:ind w:left="0" w:right="0" w:firstLine="0"/>
        <w:jc w:val="both"/>
        <w:outlineLvl w:val="9"/>
        <w:rPr>
          <w:rFonts w:ascii="Times New Roman" w:eastAsia="Times New Roman" w:hAnsi="Times New Roman" w:cs="Times New Roman"/>
          <w:b w:val="0"/>
          <w:i w:val="0"/>
          <w:color w:val="FF0090"/>
          <w:sz w:val="10"/>
          <w:u w:val="none"/>
        </w:rPr>
      </w:pPr>
    </w:p>
    <w:tbl>
      <w:tblPr>
        <w:tblW w:w="1011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260"/>
        <w:gridCol w:w="240"/>
        <w:gridCol w:w="1995"/>
        <w:gridCol w:w="1215"/>
        <w:gridCol w:w="795"/>
        <w:gridCol w:w="2040"/>
        <w:gridCol w:w="300"/>
        <w:gridCol w:w="2265"/>
      </w:tblGrid>
      <w:tr>
        <w:tblPrEx>
          <w:tblW w:w="1011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15"/>
        </w:trPr>
        <w:tc>
          <w:tcPr>
            <w:tcW w:w="3495" w:type="dxa"/>
            <w:gridSpan w:val="3"/>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43"/>
              <w:jc w:val="left"/>
            </w:pPr>
            <w:r>
              <w:rPr>
                <w:rFonts w:ascii="Arial" w:eastAsia="Arial" w:hAnsi="Arial" w:cs="Arial"/>
                <w:b/>
                <w:i w:val="0"/>
                <w:color w:val="000000"/>
                <w:sz w:val="18"/>
                <w:u w:val="none"/>
              </w:rPr>
              <w:t>Range of Tenures</w:t>
            </w:r>
          </w:p>
        </w:tc>
        <w:tc>
          <w:tcPr>
            <w:tcW w:w="12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04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Diversity</w:t>
            </w: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2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Global Perspective</w:t>
            </w:r>
          </w:p>
        </w:tc>
      </w:tr>
      <w:tr>
        <w:tblPrEx>
          <w:tblW w:w="10110" w:type="dxa"/>
          <w:tblInd w:w="0" w:type="dxa"/>
          <w:tblLayout w:type="fixed"/>
          <w:tblCellMar>
            <w:left w:w="108" w:type="dxa"/>
            <w:right w:w="108" w:type="dxa"/>
          </w:tblCellMar>
        </w:tblPrEx>
        <w:trPr>
          <w:cantSplit/>
          <w:trHeight w:hRule="exact" w:val="315"/>
        </w:trPr>
        <w:tc>
          <w:tcPr>
            <w:tcW w:w="12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04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2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tblInd w:w="0" w:type="dxa"/>
          <w:tblLayout w:type="fixed"/>
          <w:tblCellMar>
            <w:left w:w="108" w:type="dxa"/>
            <w:right w:w="108" w:type="dxa"/>
          </w:tblCellMar>
        </w:tblPrEx>
        <w:trPr>
          <w:cantSplit/>
          <w:trHeight w:hRule="exact" w:val="555"/>
        </w:trPr>
        <w:tc>
          <w:tcPr>
            <w:tcW w:w="1500" w:type="dxa"/>
            <w:gridSpan w:val="2"/>
            <w:tcBorders>
              <w:top w:val="nil"/>
              <w:left w:val="nil"/>
              <w:bottom w:val="nil"/>
              <w:right w:val="nil"/>
            </w:tcBorders>
            <w:shd w:val="clear" w:color="auto" w:fill="002060"/>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val="0"/>
                <w:i w:val="0"/>
                <w:color w:val="FFFFFF"/>
                <w:sz w:val="32"/>
                <w:u w:val="none"/>
              </w:rPr>
            </w:pPr>
            <w:r>
              <w:rPr>
                <w:rFonts w:ascii="Arial" w:eastAsia="Arial" w:hAnsi="Arial" w:cs="Arial"/>
                <w:b w:val="0"/>
                <w:i w:val="0"/>
                <w:color w:val="FFFFFF"/>
                <w:sz w:val="32"/>
                <w:u w:val="none"/>
              </w:rPr>
              <w:t>4</w:t>
            </w:r>
          </w:p>
          <w:p>
            <w:pPr>
              <w:pageBreakBefore w:val="0"/>
              <w:numPr>
                <w:ilvl w:val="0"/>
                <w:numId w:val="0"/>
              </w:numPr>
              <w:spacing w:before="0" w:after="30" w:line="240" w:lineRule="auto"/>
              <w:ind w:left="0" w:right="0" w:firstLine="0"/>
              <w:jc w:val="left"/>
              <w:outlineLvl w:val="9"/>
              <w:rPr>
                <w:rFonts w:ascii="Arial" w:eastAsia="Arial" w:hAnsi="Arial" w:cs="Arial"/>
                <w:b w:val="0"/>
                <w:i w:val="0"/>
                <w:color w:val="FFFFFF"/>
                <w:sz w:val="16"/>
                <w:u w:val="none"/>
              </w:rPr>
            </w:pPr>
            <w:r>
              <w:rPr>
                <w:rFonts w:ascii="Arial" w:eastAsia="Arial" w:hAnsi="Arial" w:cs="Arial"/>
                <w:b w:val="0"/>
                <w:i w:val="0"/>
                <w:color w:val="FFFFFF"/>
                <w:sz w:val="16"/>
                <w:u w:val="none"/>
              </w:rPr>
              <w:t>≤5 Years</w:t>
            </w:r>
          </w:p>
        </w:tc>
        <w:tc>
          <w:tcPr>
            <w:tcW w:w="1995" w:type="dxa"/>
            <w:tcBorders>
              <w:top w:val="nil"/>
              <w:left w:val="nil"/>
              <w:bottom w:val="nil"/>
              <w:right w:val="nil"/>
            </w:tcBorders>
            <w:shd w:val="clear" w:color="auto" w:fill="0066A5"/>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val="0"/>
                <w:i w:val="0"/>
                <w:color w:val="FFFFFF"/>
                <w:sz w:val="32"/>
                <w:u w:val="none"/>
              </w:rPr>
            </w:pPr>
            <w:r>
              <w:rPr>
                <w:rFonts w:ascii="Arial" w:eastAsia="Arial" w:hAnsi="Arial" w:cs="Arial"/>
                <w:b w:val="0"/>
                <w:i w:val="0"/>
                <w:color w:val="FFFFFF"/>
                <w:sz w:val="32"/>
                <w:u w:val="none"/>
              </w:rPr>
              <w:t>4</w:t>
            </w:r>
          </w:p>
          <w:p>
            <w:pPr>
              <w:pageBreakBefore w:val="0"/>
              <w:numPr>
                <w:ilvl w:val="0"/>
                <w:numId w:val="0"/>
              </w:numPr>
              <w:spacing w:before="0" w:after="30" w:line="240" w:lineRule="auto"/>
              <w:ind w:left="0" w:right="0" w:firstLine="0"/>
              <w:jc w:val="left"/>
              <w:outlineLvl w:val="9"/>
              <w:rPr>
                <w:rFonts w:ascii="Arial" w:eastAsia="Arial" w:hAnsi="Arial" w:cs="Arial"/>
                <w:b w:val="0"/>
                <w:i w:val="0"/>
                <w:color w:val="FFFFFF"/>
                <w:sz w:val="16"/>
                <w:u w:val="none"/>
              </w:rPr>
            </w:pPr>
            <w:r>
              <w:rPr>
                <w:rFonts w:ascii="Arial" w:eastAsia="Arial" w:hAnsi="Arial" w:cs="Arial"/>
                <w:b w:val="0"/>
                <w:i w:val="0"/>
                <w:color w:val="FFFFFF"/>
                <w:sz w:val="16"/>
                <w:u w:val="none"/>
              </w:rPr>
              <w:t>6-10 Years</w:t>
            </w:r>
          </w:p>
        </w:tc>
        <w:tc>
          <w:tcPr>
            <w:tcW w:w="1215" w:type="dxa"/>
            <w:tcBorders>
              <w:top w:val="nil"/>
              <w:left w:val="nil"/>
              <w:bottom w:val="nil"/>
              <w:right w:val="nil"/>
            </w:tcBorders>
            <w:shd w:val="clear" w:color="auto" w:fill="A6A6A6"/>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val="0"/>
                <w:i w:val="0"/>
                <w:color w:val="FFFFFF"/>
                <w:sz w:val="32"/>
                <w:u w:val="none"/>
              </w:rPr>
            </w:pPr>
            <w:r>
              <w:rPr>
                <w:rFonts w:ascii="Arial" w:eastAsia="Arial" w:hAnsi="Arial" w:cs="Arial"/>
                <w:b w:val="0"/>
                <w:i w:val="0"/>
                <w:color w:val="FFFFFF"/>
                <w:sz w:val="32"/>
                <w:u w:val="none"/>
              </w:rPr>
              <w:t>4</w:t>
            </w:r>
          </w:p>
          <w:p>
            <w:pPr>
              <w:pageBreakBefore w:val="0"/>
              <w:numPr>
                <w:ilvl w:val="0"/>
                <w:numId w:val="0"/>
              </w:numPr>
              <w:spacing w:before="0" w:after="30" w:line="240" w:lineRule="auto"/>
              <w:ind w:left="0" w:right="0" w:firstLine="0"/>
              <w:jc w:val="left"/>
              <w:outlineLvl w:val="9"/>
              <w:rPr>
                <w:rFonts w:ascii="Arial" w:eastAsia="Arial" w:hAnsi="Arial" w:cs="Arial"/>
                <w:b w:val="0"/>
                <w:i w:val="0"/>
                <w:color w:val="FFFFFF"/>
                <w:sz w:val="16"/>
                <w:u w:val="none"/>
              </w:rPr>
            </w:pPr>
            <w:r>
              <w:rPr>
                <w:rFonts w:ascii="Arial" w:eastAsia="Arial" w:hAnsi="Arial" w:cs="Arial"/>
                <w:b w:val="0"/>
                <w:i w:val="0"/>
                <w:color w:val="FFFFFF"/>
                <w:sz w:val="16"/>
                <w:u w:val="none"/>
              </w:rPr>
              <w:t>&gt;10 Years</w:t>
            </w:r>
          </w:p>
        </w:tc>
        <w:tc>
          <w:tcPr>
            <w:tcW w:w="7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040"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hanging="720"/>
              <w:jc w:val="left"/>
              <w:outlineLvl w:val="9"/>
              <w:rPr>
                <w:rFonts w:ascii="Arial" w:eastAsia="Arial" w:hAnsi="Arial" w:cs="Arial"/>
                <w:b w:val="0"/>
                <w:i w:val="0"/>
                <w:sz w:val="20"/>
              </w:rPr>
            </w:pPr>
            <w:r>
              <w:pict>
                <v:shape id="_x0000_i1060" type="#_x0000_t75" style="width:3in;height:103.5pt">
                  <v:imagedata r:id="rId33" o:title=""/>
                  <o:lock v:ext="edit" aspectratio="t"/>
                </v:shape>
              </w:pict>
            </w: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265"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hanging="720"/>
              <w:jc w:val="left"/>
              <w:outlineLvl w:val="9"/>
              <w:rPr>
                <w:rFonts w:ascii="Arial" w:eastAsia="Arial" w:hAnsi="Arial" w:cs="Arial"/>
                <w:b w:val="0"/>
                <w:i w:val="0"/>
                <w:sz w:val="20"/>
              </w:rPr>
            </w:pPr>
            <w:r>
              <w:pict>
                <v:shape id="_x0000_i1061" type="#_x0000_t75" style="width:3in;height:103.5pt">
                  <v:imagedata r:id="rId34" o:title=""/>
                  <o:lock v:ext="edit" aspectratio="t"/>
                </v:shape>
              </w:pict>
            </w:r>
          </w:p>
        </w:tc>
      </w:tr>
      <w:tr>
        <w:tblPrEx>
          <w:tblW w:w="10110" w:type="dxa"/>
          <w:tblInd w:w="0" w:type="dxa"/>
          <w:tblLayout w:type="fixed"/>
          <w:tblCellMar>
            <w:left w:w="108" w:type="dxa"/>
            <w:right w:w="108" w:type="dxa"/>
          </w:tblCellMar>
        </w:tblPrEx>
        <w:trPr>
          <w:cantSplit/>
          <w:trHeight w:hRule="exact" w:val="315"/>
        </w:trPr>
        <w:tc>
          <w:tcPr>
            <w:tcW w:w="12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040" w:type="dxa"/>
            <w:vMerge/>
            <w:tcBorders>
              <w:top w:val="nil"/>
              <w:left w:val="nil"/>
              <w:bottom w:val="nil"/>
              <w:right w:val="nil"/>
            </w:tcBorders>
          </w:tcPr>
          <w:p>
            <w:pPr>
              <w:keepNext/>
              <w:pageBreakBefore w:val="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265" w:type="dxa"/>
            <w:vMerge/>
            <w:tcBorders>
              <w:top w:val="nil"/>
              <w:left w:val="nil"/>
              <w:bottom w:val="nil"/>
              <w:right w:val="nil"/>
            </w:tcBorders>
          </w:tcPr>
          <w:p>
            <w:pPr>
              <w:keepNext/>
              <w:pageBreakBefore w:val="0"/>
            </w:pPr>
          </w:p>
        </w:tc>
      </w:tr>
      <w:tr>
        <w:tblPrEx>
          <w:tblW w:w="10110" w:type="dxa"/>
          <w:tblInd w:w="0" w:type="dxa"/>
          <w:tblLayout w:type="fixed"/>
          <w:tblCellMar>
            <w:left w:w="108" w:type="dxa"/>
            <w:right w:w="108" w:type="dxa"/>
          </w:tblCellMar>
        </w:tblPrEx>
        <w:trPr>
          <w:cantSplit/>
          <w:trHeight w:hRule="exact" w:val="315"/>
        </w:trPr>
        <w:tc>
          <w:tcPr>
            <w:tcW w:w="3495" w:type="dxa"/>
            <w:gridSpan w:val="3"/>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43"/>
              <w:jc w:val="left"/>
            </w:pPr>
            <w:r>
              <w:rPr>
                <w:rFonts w:ascii="Arial" w:eastAsia="Arial" w:hAnsi="Arial" w:cs="Arial"/>
                <w:b/>
                <w:i w:val="0"/>
                <w:color w:val="000000"/>
                <w:sz w:val="18"/>
                <w:u w:val="none"/>
              </w:rPr>
              <w:t>Mix of Ages</w:t>
            </w:r>
          </w:p>
        </w:tc>
        <w:tc>
          <w:tcPr>
            <w:tcW w:w="12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040" w:type="dxa"/>
            <w:vMerge/>
            <w:tcBorders>
              <w:top w:val="nil"/>
              <w:left w:val="nil"/>
              <w:bottom w:val="nil"/>
              <w:right w:val="nil"/>
            </w:tcBorders>
          </w:tcPr>
          <w:p>
            <w:pPr>
              <w:keepNext/>
              <w:pageBreakBefore w:val="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265" w:type="dxa"/>
            <w:vMerge/>
            <w:tcBorders>
              <w:top w:val="nil"/>
              <w:left w:val="nil"/>
              <w:bottom w:val="nil"/>
              <w:right w:val="nil"/>
            </w:tcBorders>
          </w:tcPr>
          <w:p>
            <w:pPr>
              <w:keepNext/>
              <w:pageBreakBefore w:val="0"/>
            </w:pPr>
          </w:p>
        </w:tc>
      </w:tr>
      <w:tr>
        <w:tblPrEx>
          <w:tblW w:w="10110" w:type="dxa"/>
          <w:tblInd w:w="0" w:type="dxa"/>
          <w:tblLayout w:type="fixed"/>
          <w:tblCellMar>
            <w:left w:w="108" w:type="dxa"/>
            <w:right w:w="108" w:type="dxa"/>
          </w:tblCellMar>
        </w:tblPrEx>
        <w:trPr>
          <w:cantSplit/>
          <w:trHeight w:hRule="exact" w:val="315"/>
        </w:trPr>
        <w:tc>
          <w:tcPr>
            <w:tcW w:w="12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040" w:type="dxa"/>
            <w:vMerge/>
            <w:tcBorders>
              <w:top w:val="nil"/>
              <w:left w:val="nil"/>
              <w:bottom w:val="nil"/>
              <w:right w:val="nil"/>
            </w:tcBorders>
          </w:tcPr>
          <w:p>
            <w:pPr>
              <w:keepNext/>
              <w:pageBreakBefore w:val="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265" w:type="dxa"/>
            <w:vMerge/>
            <w:tcBorders>
              <w:top w:val="nil"/>
              <w:left w:val="nil"/>
              <w:bottom w:val="nil"/>
              <w:right w:val="nil"/>
            </w:tcBorders>
          </w:tcPr>
          <w:p>
            <w:pPr>
              <w:keepNext/>
              <w:pageBreakBefore w:val="0"/>
            </w:pPr>
          </w:p>
        </w:tc>
      </w:tr>
      <w:tr>
        <w:tblPrEx>
          <w:tblW w:w="10110" w:type="dxa"/>
          <w:tblInd w:w="0" w:type="dxa"/>
          <w:tblLayout w:type="fixed"/>
          <w:tblCellMar>
            <w:left w:w="108" w:type="dxa"/>
            <w:right w:w="108" w:type="dxa"/>
          </w:tblCellMar>
        </w:tblPrEx>
        <w:trPr>
          <w:cantSplit/>
          <w:trHeight w:hRule="exact" w:val="555"/>
        </w:trPr>
        <w:tc>
          <w:tcPr>
            <w:tcW w:w="1260" w:type="dxa"/>
            <w:tcBorders>
              <w:top w:val="nil"/>
              <w:left w:val="nil"/>
              <w:bottom w:val="nil"/>
              <w:right w:val="nil"/>
            </w:tcBorders>
            <w:shd w:val="clear" w:color="auto" w:fill="002060"/>
            <w:tcMar>
              <w:top w:w="0" w:type="dxa"/>
              <w:left w:w="53" w:type="dxa"/>
              <w:bottom w:w="0" w:type="dxa"/>
              <w:right w:w="53" w:type="dxa"/>
            </w:tcMar>
            <w:vAlign w:val="bottom"/>
          </w:tcPr>
          <w:p>
            <w:pPr>
              <w:pageBreakBefore w:val="0"/>
              <w:numPr>
                <w:ilvl w:val="0"/>
                <w:numId w:val="0"/>
              </w:numPr>
              <w:spacing w:before="53" w:after="0" w:line="240" w:lineRule="auto"/>
              <w:ind w:left="0" w:right="0" w:firstLine="0"/>
              <w:jc w:val="left"/>
              <w:outlineLvl w:val="9"/>
              <w:rPr>
                <w:rFonts w:ascii="Arial" w:eastAsia="Arial" w:hAnsi="Arial" w:cs="Arial"/>
                <w:b w:val="0"/>
                <w:i w:val="0"/>
                <w:color w:val="FFFFFF"/>
                <w:sz w:val="32"/>
                <w:u w:val="none"/>
              </w:rPr>
            </w:pPr>
            <w:r>
              <w:rPr>
                <w:rFonts w:ascii="Arial" w:eastAsia="Arial" w:hAnsi="Arial" w:cs="Arial"/>
                <w:b w:val="0"/>
                <w:i w:val="0"/>
                <w:color w:val="FFFFFF"/>
                <w:sz w:val="32"/>
                <w:u w:val="none"/>
              </w:rPr>
              <w:t>3</w:t>
            </w:r>
          </w:p>
          <w:p>
            <w:pPr>
              <w:pageBreakBefore w:val="0"/>
              <w:numPr>
                <w:ilvl w:val="0"/>
                <w:numId w:val="0"/>
              </w:numPr>
              <w:spacing w:before="0" w:after="30" w:line="240" w:lineRule="auto"/>
              <w:ind w:left="0" w:right="0" w:firstLine="0"/>
              <w:jc w:val="left"/>
              <w:outlineLvl w:val="9"/>
              <w:rPr>
                <w:rFonts w:ascii="Arial" w:eastAsia="Arial" w:hAnsi="Arial" w:cs="Arial"/>
                <w:b w:val="0"/>
                <w:i w:val="0"/>
                <w:color w:val="FFFFFF"/>
                <w:sz w:val="16"/>
                <w:u w:val="none"/>
              </w:rPr>
            </w:pPr>
            <w:r>
              <w:rPr>
                <w:rFonts w:ascii="Arial" w:eastAsia="Arial" w:hAnsi="Arial" w:cs="Arial"/>
                <w:b w:val="0"/>
                <w:i w:val="0"/>
                <w:color w:val="FFFFFF"/>
                <w:sz w:val="16"/>
                <w:u w:val="none"/>
              </w:rPr>
              <w:t>≤</w:t>
            </w:r>
            <w:r>
              <w:rPr>
                <w:rFonts w:ascii="Arial" w:eastAsia="Arial" w:hAnsi="Arial" w:cs="Arial"/>
                <w:b w:val="0"/>
                <w:i w:val="0"/>
                <w:color w:val="FFFFFF"/>
                <w:sz w:val="16"/>
                <w:u w:val="none"/>
              </w:rPr>
              <w:t>60</w:t>
            </w:r>
            <w:r>
              <w:rPr>
                <w:rFonts w:ascii="Arial" w:eastAsia="Arial" w:hAnsi="Arial" w:cs="Arial"/>
                <w:b w:val="0"/>
                <w:i w:val="0"/>
                <w:color w:val="FFFFFF"/>
                <w:sz w:val="16"/>
                <w:u w:val="none"/>
              </w:rPr>
              <w:t xml:space="preserve"> Years</w:t>
            </w:r>
          </w:p>
        </w:tc>
        <w:tc>
          <w:tcPr>
            <w:tcW w:w="2235" w:type="dxa"/>
            <w:gridSpan w:val="2"/>
            <w:tcBorders>
              <w:top w:val="nil"/>
              <w:left w:val="nil"/>
              <w:bottom w:val="nil"/>
              <w:right w:val="nil"/>
            </w:tcBorders>
            <w:shd w:val="clear" w:color="auto" w:fill="0066A5"/>
            <w:tcMar>
              <w:top w:w="0" w:type="dxa"/>
              <w:left w:w="53" w:type="dxa"/>
              <w:bottom w:w="0" w:type="dxa"/>
              <w:right w:w="53" w:type="dxa"/>
            </w:tcMar>
            <w:vAlign w:val="bottom"/>
          </w:tcPr>
          <w:p>
            <w:pPr>
              <w:pageBreakBefore w:val="0"/>
              <w:numPr>
                <w:ilvl w:val="0"/>
                <w:numId w:val="0"/>
              </w:numPr>
              <w:spacing w:before="53" w:after="0" w:line="240" w:lineRule="auto"/>
              <w:ind w:left="0" w:right="0" w:firstLine="0"/>
              <w:jc w:val="left"/>
              <w:outlineLvl w:val="9"/>
              <w:rPr>
                <w:rFonts w:ascii="Arial" w:eastAsia="Arial" w:hAnsi="Arial" w:cs="Arial"/>
                <w:b w:val="0"/>
                <w:i w:val="0"/>
                <w:color w:val="FFFFFF"/>
                <w:sz w:val="32"/>
                <w:u w:val="none"/>
              </w:rPr>
            </w:pPr>
            <w:r>
              <w:rPr>
                <w:rFonts w:ascii="Arial" w:eastAsia="Arial" w:hAnsi="Arial" w:cs="Arial"/>
                <w:b w:val="0"/>
                <w:i w:val="0"/>
                <w:color w:val="FFFFFF"/>
                <w:sz w:val="32"/>
                <w:u w:val="none"/>
              </w:rPr>
              <w:t>6</w:t>
            </w:r>
          </w:p>
          <w:p>
            <w:pPr>
              <w:pageBreakBefore w:val="0"/>
              <w:numPr>
                <w:ilvl w:val="0"/>
                <w:numId w:val="0"/>
              </w:numPr>
              <w:spacing w:before="0" w:after="30" w:line="240" w:lineRule="auto"/>
              <w:ind w:left="0" w:right="0" w:firstLine="0"/>
              <w:jc w:val="left"/>
              <w:outlineLvl w:val="9"/>
              <w:rPr>
                <w:rFonts w:ascii="Arial" w:eastAsia="Arial" w:hAnsi="Arial" w:cs="Arial"/>
                <w:b w:val="0"/>
                <w:i w:val="0"/>
                <w:color w:val="FFFFFF"/>
                <w:sz w:val="16"/>
                <w:u w:val="none"/>
              </w:rPr>
            </w:pPr>
            <w:r>
              <w:rPr>
                <w:rFonts w:ascii="Arial" w:eastAsia="Arial" w:hAnsi="Arial" w:cs="Arial"/>
                <w:b w:val="0"/>
                <w:i w:val="0"/>
                <w:color w:val="FFFFFF"/>
                <w:sz w:val="16"/>
                <w:u w:val="none"/>
              </w:rPr>
              <w:t>61-70 Years</w:t>
            </w:r>
          </w:p>
        </w:tc>
        <w:tc>
          <w:tcPr>
            <w:tcW w:w="1215" w:type="dxa"/>
            <w:tcBorders>
              <w:top w:val="nil"/>
              <w:left w:val="nil"/>
              <w:bottom w:val="nil"/>
              <w:right w:val="nil"/>
            </w:tcBorders>
            <w:shd w:val="clear" w:color="auto" w:fill="A6A6A6"/>
            <w:tcMar>
              <w:top w:w="0" w:type="dxa"/>
              <w:left w:w="53" w:type="dxa"/>
              <w:bottom w:w="0" w:type="dxa"/>
              <w:right w:w="53" w:type="dxa"/>
            </w:tcMar>
            <w:vAlign w:val="bottom"/>
          </w:tcPr>
          <w:p>
            <w:pPr>
              <w:pageBreakBefore w:val="0"/>
              <w:numPr>
                <w:ilvl w:val="0"/>
                <w:numId w:val="0"/>
              </w:numPr>
              <w:spacing w:before="53" w:after="0" w:line="240" w:lineRule="auto"/>
              <w:ind w:left="0" w:right="0" w:firstLine="0"/>
              <w:jc w:val="left"/>
              <w:outlineLvl w:val="9"/>
              <w:rPr>
                <w:rFonts w:ascii="Arial" w:eastAsia="Arial" w:hAnsi="Arial" w:cs="Arial"/>
                <w:b w:val="0"/>
                <w:i w:val="0"/>
                <w:color w:val="FFFFFF"/>
                <w:sz w:val="32"/>
                <w:u w:val="none"/>
              </w:rPr>
            </w:pPr>
            <w:r>
              <w:rPr>
                <w:rFonts w:ascii="Arial" w:eastAsia="Arial" w:hAnsi="Arial" w:cs="Arial"/>
                <w:b w:val="0"/>
                <w:i w:val="0"/>
                <w:color w:val="FFFFFF"/>
                <w:sz w:val="32"/>
                <w:u w:val="none"/>
              </w:rPr>
              <w:t>3</w:t>
            </w:r>
          </w:p>
          <w:p>
            <w:pPr>
              <w:pageBreakBefore w:val="0"/>
              <w:numPr>
                <w:ilvl w:val="0"/>
                <w:numId w:val="0"/>
              </w:numPr>
              <w:spacing w:before="0" w:after="30" w:line="240" w:lineRule="auto"/>
              <w:ind w:left="0" w:right="0" w:firstLine="0"/>
              <w:jc w:val="left"/>
              <w:outlineLvl w:val="9"/>
              <w:rPr>
                <w:rFonts w:ascii="Arial" w:eastAsia="Arial" w:hAnsi="Arial" w:cs="Arial"/>
                <w:b w:val="0"/>
                <w:i w:val="0"/>
                <w:color w:val="FFFFFF"/>
                <w:sz w:val="16"/>
                <w:u w:val="none"/>
              </w:rPr>
            </w:pPr>
            <w:r>
              <w:rPr>
                <w:rFonts w:ascii="Arial" w:eastAsia="Arial" w:hAnsi="Arial" w:cs="Arial"/>
                <w:b w:val="0"/>
                <w:i w:val="0"/>
                <w:color w:val="FFFFFF"/>
                <w:sz w:val="16"/>
                <w:u w:val="none"/>
              </w:rPr>
              <w:t>&gt;70 Years</w:t>
            </w:r>
          </w:p>
        </w:tc>
        <w:tc>
          <w:tcPr>
            <w:tcW w:w="7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2040" w:type="dxa"/>
            <w:vMerge/>
            <w:tcBorders>
              <w:top w:val="nil"/>
              <w:left w:val="nil"/>
              <w:bottom w:val="nil"/>
              <w:right w:val="nil"/>
            </w:tcBorders>
          </w:tcPr>
          <w:p>
            <w:pPr>
              <w:pageBreakBefore w:val="0"/>
            </w:pPr>
          </w:p>
        </w:tc>
        <w:tc>
          <w:tcPr>
            <w:tcW w:w="30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2265" w:type="dxa"/>
            <w:vMerge/>
            <w:tcBorders>
              <w:top w:val="nil"/>
              <w:left w:val="nil"/>
              <w:bottom w:val="nil"/>
              <w:right w:val="nil"/>
            </w:tcBorders>
          </w:tcPr>
          <w:p>
            <w:pPr>
              <w:pageBreakBefore w:val="0"/>
            </w:pPr>
          </w:p>
        </w:tc>
      </w:tr>
    </w:tbl>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
          <w:u w:val="none"/>
        </w:rPr>
        <w:sectPr>
          <w:headerReference w:type="default" r:id="rId35"/>
          <w:footerReference w:type="default" r:id="rId36"/>
          <w:pgSz w:w="12240" w:h="15840"/>
          <w:pgMar w:top="855" w:right="990" w:bottom="855" w:left="990" w:header="180" w:footer="270"/>
          <w:pgNumType w:fmt="lowerRoman"/>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16"/>
          <w:u w:val="none"/>
        </w:rPr>
      </w:pPr>
      <w:bookmarkStart w:id="9" w:name="Section12"/>
      <w:bookmarkEnd w:id="9"/>
    </w:p>
    <w:p>
      <w:pPr>
        <w:keepNext w:val="0"/>
        <w:keepLines w:val="0"/>
        <w:pageBreakBefore w:val="0"/>
        <w:widowControl/>
        <w:numPr>
          <w:ilvl w:val="0"/>
          <w:numId w:val="0"/>
        </w:numPr>
        <w:spacing w:before="0" w:after="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CORPORATE GOVERNANCE HIGHLIGHTS</w:t>
      </w:r>
    </w:p>
    <w:tbl>
      <w:tblPr>
        <w:tblW w:w="1020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040"/>
        <w:gridCol w:w="2040"/>
        <w:gridCol w:w="2040"/>
        <w:gridCol w:w="2040"/>
        <w:gridCol w:w="2040"/>
      </w:tblGrid>
      <w:tr>
        <w:tblPrEx>
          <w:tblW w:w="1020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jc w:val="left"/>
        </w:trPr>
        <w:tc>
          <w:tcPr>
            <w:tcW w:w="204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c>
          <w:tcPr>
            <w:tcW w:w="204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c>
          <w:tcPr>
            <w:tcW w:w="204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c>
          <w:tcPr>
            <w:tcW w:w="204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c>
          <w:tcPr>
            <w:tcW w:w="204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6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We are committed to goo</w:t>
      </w:r>
      <w:r>
        <w:rPr>
          <w:rFonts w:ascii="Arial" w:eastAsia="Arial" w:hAnsi="Arial" w:cs="Arial"/>
          <w:b w:val="0"/>
          <w:i w:val="0"/>
          <w:sz w:val="20"/>
        </w:rPr>
        <w:t>d corporate governance</w:t>
      </w:r>
      <w:r>
        <w:rPr>
          <w:rFonts w:ascii="Arial" w:eastAsia="Arial" w:hAnsi="Arial" w:cs="Arial"/>
          <w:b w:val="0"/>
          <w:i w:val="0"/>
          <w:sz w:val="20"/>
        </w:rPr>
        <w:t>, which is a critical factor to help pro</w:t>
      </w:r>
      <w:r>
        <w:rPr>
          <w:rFonts w:ascii="Arial" w:eastAsia="Arial" w:hAnsi="Arial" w:cs="Arial"/>
          <w:b w:val="0"/>
          <w:i w:val="0"/>
          <w:sz w:val="20"/>
        </w:rPr>
        <w:t xml:space="preserve">mote the long-term interests of our shareholders, strengthen our Board and management accountability, and build trust in the Company. </w:t>
      </w:r>
      <w:r>
        <w:rPr>
          <w:rFonts w:ascii="Arial" w:eastAsia="Arial" w:hAnsi="Arial" w:cs="Arial"/>
          <w:b w:val="0"/>
          <w:i w:val="0"/>
          <w:sz w:val="20"/>
        </w:rPr>
        <w:t>Our governance highlights are summarized below.</w:t>
      </w:r>
      <w:r>
        <w:rPr>
          <w:rFonts w:ascii="Arial" w:eastAsia="Arial" w:hAnsi="Arial" w:cs="Arial"/>
          <w:b w:val="0"/>
          <w:i w:val="0"/>
          <w:sz w:val="20"/>
        </w:rPr>
        <w:t xml:space="preserve"> </w:t>
      </w:r>
      <w:r>
        <w:rPr>
          <w:rFonts w:ascii="Arial" w:eastAsia="Arial" w:hAnsi="Arial" w:cs="Arial"/>
          <w:b w:val="0"/>
          <w:i w:val="0"/>
          <w:sz w:val="20"/>
        </w:rPr>
        <w:t xml:space="preserve">Our key governance documents, including our Corporate Governance Guidelines, are available at </w:t>
      </w:r>
      <w:r>
        <w:rPr>
          <w:rFonts w:ascii="Arial" w:eastAsia="Arial" w:hAnsi="Arial" w:cs="Arial"/>
          <w:b w:val="0"/>
          <w:i/>
          <w:color w:val="4495D1"/>
          <w:sz w:val="18"/>
          <w:u w:val="none"/>
        </w:rPr>
        <w:t>https://www.enstargroup.com/corporate-governance</w:t>
      </w:r>
      <w:r>
        <w:rPr>
          <w:rFonts w:ascii="Arial" w:eastAsia="Arial" w:hAnsi="Arial" w:cs="Arial"/>
          <w:b w:val="0"/>
          <w:i w:val="0"/>
          <w:sz w:val="20"/>
        </w:rPr>
        <w:t>.</w:t>
      </w:r>
    </w:p>
    <w:tbl>
      <w:tblPr>
        <w:tblW w:w="102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5"/>
        <w:gridCol w:w="2925"/>
        <w:gridCol w:w="7125"/>
      </w:tblGrid>
      <w:tr>
        <w:tblPrEx>
          <w:tblW w:w="102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trPr>
        <w:tc>
          <w:tcPr>
            <w:tcW w:w="1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92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12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15" w:type="dxa"/>
          <w:tblInd w:w="0" w:type="dxa"/>
          <w:tblLayout w:type="fixed"/>
          <w:tblCellMar>
            <w:left w:w="108" w:type="dxa"/>
            <w:right w:w="108" w:type="dxa"/>
          </w:tblCellMar>
        </w:tblPrEx>
        <w:trPr>
          <w:cantSplit/>
          <w:trHeight w:hRule="exact" w:val="675"/>
        </w:trPr>
        <w:tc>
          <w:tcPr>
            <w:tcW w:w="165" w:type="dxa"/>
            <w:tcBorders>
              <w:top w:val="nil"/>
              <w:left w:val="single" w:sz="16" w:space="0" w:color="4494D1"/>
              <w:bottom w:val="nil"/>
              <w:right w:val="nil"/>
            </w:tcBorders>
            <w:tcMar>
              <w:top w:w="0" w:type="dxa"/>
              <w:left w:w="0" w:type="dxa"/>
              <w:bottom w:w="0" w:type="dxa"/>
              <w:right w:w="0" w:type="dxa"/>
            </w:tcMar>
            <w:vAlign w:val="bottom"/>
          </w:tcPr>
          <w:p>
            <w:pPr>
              <w:keepNext/>
              <w:pageBreakBefore w:val="0"/>
              <w:spacing w:before="0" w:after="0"/>
            </w:pPr>
          </w:p>
        </w:tc>
        <w:tc>
          <w:tcPr>
            <w:tcW w:w="292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i w:val="0"/>
                <w:sz w:val="22"/>
              </w:rPr>
            </w:pPr>
            <w:r>
              <w:rPr>
                <w:rFonts w:ascii="Arial" w:eastAsia="Arial" w:hAnsi="Arial" w:cs="Arial"/>
                <w:b/>
                <w:i w:val="0"/>
                <w:sz w:val="22"/>
              </w:rPr>
              <w:t>Board Composition and Processes</w:t>
            </w:r>
          </w:p>
        </w:tc>
        <w:tc>
          <w:tcPr>
            <w:tcW w:w="712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33"/>
              </w:numPr>
              <w:spacing w:before="53" w:after="120" w:line="288" w:lineRule="auto"/>
              <w:ind w:left="360" w:right="0" w:hanging="270"/>
              <w:jc w:val="left"/>
              <w:outlineLvl w:val="9"/>
              <w:rPr>
                <w:rFonts w:ascii="Arial" w:eastAsia="Arial" w:hAnsi="Arial" w:cs="Arial"/>
                <w:b w:val="0"/>
                <w:i w:val="0"/>
                <w:sz w:val="20"/>
              </w:rPr>
            </w:pPr>
            <w:r>
              <w:rPr>
                <w:rFonts w:ascii="Arial" w:eastAsia="Arial" w:hAnsi="Arial" w:cs="Arial"/>
                <w:b w:val="0"/>
                <w:i w:val="0"/>
                <w:sz w:val="20"/>
              </w:rPr>
              <w:t xml:space="preserve">Eight of our twelve </w:t>
            </w:r>
            <w:r>
              <w:rPr>
                <w:rFonts w:ascii="Arial" w:eastAsia="Arial" w:hAnsi="Arial" w:cs="Arial"/>
                <w:b w:val="0"/>
                <w:i w:val="0"/>
                <w:sz w:val="20"/>
              </w:rPr>
              <w:t xml:space="preserve">director nominees are </w:t>
            </w:r>
            <w:r>
              <w:rPr>
                <w:rFonts w:ascii="Arial" w:eastAsia="Arial" w:hAnsi="Arial" w:cs="Arial"/>
                <w:b w:val="0"/>
                <w:i w:val="0"/>
                <w:sz w:val="20"/>
              </w:rPr>
              <w:t>independent</w:t>
            </w:r>
          </w:p>
          <w:p>
            <w:pPr>
              <w:pageBreakBefore w:val="0"/>
              <w:numPr>
                <w:ilvl w:val="0"/>
                <w:numId w:val="34"/>
              </w:numPr>
              <w:spacing w:before="0" w:after="120" w:line="288" w:lineRule="auto"/>
              <w:ind w:left="360" w:right="0" w:hanging="270"/>
              <w:jc w:val="left"/>
              <w:outlineLvl w:val="9"/>
              <w:rPr>
                <w:rFonts w:ascii="Arial" w:eastAsia="Arial" w:hAnsi="Arial" w:cs="Arial"/>
                <w:b w:val="0"/>
                <w:i w:val="0"/>
                <w:sz w:val="20"/>
              </w:rPr>
            </w:pPr>
            <w:r>
              <w:rPr>
                <w:rFonts w:ascii="Arial" w:eastAsia="Arial" w:hAnsi="Arial" w:cs="Arial"/>
                <w:b w:val="0"/>
                <w:i w:val="0"/>
                <w:sz w:val="20"/>
              </w:rPr>
              <w:t xml:space="preserve">Independent </w:t>
            </w:r>
            <w:r>
              <w:rPr>
                <w:rFonts w:ascii="Arial" w:eastAsia="Arial" w:hAnsi="Arial" w:cs="Arial"/>
                <w:b w:val="0"/>
                <w:i w:val="0"/>
                <w:sz w:val="20"/>
              </w:rPr>
              <w:t>Audit</w:t>
            </w:r>
            <w:r>
              <w:rPr>
                <w:rFonts w:ascii="Arial" w:eastAsia="Arial" w:hAnsi="Arial" w:cs="Arial"/>
                <w:b w:val="0"/>
                <w:i w:val="0"/>
                <w:sz w:val="20"/>
              </w:rPr>
              <w:t>, Human Resources and Compensation</w:t>
            </w:r>
            <w:r>
              <w:rPr>
                <w:rFonts w:ascii="Arial" w:eastAsia="Arial" w:hAnsi="Arial" w:cs="Arial"/>
                <w:b w:val="0"/>
                <w:i w:val="0"/>
                <w:sz w:val="20"/>
              </w:rPr>
              <w:t>, Nominating and Governance Committee, and Risk Committee</w:t>
            </w:r>
            <w:r>
              <w:rPr>
                <w:rFonts w:ascii="Arial" w:eastAsia="Arial" w:hAnsi="Arial" w:cs="Arial"/>
                <w:b w:val="0"/>
                <w:i w:val="0"/>
                <w:sz w:val="20"/>
              </w:rPr>
              <w:t>s</w:t>
            </w:r>
          </w:p>
          <w:p>
            <w:pPr>
              <w:pageBreakBefore w:val="0"/>
              <w:numPr>
                <w:ilvl w:val="0"/>
                <w:numId w:val="35"/>
              </w:numPr>
              <w:spacing w:before="0" w:after="120" w:line="288" w:lineRule="auto"/>
              <w:ind w:left="360" w:right="0" w:hanging="270"/>
              <w:jc w:val="left"/>
              <w:outlineLvl w:val="9"/>
              <w:rPr>
                <w:rFonts w:ascii="Arial" w:eastAsia="Arial" w:hAnsi="Arial" w:cs="Arial"/>
                <w:b w:val="0"/>
                <w:i w:val="0"/>
                <w:sz w:val="20"/>
              </w:rPr>
            </w:pPr>
            <w:r>
              <w:rPr>
                <w:rFonts w:ascii="Arial" w:eastAsia="Arial" w:hAnsi="Arial" w:cs="Arial"/>
                <w:b w:val="0"/>
                <w:i w:val="0"/>
                <w:sz w:val="20"/>
              </w:rPr>
              <w:t xml:space="preserve">Independent </w:t>
            </w:r>
            <w:r>
              <w:rPr>
                <w:rFonts w:ascii="Arial" w:eastAsia="Arial" w:hAnsi="Arial" w:cs="Arial"/>
                <w:b w:val="0"/>
                <w:i w:val="0"/>
                <w:sz w:val="20"/>
              </w:rPr>
              <w:t xml:space="preserve">Board </w:t>
            </w:r>
            <w:r>
              <w:rPr>
                <w:rFonts w:ascii="Arial" w:eastAsia="Arial" w:hAnsi="Arial" w:cs="Arial"/>
                <w:b w:val="0"/>
                <w:i w:val="0"/>
                <w:sz w:val="20"/>
              </w:rPr>
              <w:t xml:space="preserve">Chair </w:t>
            </w:r>
            <w:r>
              <w:rPr>
                <w:rFonts w:ascii="Arial" w:eastAsia="Arial" w:hAnsi="Arial" w:cs="Arial"/>
                <w:b w:val="0"/>
                <w:i w:val="0"/>
                <w:sz w:val="20"/>
              </w:rPr>
              <w:t>with robust duties</w:t>
            </w:r>
          </w:p>
          <w:p>
            <w:pPr>
              <w:pageBreakBefore w:val="0"/>
              <w:numPr>
                <w:ilvl w:val="0"/>
                <w:numId w:val="36"/>
              </w:numPr>
              <w:spacing w:before="0" w:after="120" w:line="288" w:lineRule="auto"/>
              <w:ind w:left="360" w:right="0" w:hanging="270"/>
              <w:jc w:val="left"/>
              <w:outlineLvl w:val="9"/>
              <w:rPr>
                <w:rFonts w:ascii="Arial" w:eastAsia="Arial" w:hAnsi="Arial" w:cs="Arial"/>
                <w:b w:val="0"/>
                <w:i w:val="0"/>
                <w:sz w:val="20"/>
              </w:rPr>
            </w:pPr>
            <w:r>
              <w:rPr>
                <w:rFonts w:ascii="Arial" w:eastAsia="Arial" w:hAnsi="Arial" w:cs="Arial"/>
                <w:b w:val="0"/>
                <w:i w:val="0"/>
                <w:sz w:val="20"/>
              </w:rPr>
              <w:t>Each of our Board Committees are le</w:t>
            </w:r>
            <w:r>
              <w:rPr>
                <w:rFonts w:ascii="Arial" w:eastAsia="Arial" w:hAnsi="Arial" w:cs="Arial"/>
                <w:b w:val="0"/>
                <w:i w:val="0"/>
                <w:sz w:val="20"/>
              </w:rPr>
              <w:t>d by i</w:t>
            </w:r>
            <w:r>
              <w:rPr>
                <w:rFonts w:ascii="Arial" w:eastAsia="Arial" w:hAnsi="Arial" w:cs="Arial"/>
                <w:b w:val="0"/>
                <w:i w:val="0"/>
                <w:sz w:val="20"/>
              </w:rPr>
              <w:t>ndependent directors</w:t>
            </w:r>
          </w:p>
          <w:p>
            <w:pPr>
              <w:pageBreakBefore w:val="0"/>
              <w:numPr>
                <w:ilvl w:val="0"/>
                <w:numId w:val="37"/>
              </w:numPr>
              <w:spacing w:before="0" w:after="120" w:line="288" w:lineRule="auto"/>
              <w:ind w:left="360" w:right="0" w:hanging="270"/>
              <w:jc w:val="left"/>
              <w:outlineLvl w:val="9"/>
              <w:rPr>
                <w:rFonts w:ascii="Arial" w:eastAsia="Arial" w:hAnsi="Arial" w:cs="Arial"/>
                <w:b w:val="0"/>
                <w:i w:val="0"/>
                <w:sz w:val="20"/>
              </w:rPr>
            </w:pPr>
            <w:r>
              <w:rPr>
                <w:rFonts w:ascii="Arial" w:eastAsia="Arial" w:hAnsi="Arial" w:cs="Arial"/>
                <w:b w:val="0"/>
                <w:i w:val="0"/>
                <w:sz w:val="20"/>
              </w:rPr>
              <w:t>Opportunity for executive session</w:t>
            </w:r>
            <w:r>
              <w:rPr>
                <w:rFonts w:ascii="Arial" w:eastAsia="Arial" w:hAnsi="Arial" w:cs="Arial"/>
                <w:b w:val="0"/>
                <w:i w:val="0"/>
                <w:sz w:val="20"/>
              </w:rPr>
              <w:t xml:space="preserve"> of indepe</w:t>
            </w:r>
            <w:r>
              <w:rPr>
                <w:rFonts w:ascii="Arial" w:eastAsia="Arial" w:hAnsi="Arial" w:cs="Arial"/>
                <w:b w:val="0"/>
                <w:i w:val="0"/>
                <w:sz w:val="20"/>
              </w:rPr>
              <w:t>ndent directors (without management present) at every quarterly Board meeting</w:t>
            </w:r>
          </w:p>
          <w:p>
            <w:pPr>
              <w:pageBreakBefore w:val="0"/>
              <w:numPr>
                <w:ilvl w:val="0"/>
                <w:numId w:val="38"/>
              </w:numPr>
              <w:spacing w:before="0" w:after="120" w:line="288" w:lineRule="auto"/>
              <w:ind w:left="360" w:right="0" w:hanging="270"/>
              <w:jc w:val="left"/>
              <w:outlineLvl w:val="9"/>
              <w:rPr>
                <w:rFonts w:ascii="Arial" w:eastAsia="Arial" w:hAnsi="Arial" w:cs="Arial"/>
                <w:b w:val="0"/>
                <w:i w:val="0"/>
                <w:sz w:val="20"/>
              </w:rPr>
            </w:pPr>
            <w:r>
              <w:rPr>
                <w:rFonts w:ascii="Arial" w:eastAsia="Arial" w:hAnsi="Arial" w:cs="Arial"/>
                <w:b w:val="0"/>
                <w:i w:val="0"/>
                <w:sz w:val="20"/>
              </w:rPr>
              <w:t>Annual evaluations of the Board and each Committee</w:t>
            </w:r>
            <w:r>
              <w:rPr>
                <w:rFonts w:ascii="Arial" w:eastAsia="Arial" w:hAnsi="Arial" w:cs="Arial"/>
                <w:b w:val="0"/>
                <w:i w:val="0"/>
                <w:sz w:val="20"/>
              </w:rPr>
              <w:t>, along with individual director self-assessments</w:t>
            </w:r>
          </w:p>
          <w:p>
            <w:pPr>
              <w:pageBreakBefore w:val="0"/>
              <w:numPr>
                <w:ilvl w:val="0"/>
                <w:numId w:val="39"/>
              </w:numPr>
              <w:spacing w:before="0" w:after="120" w:line="288" w:lineRule="auto"/>
              <w:ind w:left="360" w:right="0" w:hanging="270"/>
              <w:jc w:val="left"/>
              <w:outlineLvl w:val="9"/>
              <w:rPr>
                <w:rFonts w:ascii="Arial" w:eastAsia="Arial" w:hAnsi="Arial" w:cs="Arial"/>
                <w:b w:val="0"/>
                <w:i w:val="0"/>
                <w:sz w:val="20"/>
              </w:rPr>
            </w:pPr>
            <w:r>
              <w:rPr>
                <w:rFonts w:ascii="Arial" w:eastAsia="Arial" w:hAnsi="Arial" w:cs="Arial"/>
                <w:b w:val="0"/>
                <w:i w:val="0"/>
                <w:sz w:val="20"/>
              </w:rPr>
              <w:t>Robust share</w:t>
            </w:r>
            <w:r>
              <w:rPr>
                <w:rFonts w:ascii="Arial" w:eastAsia="Arial" w:hAnsi="Arial" w:cs="Arial"/>
                <w:b w:val="0"/>
                <w:i w:val="0"/>
                <w:sz w:val="20"/>
              </w:rPr>
              <w:t xml:space="preserve"> ownership guidelines, including at least 5x the annual Board </w:t>
            </w:r>
            <w:r>
              <w:rPr>
                <w:rFonts w:ascii="Arial" w:eastAsia="Arial" w:hAnsi="Arial" w:cs="Arial"/>
                <w:b w:val="0"/>
                <w:i w:val="0"/>
                <w:sz w:val="20"/>
              </w:rPr>
              <w:t>cash retainer for non-employee directors</w:t>
            </w:r>
          </w:p>
          <w:p>
            <w:pPr>
              <w:pageBreakBefore w:val="0"/>
              <w:numPr>
                <w:ilvl w:val="0"/>
                <w:numId w:val="40"/>
              </w:numPr>
              <w:spacing w:before="0" w:after="120" w:line="288" w:lineRule="auto"/>
              <w:ind w:left="360" w:right="0" w:hanging="270"/>
              <w:jc w:val="left"/>
              <w:outlineLvl w:val="9"/>
              <w:rPr>
                <w:rFonts w:ascii="Arial" w:eastAsia="Arial" w:hAnsi="Arial" w:cs="Arial"/>
                <w:b w:val="0"/>
                <w:i w:val="0"/>
                <w:sz w:val="20"/>
              </w:rPr>
            </w:pPr>
            <w:r>
              <w:rPr>
                <w:rFonts w:ascii="Arial" w:eastAsia="Arial" w:hAnsi="Arial" w:cs="Arial"/>
                <w:b w:val="0"/>
                <w:i w:val="0"/>
                <w:sz w:val="20"/>
              </w:rPr>
              <w:t>No director may serve on more than three public company boards</w:t>
            </w:r>
            <w:r>
              <w:rPr>
                <w:rFonts w:ascii="Arial" w:eastAsia="Arial" w:hAnsi="Arial" w:cs="Arial"/>
                <w:b w:val="0"/>
                <w:i w:val="0"/>
                <w:sz w:val="20"/>
              </w:rPr>
              <w:t xml:space="preserve"> </w:t>
            </w:r>
            <w:r>
              <w:rPr>
                <w:rFonts w:ascii="Arial" w:eastAsia="Arial" w:hAnsi="Arial" w:cs="Arial"/>
                <w:b w:val="0"/>
                <w:i w:val="0"/>
                <w:sz w:val="20"/>
              </w:rPr>
              <w:t xml:space="preserve">(including the Enstar Board), </w:t>
            </w:r>
            <w:r>
              <w:rPr>
                <w:rFonts w:ascii="Arial" w:eastAsia="Arial" w:hAnsi="Arial" w:cs="Arial"/>
                <w:b w:val="0"/>
                <w:i w:val="0"/>
                <w:sz w:val="20"/>
              </w:rPr>
              <w:t xml:space="preserve">without </w:t>
            </w:r>
            <w:r>
              <w:rPr>
                <w:rFonts w:ascii="Arial" w:eastAsia="Arial" w:hAnsi="Arial" w:cs="Arial"/>
                <w:b w:val="0"/>
                <w:i w:val="0"/>
                <w:sz w:val="20"/>
              </w:rPr>
              <w:t>specific approval from</w:t>
            </w:r>
            <w:r>
              <w:rPr>
                <w:rFonts w:ascii="Arial" w:eastAsia="Arial" w:hAnsi="Arial" w:cs="Arial"/>
                <w:b w:val="0"/>
                <w:i w:val="0"/>
                <w:sz w:val="20"/>
              </w:rPr>
              <w:t xml:space="preserve"> our Board Chair</w:t>
            </w:r>
          </w:p>
          <w:p>
            <w:pPr>
              <w:pageBreakBefore w:val="0"/>
              <w:numPr>
                <w:ilvl w:val="0"/>
                <w:numId w:val="41"/>
              </w:numPr>
              <w:spacing w:before="0" w:after="120" w:line="288" w:lineRule="auto"/>
              <w:ind w:left="360" w:right="0" w:hanging="270"/>
              <w:jc w:val="left"/>
              <w:outlineLvl w:val="9"/>
              <w:rPr>
                <w:rFonts w:ascii="Arial" w:eastAsia="Arial" w:hAnsi="Arial" w:cs="Arial"/>
                <w:b w:val="0"/>
                <w:i w:val="0"/>
                <w:sz w:val="20"/>
              </w:rPr>
            </w:pPr>
            <w:r>
              <w:rPr>
                <w:rFonts w:ascii="Arial" w:eastAsia="Arial" w:hAnsi="Arial" w:cs="Arial"/>
                <w:b w:val="0"/>
                <w:i w:val="0"/>
                <w:sz w:val="20"/>
              </w:rPr>
              <w:t>Established mu</w:t>
            </w:r>
            <w:r>
              <w:rPr>
                <w:rFonts w:ascii="Arial" w:eastAsia="Arial" w:hAnsi="Arial" w:cs="Arial"/>
                <w:b w:val="0"/>
                <w:i w:val="0"/>
                <w:sz w:val="20"/>
              </w:rPr>
              <w:t>l</w:t>
            </w:r>
            <w:r>
              <w:rPr>
                <w:rFonts w:ascii="Arial" w:eastAsia="Arial" w:hAnsi="Arial" w:cs="Arial"/>
                <w:b w:val="0"/>
                <w:i w:val="0"/>
                <w:sz w:val="20"/>
              </w:rPr>
              <w:t>ti-faceted orientation, continuing education and training programs for directors, overseen by our Nominating and Governance Committee</w:t>
            </w:r>
          </w:p>
          <w:p>
            <w:pPr>
              <w:pageBreakBefore w:val="0"/>
              <w:numPr>
                <w:ilvl w:val="0"/>
                <w:numId w:val="42"/>
              </w:numPr>
              <w:spacing w:before="0" w:after="120" w:line="288" w:lineRule="auto"/>
              <w:ind w:left="360" w:right="0" w:hanging="270"/>
              <w:jc w:val="left"/>
              <w:outlineLvl w:val="9"/>
              <w:rPr>
                <w:rFonts w:ascii="Arial" w:eastAsia="Arial" w:hAnsi="Arial" w:cs="Arial"/>
                <w:b w:val="0"/>
                <w:i w:val="0"/>
                <w:sz w:val="20"/>
              </w:rPr>
            </w:pPr>
            <w:r>
              <w:rPr>
                <w:rFonts w:ascii="Arial" w:eastAsia="Arial" w:hAnsi="Arial" w:cs="Arial"/>
                <w:b w:val="0"/>
                <w:i w:val="0"/>
                <w:sz w:val="20"/>
              </w:rPr>
              <w:t xml:space="preserve">Stringent Clawback Policy </w:t>
            </w:r>
            <w:r>
              <w:rPr>
                <w:rFonts w:ascii="Arial" w:eastAsia="Arial" w:hAnsi="Arial" w:cs="Arial"/>
                <w:b w:val="0"/>
                <w:i w:val="0"/>
                <w:sz w:val="20"/>
              </w:rPr>
              <w:t>applicable to directors and executiv</w:t>
            </w:r>
            <w:r>
              <w:rPr>
                <w:rFonts w:ascii="Arial" w:eastAsia="Arial" w:hAnsi="Arial" w:cs="Arial"/>
                <w:b w:val="0"/>
                <w:i w:val="0"/>
                <w:sz w:val="20"/>
              </w:rPr>
              <w:t xml:space="preserve">es </w:t>
            </w:r>
            <w:r>
              <w:rPr>
                <w:rFonts w:ascii="Arial" w:eastAsia="Arial" w:hAnsi="Arial" w:cs="Arial"/>
                <w:b w:val="0"/>
                <w:i w:val="0"/>
                <w:sz w:val="20"/>
              </w:rPr>
              <w:t>and prohibi</w:t>
            </w:r>
            <w:r>
              <w:rPr>
                <w:rFonts w:ascii="Arial" w:eastAsia="Arial" w:hAnsi="Arial" w:cs="Arial"/>
                <w:b w:val="0"/>
                <w:i w:val="0"/>
                <w:sz w:val="20"/>
              </w:rPr>
              <w:t xml:space="preserve">tion </w:t>
            </w:r>
            <w:r>
              <w:rPr>
                <w:rFonts w:ascii="Arial" w:eastAsia="Arial" w:hAnsi="Arial" w:cs="Arial"/>
                <w:b w:val="0"/>
                <w:i w:val="0"/>
                <w:sz w:val="20"/>
              </w:rPr>
              <w:t>against hedging of En</w:t>
            </w:r>
            <w:r>
              <w:rPr>
                <w:rFonts w:ascii="Arial" w:eastAsia="Arial" w:hAnsi="Arial" w:cs="Arial"/>
                <w:b w:val="0"/>
                <w:i w:val="0"/>
                <w:sz w:val="20"/>
              </w:rPr>
              <w:t>star shares</w:t>
            </w:r>
          </w:p>
          <w:p>
            <w:pPr>
              <w:pageBreakBefore w:val="0"/>
              <w:numPr>
                <w:ilvl w:val="0"/>
                <w:numId w:val="43"/>
              </w:numPr>
              <w:spacing w:before="0" w:after="30" w:line="288" w:lineRule="auto"/>
              <w:ind w:left="360" w:right="0" w:hanging="270"/>
              <w:jc w:val="left"/>
              <w:outlineLvl w:val="9"/>
              <w:rPr>
                <w:rFonts w:ascii="Arial" w:eastAsia="Arial" w:hAnsi="Arial" w:cs="Arial"/>
                <w:b w:val="0"/>
                <w:i w:val="0"/>
                <w:sz w:val="20"/>
              </w:rPr>
            </w:pPr>
            <w:r>
              <w:rPr>
                <w:rFonts w:ascii="Arial" w:eastAsia="Arial" w:hAnsi="Arial" w:cs="Arial"/>
                <w:b w:val="0"/>
                <w:i w:val="0"/>
                <w:sz w:val="20"/>
              </w:rPr>
              <w:t>Board oversight of executive succession planning and human capital management</w:t>
            </w:r>
            <w:r>
              <w:rPr>
                <w:rFonts w:ascii="Arial" w:eastAsia="Arial" w:hAnsi="Arial" w:cs="Arial"/>
                <w:b w:val="0"/>
                <w:i w:val="0"/>
                <w:sz w:val="20"/>
              </w:rPr>
              <w:t>, including culture and DE&amp;I</w:t>
            </w:r>
          </w:p>
        </w:tc>
      </w:tr>
      <w:tr>
        <w:tblPrEx>
          <w:tblW w:w="10215" w:type="dxa"/>
          <w:tblInd w:w="0" w:type="dxa"/>
          <w:tblLayout w:type="fixed"/>
          <w:tblCellMar>
            <w:left w:w="108" w:type="dxa"/>
            <w:right w:w="108" w:type="dxa"/>
          </w:tblCellMar>
        </w:tblPrEx>
        <w:trPr>
          <w:cantSplit/>
          <w:trHeight w:hRule="exact" w:val="5565"/>
        </w:trPr>
        <w:tc>
          <w:tcPr>
            <w:tcW w:w="1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92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125" w:type="dxa"/>
            <w:vMerge/>
            <w:tcBorders>
              <w:top w:val="nil"/>
              <w:left w:val="nil"/>
              <w:bottom w:val="nil"/>
              <w:right w:val="nil"/>
            </w:tcBorders>
          </w:tcPr>
          <w:p>
            <w:pPr>
              <w:keepNext/>
              <w:pageBreakBefore w:val="0"/>
            </w:pPr>
          </w:p>
        </w:tc>
      </w:tr>
      <w:tr>
        <w:tblPrEx>
          <w:tblW w:w="10215" w:type="dxa"/>
          <w:tblInd w:w="0" w:type="dxa"/>
          <w:tblLayout w:type="fixed"/>
          <w:tblCellMar>
            <w:left w:w="108" w:type="dxa"/>
            <w:right w:w="108" w:type="dxa"/>
          </w:tblCellMar>
        </w:tblPrEx>
        <w:trPr>
          <w:cantSplit/>
          <w:trHeight w:hRule="exact" w:val="405"/>
        </w:trPr>
        <w:tc>
          <w:tcPr>
            <w:tcW w:w="1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925" w:type="dxa"/>
            <w:tcBorders>
              <w:top w:val="nil"/>
              <w:left w:val="nil"/>
              <w:bottom w:val="nil"/>
              <w:right w:val="nil"/>
            </w:tcBorders>
            <w:tcMar>
              <w:top w:w="0" w:type="dxa"/>
              <w:left w:w="53" w:type="dxa"/>
              <w:bottom w:w="0" w:type="dxa"/>
              <w:right w:w="53" w:type="dxa"/>
            </w:tcMar>
            <w:vAlign w:val="center"/>
          </w:tcPr>
          <w:p>
            <w:pPr>
              <w:keepNext/>
              <w:pageBreakBefore w:val="0"/>
              <w:spacing w:before="0" w:after="0" w:line="288" w:lineRule="auto"/>
              <w:jc w:val="left"/>
            </w:pPr>
          </w:p>
        </w:tc>
        <w:tc>
          <w:tcPr>
            <w:tcW w:w="7125" w:type="dxa"/>
            <w:tcBorders>
              <w:top w:val="nil"/>
              <w:left w:val="nil"/>
              <w:bottom w:val="single" w:sz="12" w:space="0" w:color="4494D1"/>
              <w:right w:val="nil"/>
            </w:tcBorders>
            <w:tcMar>
              <w:top w:w="0" w:type="dxa"/>
              <w:left w:w="53" w:type="dxa"/>
              <w:bottom w:w="0" w:type="dxa"/>
              <w:right w:w="53" w:type="dxa"/>
            </w:tcMar>
            <w:vAlign w:val="center"/>
          </w:tcPr>
          <w:p>
            <w:pPr>
              <w:keepNext/>
              <w:pageBreakBefore w:val="0"/>
              <w:spacing w:before="0" w:after="0" w:line="288" w:lineRule="auto"/>
              <w:jc w:val="both"/>
            </w:pPr>
          </w:p>
        </w:tc>
      </w:tr>
      <w:tr>
        <w:tblPrEx>
          <w:tblW w:w="10215" w:type="dxa"/>
          <w:tblInd w:w="0" w:type="dxa"/>
          <w:tblLayout w:type="fixed"/>
          <w:tblCellMar>
            <w:left w:w="108" w:type="dxa"/>
            <w:right w:w="108" w:type="dxa"/>
          </w:tblCellMar>
        </w:tblPrEx>
        <w:trPr>
          <w:cantSplit/>
          <w:trHeight w:hRule="exact" w:val="405"/>
        </w:trPr>
        <w:tc>
          <w:tcPr>
            <w:tcW w:w="1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925" w:type="dxa"/>
            <w:tcBorders>
              <w:top w:val="nil"/>
              <w:left w:val="nil"/>
              <w:bottom w:val="nil"/>
              <w:right w:val="nil"/>
            </w:tcBorders>
            <w:tcMar>
              <w:top w:w="0" w:type="dxa"/>
              <w:left w:w="53" w:type="dxa"/>
              <w:bottom w:w="0" w:type="dxa"/>
              <w:right w:w="53" w:type="dxa"/>
            </w:tcMar>
            <w:vAlign w:val="center"/>
          </w:tcPr>
          <w:p>
            <w:pPr>
              <w:keepNext/>
              <w:pageBreakBefore w:val="0"/>
              <w:spacing w:before="0" w:after="0" w:line="288" w:lineRule="auto"/>
              <w:jc w:val="left"/>
            </w:pPr>
          </w:p>
        </w:tc>
        <w:tc>
          <w:tcPr>
            <w:tcW w:w="7125" w:type="dxa"/>
            <w:tcBorders>
              <w:top w:val="single" w:sz="12" w:space="0" w:color="4494D1"/>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both"/>
              <w:outlineLvl w:val="9"/>
              <w:rPr>
                <w:rFonts w:ascii="Arial" w:eastAsia="Arial" w:hAnsi="Arial" w:cs="Arial"/>
                <w:b w:val="0"/>
                <w:i w:val="0"/>
                <w:color w:val="4494D1"/>
                <w:sz w:val="18"/>
                <w:u w:val="none"/>
              </w:rPr>
            </w:pPr>
          </w:p>
        </w:tc>
      </w:tr>
      <w:tr>
        <w:tblPrEx>
          <w:tblW w:w="10215" w:type="dxa"/>
          <w:tblInd w:w="0" w:type="dxa"/>
          <w:tblLayout w:type="fixed"/>
          <w:tblCellMar>
            <w:left w:w="108" w:type="dxa"/>
            <w:right w:w="108" w:type="dxa"/>
          </w:tblCellMar>
        </w:tblPrEx>
        <w:trPr>
          <w:cantSplit/>
          <w:trHeight w:hRule="exact" w:val="675"/>
        </w:trPr>
        <w:tc>
          <w:tcPr>
            <w:tcW w:w="165" w:type="dxa"/>
            <w:tcBorders>
              <w:top w:val="nil"/>
              <w:left w:val="single" w:sz="16" w:space="0" w:color="4494D1"/>
              <w:bottom w:val="nil"/>
              <w:right w:val="nil"/>
            </w:tcBorders>
            <w:tcMar>
              <w:top w:w="0" w:type="dxa"/>
              <w:left w:w="0" w:type="dxa"/>
              <w:bottom w:w="0" w:type="dxa"/>
              <w:right w:w="0" w:type="dxa"/>
            </w:tcMar>
            <w:vAlign w:val="bottom"/>
          </w:tcPr>
          <w:p>
            <w:pPr>
              <w:keepNext/>
              <w:pageBreakBefore w:val="0"/>
              <w:spacing w:before="0" w:after="0"/>
            </w:pPr>
          </w:p>
        </w:tc>
        <w:tc>
          <w:tcPr>
            <w:tcW w:w="292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i w:val="0"/>
                <w:sz w:val="22"/>
              </w:rPr>
            </w:pPr>
            <w:r>
              <w:rPr>
                <w:rFonts w:ascii="Arial" w:eastAsia="Arial" w:hAnsi="Arial" w:cs="Arial"/>
                <w:b/>
                <w:i w:val="0"/>
                <w:sz w:val="22"/>
              </w:rPr>
              <w:t xml:space="preserve">Shareholder </w:t>
            </w:r>
          </w:p>
          <w:p>
            <w:pPr>
              <w:pageBreakBefore w:val="0"/>
              <w:numPr>
                <w:ilvl w:val="0"/>
                <w:numId w:val="0"/>
              </w:numPr>
              <w:spacing w:before="0" w:after="0" w:line="288" w:lineRule="auto"/>
              <w:ind w:left="0" w:right="0" w:firstLine="0"/>
              <w:jc w:val="left"/>
              <w:outlineLvl w:val="9"/>
              <w:rPr>
                <w:rFonts w:ascii="Arial" w:eastAsia="Arial" w:hAnsi="Arial" w:cs="Arial"/>
                <w:b/>
                <w:i w:val="0"/>
                <w:sz w:val="22"/>
              </w:rPr>
            </w:pPr>
            <w:r>
              <w:rPr>
                <w:rFonts w:ascii="Arial" w:eastAsia="Arial" w:hAnsi="Arial" w:cs="Arial"/>
                <w:b/>
                <w:i w:val="0"/>
                <w:sz w:val="22"/>
              </w:rPr>
              <w:t>Rights</w:t>
            </w:r>
          </w:p>
        </w:tc>
        <w:tc>
          <w:tcPr>
            <w:tcW w:w="712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27"/>
              </w:numPr>
              <w:spacing w:before="53" w:after="120" w:line="288" w:lineRule="auto"/>
              <w:ind w:left="360" w:right="0" w:hanging="270"/>
              <w:jc w:val="left"/>
              <w:outlineLvl w:val="9"/>
              <w:rPr>
                <w:rFonts w:ascii="Arial" w:eastAsia="Arial" w:hAnsi="Arial" w:cs="Arial"/>
                <w:b w:val="0"/>
                <w:i w:val="0"/>
                <w:sz w:val="20"/>
              </w:rPr>
            </w:pPr>
            <w:r>
              <w:rPr>
                <w:rFonts w:ascii="Arial" w:eastAsia="Arial" w:hAnsi="Arial" w:cs="Arial"/>
                <w:b w:val="0"/>
                <w:i w:val="0"/>
                <w:sz w:val="20"/>
              </w:rPr>
              <w:t>A</w:t>
            </w:r>
            <w:r>
              <w:rPr>
                <w:rFonts w:ascii="Arial" w:eastAsia="Arial" w:hAnsi="Arial" w:cs="Arial"/>
                <w:b w:val="0"/>
                <w:i w:val="0"/>
                <w:sz w:val="20"/>
              </w:rPr>
              <w:t>nnua</w:t>
            </w:r>
            <w:r>
              <w:rPr>
                <w:rFonts w:ascii="Arial" w:eastAsia="Arial" w:hAnsi="Arial" w:cs="Arial"/>
                <w:b w:val="0"/>
                <w:i w:val="0"/>
                <w:sz w:val="20"/>
              </w:rPr>
              <w:t>l</w:t>
            </w:r>
            <w:r>
              <w:rPr>
                <w:rFonts w:ascii="Arial" w:eastAsia="Arial" w:hAnsi="Arial" w:cs="Arial"/>
                <w:b w:val="0"/>
                <w:i w:val="0"/>
                <w:sz w:val="20"/>
              </w:rPr>
              <w:t xml:space="preserve"> election of directors, with majority voting in uncontested elections</w:t>
            </w:r>
          </w:p>
          <w:p>
            <w:pPr>
              <w:pageBreakBefore w:val="0"/>
              <w:numPr>
                <w:ilvl w:val="0"/>
                <w:numId w:val="28"/>
              </w:numPr>
              <w:spacing w:before="0" w:after="120" w:line="288" w:lineRule="auto"/>
              <w:ind w:left="360" w:right="0" w:hanging="270"/>
              <w:jc w:val="left"/>
              <w:outlineLvl w:val="9"/>
              <w:rPr>
                <w:rFonts w:ascii="Arial" w:eastAsia="Arial" w:hAnsi="Arial" w:cs="Arial"/>
                <w:b w:val="0"/>
                <w:i w:val="0"/>
                <w:sz w:val="20"/>
              </w:rPr>
            </w:pPr>
            <w:r>
              <w:rPr>
                <w:rFonts w:ascii="Arial" w:eastAsia="Arial" w:hAnsi="Arial" w:cs="Arial"/>
                <w:b w:val="0"/>
                <w:i w:val="0"/>
                <w:sz w:val="20"/>
              </w:rPr>
              <w:t xml:space="preserve">10% threshold </w:t>
            </w:r>
            <w:r>
              <w:rPr>
                <w:rFonts w:ascii="Arial" w:eastAsia="Arial" w:hAnsi="Arial" w:cs="Arial"/>
                <w:b w:val="0"/>
                <w:i w:val="0"/>
                <w:sz w:val="20"/>
              </w:rPr>
              <w:t>(of paid up share capital of the Company</w:t>
            </w:r>
            <w:r>
              <w:rPr>
                <w:rFonts w:ascii="Arial" w:eastAsia="Arial" w:hAnsi="Arial" w:cs="Arial"/>
                <w:b w:val="0"/>
                <w:i w:val="0"/>
                <w:sz w:val="20"/>
              </w:rPr>
              <w:t xml:space="preserve"> h</w:t>
            </w:r>
            <w:r>
              <w:rPr>
                <w:rFonts w:ascii="Arial" w:eastAsia="Arial" w:hAnsi="Arial" w:cs="Arial"/>
                <w:b w:val="0"/>
                <w:i w:val="0"/>
                <w:sz w:val="20"/>
              </w:rPr>
              <w:t>aving</w:t>
            </w:r>
            <w:r>
              <w:rPr>
                <w:rFonts w:ascii="Arial" w:eastAsia="Arial" w:hAnsi="Arial" w:cs="Arial"/>
                <w:b w:val="0"/>
                <w:i w:val="0"/>
                <w:sz w:val="20"/>
              </w:rPr>
              <w:t xml:space="preserve"> the </w:t>
            </w:r>
            <w:r>
              <w:rPr>
                <w:rFonts w:ascii="Arial" w:eastAsia="Arial" w:hAnsi="Arial" w:cs="Arial"/>
                <w:b w:val="0"/>
                <w:i w:val="0"/>
                <w:sz w:val="20"/>
              </w:rPr>
              <w:t>r</w:t>
            </w:r>
            <w:r>
              <w:rPr>
                <w:rFonts w:ascii="Arial" w:eastAsia="Arial" w:hAnsi="Arial" w:cs="Arial"/>
                <w:b w:val="0"/>
                <w:i w:val="0"/>
                <w:sz w:val="20"/>
              </w:rPr>
              <w:t>igh</w:t>
            </w:r>
            <w:r>
              <w:rPr>
                <w:rFonts w:ascii="Arial" w:eastAsia="Arial" w:hAnsi="Arial" w:cs="Arial"/>
                <w:b w:val="0"/>
                <w:i w:val="0"/>
                <w:sz w:val="20"/>
              </w:rPr>
              <w:t xml:space="preserve">t </w:t>
            </w:r>
            <w:r>
              <w:rPr>
                <w:rFonts w:ascii="Arial" w:eastAsia="Arial" w:hAnsi="Arial" w:cs="Arial"/>
                <w:b w:val="0"/>
                <w:i w:val="0"/>
                <w:sz w:val="20"/>
              </w:rPr>
              <w:t>vote</w:t>
            </w:r>
            <w:r>
              <w:rPr>
                <w:rFonts w:ascii="Arial" w:eastAsia="Arial" w:hAnsi="Arial" w:cs="Arial"/>
                <w:b w:val="0"/>
                <w:i w:val="0"/>
                <w:sz w:val="20"/>
              </w:rPr>
              <w:t xml:space="preserve"> at general meetings</w:t>
            </w:r>
            <w:r>
              <w:rPr>
                <w:rFonts w:ascii="Arial" w:eastAsia="Arial" w:hAnsi="Arial" w:cs="Arial"/>
                <w:b w:val="0"/>
                <w:i w:val="0"/>
                <w:sz w:val="20"/>
              </w:rPr>
              <w:t xml:space="preserve">) </w:t>
            </w:r>
            <w:r>
              <w:rPr>
                <w:rFonts w:ascii="Arial" w:eastAsia="Arial" w:hAnsi="Arial" w:cs="Arial"/>
                <w:b w:val="0"/>
                <w:i w:val="0"/>
                <w:sz w:val="20"/>
              </w:rPr>
              <w:t>for shareholders to call a</w:t>
            </w:r>
            <w:r>
              <w:rPr>
                <w:rFonts w:ascii="Arial" w:eastAsia="Arial" w:hAnsi="Arial" w:cs="Arial"/>
                <w:b w:val="0"/>
                <w:i w:val="0"/>
                <w:sz w:val="20"/>
              </w:rPr>
              <w:t xml:space="preserve"> special meeting</w:t>
            </w:r>
          </w:p>
          <w:p>
            <w:pPr>
              <w:pageBreakBefore w:val="0"/>
              <w:numPr>
                <w:ilvl w:val="0"/>
                <w:numId w:val="29"/>
              </w:numPr>
              <w:spacing w:before="0" w:after="120" w:line="288" w:lineRule="auto"/>
              <w:ind w:left="360" w:right="0" w:hanging="270"/>
              <w:jc w:val="left"/>
              <w:outlineLvl w:val="9"/>
              <w:rPr>
                <w:rFonts w:ascii="Arial" w:eastAsia="Arial" w:hAnsi="Arial" w:cs="Arial"/>
                <w:b w:val="0"/>
                <w:i w:val="0"/>
                <w:sz w:val="20"/>
              </w:rPr>
            </w:pPr>
            <w:r>
              <w:rPr>
                <w:rFonts w:ascii="Arial" w:eastAsia="Arial" w:hAnsi="Arial" w:cs="Arial"/>
                <w:b w:val="0"/>
                <w:i w:val="0"/>
                <w:sz w:val="20"/>
              </w:rPr>
              <w:t>A</w:t>
            </w:r>
            <w:r>
              <w:rPr>
                <w:rFonts w:ascii="Arial" w:eastAsia="Arial" w:hAnsi="Arial" w:cs="Arial"/>
                <w:b w:val="0"/>
                <w:i w:val="0"/>
                <w:sz w:val="20"/>
              </w:rPr>
              <w:t>nnual</w:t>
            </w:r>
            <w:r>
              <w:rPr>
                <w:rFonts w:ascii="Arial" w:eastAsia="Arial" w:hAnsi="Arial" w:cs="Arial"/>
                <w:b w:val="0"/>
                <w:i w:val="0"/>
                <w:sz w:val="20"/>
              </w:rPr>
              <w:t xml:space="preserve"> </w:t>
            </w:r>
            <w:r>
              <w:rPr>
                <w:rFonts w:ascii="Arial" w:eastAsia="Arial" w:hAnsi="Arial" w:cs="Arial"/>
                <w:b w:val="0"/>
                <w:i w:val="0"/>
                <w:sz w:val="20"/>
              </w:rPr>
              <w:t>shareholder engagement program that solicits feedback from shareholders and proxy advisory firms on various matters such as corporate governance, our compensation programs, and sustainability</w:t>
            </w:r>
          </w:p>
          <w:p>
            <w:pPr>
              <w:pageBreakBefore w:val="0"/>
              <w:numPr>
                <w:ilvl w:val="0"/>
                <w:numId w:val="30"/>
              </w:numPr>
              <w:spacing w:before="0" w:after="120" w:line="288" w:lineRule="auto"/>
              <w:ind w:left="360" w:right="0" w:hanging="270"/>
              <w:jc w:val="left"/>
              <w:outlineLvl w:val="9"/>
              <w:rPr>
                <w:rFonts w:ascii="Arial" w:eastAsia="Arial" w:hAnsi="Arial" w:cs="Arial"/>
                <w:b w:val="0"/>
                <w:i w:val="0"/>
                <w:sz w:val="20"/>
              </w:rPr>
            </w:pPr>
            <w:r>
              <w:rPr>
                <w:rFonts w:ascii="Arial" w:eastAsia="Arial" w:hAnsi="Arial" w:cs="Arial"/>
                <w:b w:val="0"/>
                <w:i w:val="0"/>
                <w:sz w:val="20"/>
              </w:rPr>
              <w:t xml:space="preserve">No </w:t>
            </w:r>
            <w:r>
              <w:rPr>
                <w:rFonts w:ascii="Arial" w:eastAsia="Arial" w:hAnsi="Arial" w:cs="Arial"/>
                <w:b w:val="0"/>
                <w:i w:val="0"/>
                <w:sz w:val="20"/>
              </w:rPr>
              <w:t>shareholder rights plan, commonly known as a "poison pill</w:t>
            </w:r>
            <w:r>
              <w:rPr>
                <w:rFonts w:ascii="Arial" w:eastAsia="Arial" w:hAnsi="Arial" w:cs="Arial"/>
                <w:b w:val="0"/>
                <w:i w:val="0"/>
                <w:sz w:val="20"/>
              </w:rPr>
              <w:t>"</w:t>
            </w:r>
          </w:p>
          <w:p>
            <w:pPr>
              <w:pageBreakBefore w:val="0"/>
              <w:numPr>
                <w:ilvl w:val="0"/>
                <w:numId w:val="31"/>
              </w:numPr>
              <w:spacing w:before="0" w:after="120" w:line="288" w:lineRule="auto"/>
              <w:ind w:left="360" w:right="0" w:hanging="270"/>
              <w:jc w:val="left"/>
              <w:outlineLvl w:val="9"/>
              <w:rPr>
                <w:rFonts w:ascii="Arial" w:eastAsia="Arial" w:hAnsi="Arial" w:cs="Arial"/>
                <w:b w:val="0"/>
                <w:i w:val="0"/>
                <w:sz w:val="20"/>
              </w:rPr>
            </w:pPr>
            <w:r>
              <w:rPr>
                <w:rFonts w:ascii="Arial" w:eastAsia="Arial" w:hAnsi="Arial" w:cs="Arial"/>
                <w:b w:val="0"/>
                <w:i w:val="0"/>
                <w:sz w:val="20"/>
              </w:rPr>
              <w:t>Annual advisory vote on executive compensation</w:t>
            </w:r>
          </w:p>
          <w:p>
            <w:pPr>
              <w:pageBreakBefore w:val="0"/>
              <w:numPr>
                <w:ilvl w:val="0"/>
                <w:numId w:val="32"/>
              </w:numPr>
              <w:spacing w:before="0" w:after="30" w:line="288" w:lineRule="auto"/>
              <w:ind w:left="360" w:right="0" w:hanging="270"/>
              <w:jc w:val="left"/>
              <w:outlineLvl w:val="9"/>
              <w:rPr>
                <w:rFonts w:ascii="Arial" w:eastAsia="Arial" w:hAnsi="Arial" w:cs="Arial"/>
                <w:b w:val="0"/>
                <w:i w:val="0"/>
                <w:sz w:val="20"/>
              </w:rPr>
            </w:pPr>
            <w:r>
              <w:rPr>
                <w:rFonts w:ascii="Arial" w:eastAsia="Arial" w:hAnsi="Arial" w:cs="Arial"/>
                <w:b w:val="0"/>
                <w:i w:val="0"/>
                <w:sz w:val="20"/>
              </w:rPr>
              <w:t>Shareholder communication proc</w:t>
            </w:r>
            <w:r>
              <w:rPr>
                <w:rFonts w:ascii="Arial" w:eastAsia="Arial" w:hAnsi="Arial" w:cs="Arial"/>
                <w:b w:val="0"/>
                <w:i w:val="0"/>
                <w:sz w:val="20"/>
              </w:rPr>
              <w:t xml:space="preserve">ess for communicating with </w:t>
            </w:r>
            <w:r>
              <w:rPr>
                <w:rFonts w:ascii="Arial" w:eastAsia="Arial" w:hAnsi="Arial" w:cs="Arial"/>
                <w:b w:val="0"/>
                <w:i w:val="0"/>
                <w:sz w:val="20"/>
              </w:rPr>
              <w:t>the Board</w:t>
            </w:r>
          </w:p>
        </w:tc>
      </w:tr>
      <w:tr>
        <w:tblPrEx>
          <w:tblW w:w="10215" w:type="dxa"/>
          <w:tblInd w:w="0" w:type="dxa"/>
          <w:tblLayout w:type="fixed"/>
          <w:tblCellMar>
            <w:left w:w="108" w:type="dxa"/>
            <w:right w:w="108" w:type="dxa"/>
          </w:tblCellMar>
        </w:tblPrEx>
        <w:trPr>
          <w:cantSplit/>
          <w:trHeight w:hRule="exact" w:val="2205"/>
        </w:trPr>
        <w:tc>
          <w:tcPr>
            <w:tcW w:w="16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292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7125" w:type="dxa"/>
            <w:vMerge/>
            <w:tcBorders>
              <w:top w:val="nil"/>
              <w:left w:val="nil"/>
              <w:bottom w:val="nil"/>
              <w:right w:val="nil"/>
            </w:tcBorders>
          </w:tcPr>
          <w:p>
            <w:pPr>
              <w:pageBreakBefore w:val="0"/>
            </w:pP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i w:val="0"/>
          <w:color w:val="4494D1"/>
          <w:sz w:val="20"/>
          <w:u w:val="none"/>
        </w:rPr>
      </w:pPr>
    </w:p>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i w:val="0"/>
          <w:color w:val="4494D1"/>
          <w:sz w:val="20"/>
          <w:u w:val="none"/>
        </w:rPr>
        <w:sectPr>
          <w:headerReference w:type="default" r:id="rId37"/>
          <w:footerReference w:type="default" r:id="rId38"/>
          <w:pgSz w:w="12240" w:h="15840"/>
          <w:pgMar w:top="855" w:right="990" w:bottom="855" w:left="990" w:header="180" w:footer="270"/>
          <w:pgNumType w:fmt="lowerRoman"/>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4"/>
          <w:u w:val="none"/>
        </w:rPr>
      </w:pPr>
      <w:bookmarkStart w:id="10" w:name="Section13"/>
      <w:bookmarkEnd w:id="10"/>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VOTING MATTERS AND VOTE RECOMMENDATIONS</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600"/>
        <w:gridCol w:w="195"/>
        <w:gridCol w:w="6795"/>
        <w:gridCol w:w="195"/>
        <w:gridCol w:w="247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0"/>
        </w:trPr>
        <w:tc>
          <w:tcPr>
            <w:tcW w:w="7590" w:type="dxa"/>
            <w:gridSpan w:val="3"/>
            <w:tcBorders>
              <w:top w:val="nil"/>
              <w:left w:val="nil"/>
              <w:bottom w:val="single" w:sz="12" w:space="0" w:color="4494D1"/>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180"/>
              <w:jc w:val="left"/>
              <w:outlineLvl w:val="9"/>
              <w:rPr>
                <w:rFonts w:ascii="Arial" w:eastAsia="Arial" w:hAnsi="Arial" w:cs="Arial"/>
                <w:b/>
                <w:i w:val="0"/>
                <w:sz w:val="18"/>
              </w:rPr>
            </w:pPr>
          </w:p>
          <w:p>
            <w:pPr>
              <w:pageBreakBefore w:val="0"/>
              <w:numPr>
                <w:ilvl w:val="0"/>
                <w:numId w:val="0"/>
              </w:numPr>
              <w:spacing w:before="0"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Proposals</w:t>
            </w:r>
          </w:p>
        </w:tc>
        <w:tc>
          <w:tcPr>
            <w:tcW w:w="195" w:type="dxa"/>
            <w:tcBorders>
              <w:top w:val="nil"/>
              <w:left w:val="nil"/>
              <w:bottom w:val="single" w:sz="12" w:space="0" w:color="4494D1"/>
              <w:right w:val="nil"/>
            </w:tcBorders>
            <w:tcMar>
              <w:top w:w="0" w:type="dxa"/>
              <w:left w:w="0" w:type="dxa"/>
              <w:bottom w:w="0" w:type="dxa"/>
              <w:right w:w="0" w:type="dxa"/>
            </w:tcMar>
            <w:vAlign w:val="bottom"/>
          </w:tcPr>
          <w:p>
            <w:pPr>
              <w:keepNext/>
              <w:pageBreakBefore w:val="0"/>
              <w:spacing w:before="0" w:after="0"/>
            </w:pPr>
          </w:p>
        </w:tc>
        <w:tc>
          <w:tcPr>
            <w:tcW w:w="2475" w:type="dxa"/>
            <w:tcBorders>
              <w:top w:val="nil"/>
              <w:left w:val="nil"/>
              <w:bottom w:val="single" w:sz="12" w:space="0" w:color="4494D1"/>
              <w:right w:val="nil"/>
            </w:tcBorders>
            <w:tcMar>
              <w:top w:w="0" w:type="dxa"/>
              <w:left w:w="53" w:type="dxa"/>
              <w:bottom w:w="0" w:type="dxa"/>
              <w:right w:w="53" w:type="dxa"/>
            </w:tcMar>
            <w:vAlign w:val="center"/>
          </w:tcPr>
          <w:p>
            <w:pPr>
              <w:keepNext/>
              <w:pageBreakBefore w:val="0"/>
              <w:spacing w:before="0" w:after="0" w:line="300" w:lineRule="auto"/>
              <w:jc w:val="left"/>
            </w:pPr>
            <w:r>
              <w:rPr>
                <w:rFonts w:ascii="Arial" w:eastAsia="Arial" w:hAnsi="Arial" w:cs="Arial"/>
                <w:b/>
                <w:i w:val="0"/>
                <w:color w:val="000000"/>
                <w:sz w:val="18"/>
                <w:u w:val="none"/>
              </w:rPr>
              <w:t>Board Recommendation and Page Reference</w:t>
            </w:r>
          </w:p>
        </w:tc>
      </w:tr>
      <w:tr>
        <w:tblPrEx>
          <w:tblW w:w="10260" w:type="dxa"/>
          <w:tblInd w:w="0" w:type="dxa"/>
          <w:tblLayout w:type="fixed"/>
          <w:tblCellMar>
            <w:left w:w="108" w:type="dxa"/>
            <w:right w:w="108" w:type="dxa"/>
          </w:tblCellMar>
        </w:tblPrEx>
        <w:trPr>
          <w:cantSplit/>
          <w:trHeight w:hRule="exact" w:val="1305"/>
        </w:trPr>
        <w:tc>
          <w:tcPr>
            <w:tcW w:w="600" w:type="dxa"/>
            <w:vMerge w:val="restart"/>
            <w:tcBorders>
              <w:top w:val="nil"/>
              <w:left w:val="nil"/>
              <w:bottom w:val="nil"/>
              <w:right w:val="nil"/>
            </w:tcBorders>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60"/>
                <w:u w:val="none"/>
              </w:rPr>
              <w:t>1</w:t>
            </w:r>
          </w:p>
        </w:tc>
        <w:tc>
          <w:tcPr>
            <w:tcW w:w="195"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6795"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120" w:line="300" w:lineRule="auto"/>
              <w:ind w:left="0" w:right="0" w:firstLine="0"/>
              <w:jc w:val="both"/>
              <w:outlineLvl w:val="9"/>
              <w:rPr>
                <w:rFonts w:ascii="Arial" w:eastAsia="Arial" w:hAnsi="Arial" w:cs="Arial"/>
                <w:b/>
                <w:i w:val="0"/>
                <w:sz w:val="20"/>
              </w:rPr>
            </w:pPr>
            <w:r>
              <w:rPr>
                <w:rFonts w:ascii="Arial" w:eastAsia="Arial" w:hAnsi="Arial" w:cs="Arial"/>
                <w:b/>
                <w:i w:val="0"/>
                <w:sz w:val="18"/>
              </w:rPr>
              <w:t xml:space="preserve">Election of twelve directors nominated by our Board to hold office until </w:t>
            </w:r>
            <w:r>
              <w:rPr>
                <w:rFonts w:ascii="Arial" w:eastAsia="Arial" w:hAnsi="Arial" w:cs="Arial"/>
                <w:b/>
                <w:i w:val="0"/>
                <w:color w:val="000000"/>
                <w:sz w:val="18"/>
                <w:u w:val="none"/>
              </w:rPr>
              <w:t>2025</w:t>
            </w:r>
          </w:p>
          <w:p>
            <w:pPr>
              <w:pageBreakBefore w:val="0"/>
              <w:numPr>
                <w:ilvl w:val="0"/>
                <w:numId w:val="48"/>
              </w:numPr>
              <w:spacing w:before="120" w:after="12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Our Board is made up of directors with diverse skills, qualities, attributes, and experiences to effectively address the Company's evolving needs and represent the best interests of the Company's shareholders.</w:t>
            </w:r>
          </w:p>
          <w:p>
            <w:pPr>
              <w:pageBreakBefore w:val="0"/>
              <w:numPr>
                <w:ilvl w:val="0"/>
                <w:numId w:val="49"/>
              </w:numPr>
              <w:spacing w:before="120" w:after="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 xml:space="preserve">Eight of our twelve nominees are independent, and four of our twelve nominees identify as women and/or racially/ethnically diverse. </w:t>
            </w:r>
          </w:p>
        </w:tc>
        <w:tc>
          <w:tcPr>
            <w:tcW w:w="195"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2475" w:type="dxa"/>
            <w:tcBorders>
              <w:top w:val="single" w:sz="12" w:space="0" w:color="4494D1"/>
              <w:left w:val="nil"/>
              <w:bottom w:val="nil"/>
              <w:right w:val="nil"/>
            </w:tcBorders>
            <w:tcMar>
              <w:top w:w="0" w:type="dxa"/>
              <w:left w:w="53" w:type="dxa"/>
              <w:bottom w:w="0" w:type="dxa"/>
              <w:right w:w="53" w:type="dxa"/>
            </w:tcMar>
            <w:vAlign w:val="bottom"/>
          </w:tcPr>
          <w:p>
            <w:pPr>
              <w:keepNext/>
              <w:pageBreakBefore w:val="0"/>
              <w:numPr>
                <w:ilvl w:val="0"/>
                <w:numId w:val="0"/>
              </w:numPr>
              <w:spacing w:before="23" w:after="0" w:line="30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The Board recommends a vote </w:t>
            </w:r>
            <w:r>
              <w:rPr>
                <w:rFonts w:ascii="Arial" w:eastAsia="Arial" w:hAnsi="Arial" w:cs="Arial"/>
                <w:b/>
                <w:i w:val="0"/>
                <w:color w:val="4494D1"/>
                <w:sz w:val="18"/>
                <w:u w:val="none"/>
              </w:rPr>
              <w:t>FOR</w:t>
            </w:r>
            <w:r>
              <w:rPr>
                <w:rFonts w:ascii="Arial" w:eastAsia="Arial" w:hAnsi="Arial" w:cs="Arial"/>
                <w:b w:val="0"/>
                <w:i w:val="0"/>
                <w:sz w:val="18"/>
              </w:rPr>
              <w:t xml:space="preserve"> each director nominee</w:t>
            </w:r>
          </w:p>
          <w:p>
            <w:pPr>
              <w:pageBreakBefore w:val="0"/>
              <w:numPr>
                <w:ilvl w:val="0"/>
                <w:numId w:val="0"/>
              </w:numPr>
              <w:spacing w:before="0" w:after="30" w:line="300" w:lineRule="auto"/>
              <w:ind w:left="0" w:right="0" w:firstLine="0"/>
              <w:jc w:val="left"/>
              <w:outlineLvl w:val="9"/>
              <w:rPr>
                <w:rFonts w:ascii="Arial" w:eastAsia="Arial" w:hAnsi="Arial" w:cs="Arial"/>
                <w:b w:val="0"/>
                <w:i w:val="0"/>
                <w:sz w:val="18"/>
              </w:rPr>
            </w:pPr>
          </w:p>
        </w:tc>
      </w:tr>
      <w:tr>
        <w:tblPrEx>
          <w:tblW w:w="10260" w:type="dxa"/>
          <w:tblInd w:w="0" w:type="dxa"/>
          <w:tblLayout w:type="fixed"/>
          <w:tblCellMar>
            <w:left w:w="108" w:type="dxa"/>
            <w:right w:w="108" w:type="dxa"/>
          </w:tblCellMar>
        </w:tblPrEx>
        <w:trPr>
          <w:cantSplit/>
          <w:trHeight w:hRule="exact" w:val="1305"/>
        </w:trPr>
        <w:tc>
          <w:tcPr>
            <w:tcW w:w="600" w:type="dxa"/>
            <w:vMerge/>
            <w:tcBorders>
              <w:top w:val="nil"/>
              <w:left w:val="nil"/>
              <w:bottom w:val="single" w:sz="4" w:space="0" w:color="000000"/>
              <w:right w:val="nil"/>
            </w:tcBorders>
          </w:tcPr>
          <w:p>
            <w:pPr>
              <w:keepNext/>
              <w:pageBreakBefore w:val="0"/>
            </w:pPr>
          </w:p>
        </w:tc>
        <w:tc>
          <w:tcPr>
            <w:tcW w:w="195"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c>
          <w:tcPr>
            <w:tcW w:w="6795" w:type="dxa"/>
            <w:vMerge/>
            <w:tcBorders>
              <w:top w:val="nil"/>
              <w:left w:val="nil"/>
              <w:bottom w:val="single" w:sz="4" w:space="0" w:color="000000"/>
              <w:right w:val="nil"/>
            </w:tcBorders>
          </w:tcPr>
          <w:p>
            <w:pPr>
              <w:keepNext/>
              <w:pageBreakBefore w:val="0"/>
            </w:pPr>
          </w:p>
        </w:tc>
        <w:tc>
          <w:tcPr>
            <w:tcW w:w="195"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c>
          <w:tcPr>
            <w:tcW w:w="2475" w:type="dxa"/>
            <w:tcBorders>
              <w:top w:val="nil"/>
              <w:left w:val="nil"/>
              <w:bottom w:val="single" w:sz="4" w:space="0" w:color="000000"/>
              <w:right w:val="nil"/>
            </w:tcBorders>
            <w:tcMar>
              <w:top w:w="0" w:type="dxa"/>
              <w:left w:w="53" w:type="dxa"/>
              <w:bottom w:w="0" w:type="dxa"/>
              <w:right w:w="53" w:type="dxa"/>
            </w:tcMar>
            <w:vAlign w:val="top"/>
          </w:tcPr>
          <w:p>
            <w:pPr>
              <w:keepNext/>
              <w:pageBreakBefore w:val="0"/>
              <w:numPr>
                <w:ilvl w:val="0"/>
                <w:numId w:val="0"/>
              </w:numPr>
              <w:spacing w:before="53" w:after="0" w:line="288" w:lineRule="auto"/>
              <w:ind w:left="0" w:right="0" w:firstLine="0"/>
              <w:jc w:val="left"/>
              <w:outlineLvl w:val="9"/>
              <w:rPr>
                <w:rFonts w:ascii="Arial" w:eastAsia="Arial" w:hAnsi="Arial" w:cs="Arial"/>
                <w:b w:val="0"/>
                <w:i w:val="0"/>
                <w:color w:val="929292"/>
                <w:sz w:val="18"/>
                <w:u w:val="none"/>
              </w:rPr>
            </w:pPr>
          </w:p>
          <w:p>
            <w:pPr>
              <w:pageBreakBefore w:val="0"/>
              <w:numPr>
                <w:ilvl w:val="0"/>
                <w:numId w:val="0"/>
              </w:numPr>
              <w:spacing w:before="0" w:after="30" w:line="300" w:lineRule="auto"/>
              <w:ind w:left="0" w:right="0" w:firstLine="0"/>
              <w:jc w:val="left"/>
              <w:outlineLvl w:val="9"/>
              <w:rPr>
                <w:rFonts w:ascii="Arial" w:eastAsia="Arial" w:hAnsi="Arial" w:cs="Arial"/>
                <w:b w:val="0"/>
                <w:i w:val="0"/>
                <w:color w:val="929292"/>
                <w:sz w:val="18"/>
                <w:u w:val="none"/>
              </w:rPr>
            </w:pPr>
            <w:r>
              <w:rPr>
                <w:rFonts w:ascii="Arial" w:eastAsia="Arial" w:hAnsi="Arial" w:cs="Arial"/>
                <w:b w:val="0"/>
                <w:i w:val="0"/>
                <w:color w:val="929292"/>
                <w:sz w:val="18"/>
                <w:u w:val="none"/>
              </w:rPr>
              <w:t xml:space="preserve">Further information beginning on page </w:t>
            </w:r>
            <w:r>
              <w:rPr>
                <w:rFonts w:ascii="Arial" w:eastAsia="Arial" w:hAnsi="Arial" w:cs="Arial"/>
                <w:b w:val="0"/>
                <w:i w:val="0"/>
                <w:color w:val="0E32E1"/>
                <w:sz w:val="18"/>
                <w:u w:val="single"/>
              </w:rPr>
              <w:fldChar w:fldCharType="begin"/>
            </w:r>
            <w:r>
              <w:rPr>
                <w:rFonts w:ascii="Arial" w:eastAsia="Arial" w:hAnsi="Arial" w:cs="Arial"/>
                <w:b w:val="0"/>
                <w:i w:val="0"/>
                <w:color w:val="0E32E1"/>
                <w:sz w:val="18"/>
                <w:u w:val="single"/>
              </w:rPr>
              <w:instrText xml:space="preserve"> PAGEREF </w:instrText>
            </w:r>
            <w:r>
              <w:rPr>
                <w:rFonts w:ascii="Arial" w:eastAsia="Arial" w:hAnsi="Arial" w:cs="Arial"/>
                <w:b w:val="0"/>
                <w:i w:val="0"/>
                <w:color w:val="0E32E1"/>
                <w:sz w:val="18"/>
                <w:u w:val="single"/>
              </w:rPr>
              <w:instrText xml:space="preserve"> </w:instrText>
            </w:r>
            <w:r>
              <w:rPr>
                <w:rFonts w:ascii="Arial" w:eastAsia="Arial" w:hAnsi="Arial" w:cs="Arial"/>
                <w:b w:val="0"/>
                <w:i w:val="0"/>
                <w:color w:val="0E32E1"/>
                <w:sz w:val="18"/>
                <w:u w:val="single"/>
              </w:rPr>
              <w:instrText>Section15</w:instrText>
            </w:r>
            <w:r>
              <w:rPr>
                <w:rFonts w:ascii="Arial" w:eastAsia="Arial" w:hAnsi="Arial" w:cs="Arial"/>
                <w:b w:val="0"/>
                <w:i w:val="0"/>
                <w:color w:val="0E32E1"/>
                <w:sz w:val="18"/>
                <w:u w:val="single"/>
              </w:rPr>
              <w:instrText xml:space="preserve"> \h</w:instrText>
            </w:r>
            <w:r>
              <w:rPr>
                <w:rFonts w:ascii="Arial" w:eastAsia="Arial" w:hAnsi="Arial" w:cs="Arial"/>
                <w:b w:val="0"/>
                <w:i w:val="0"/>
                <w:color w:val="0E32E1"/>
                <w:sz w:val="18"/>
                <w:u w:val="single"/>
              </w:rPr>
              <w:fldChar w:fldCharType="separate"/>
            </w:r>
            <w:r>
              <w:rPr>
                <w:rFonts w:ascii="Arial" w:eastAsia="Arial" w:hAnsi="Arial" w:cs="Arial"/>
                <w:b w:val="0"/>
                <w:i w:val="0"/>
                <w:color w:val="0E32E1"/>
                <w:sz w:val="18"/>
                <w:u w:val="single"/>
              </w:rPr>
              <w:t>2</w:t>
            </w:r>
            <w:r>
              <w:rPr>
                <w:rFonts w:ascii="Arial" w:eastAsia="Arial" w:hAnsi="Arial" w:cs="Arial"/>
                <w:b w:val="0"/>
                <w:i w:val="0"/>
                <w:color w:val="0E32E1"/>
                <w:sz w:val="18"/>
                <w:u w:val="single"/>
              </w:rPr>
              <w:fldChar w:fldCharType="end"/>
            </w:r>
          </w:p>
        </w:tc>
      </w:tr>
      <w:tr>
        <w:tblPrEx>
          <w:tblW w:w="10260" w:type="dxa"/>
          <w:tblInd w:w="0" w:type="dxa"/>
          <w:tblLayout w:type="fixed"/>
          <w:tblCellMar>
            <w:left w:w="108" w:type="dxa"/>
            <w:right w:w="108" w:type="dxa"/>
          </w:tblCellMar>
        </w:tblPrEx>
        <w:trPr>
          <w:cantSplit/>
          <w:trHeight w:hRule="exact" w:val="1305"/>
        </w:trPr>
        <w:tc>
          <w:tcPr>
            <w:tcW w:w="600" w:type="dxa"/>
            <w:vMerge w:val="restart"/>
            <w:tcBorders>
              <w:top w:val="nil"/>
              <w:left w:val="nil"/>
              <w:bottom w:val="nil"/>
              <w:right w:val="nil"/>
            </w:tcBorders>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60"/>
                <w:u w:val="none"/>
              </w:rPr>
              <w:t>2</w:t>
            </w:r>
          </w:p>
        </w:tc>
        <w:tc>
          <w:tcPr>
            <w:tcW w:w="195"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6795"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120" w:line="300" w:lineRule="auto"/>
              <w:ind w:left="0" w:right="0" w:firstLine="0"/>
              <w:jc w:val="both"/>
              <w:outlineLvl w:val="9"/>
              <w:rPr>
                <w:rFonts w:ascii="Arial" w:eastAsia="Arial" w:hAnsi="Arial" w:cs="Arial"/>
                <w:b/>
                <w:i w:val="0"/>
                <w:sz w:val="18"/>
              </w:rPr>
            </w:pPr>
            <w:r>
              <w:rPr>
                <w:rFonts w:ascii="Arial" w:eastAsia="Arial" w:hAnsi="Arial" w:cs="Arial"/>
                <w:b/>
                <w:i w:val="0"/>
                <w:sz w:val="18"/>
              </w:rPr>
              <w:t>Advisory vote to approve executive compensation</w:t>
            </w:r>
          </w:p>
          <w:p>
            <w:pPr>
              <w:pageBreakBefore w:val="0"/>
              <w:numPr>
                <w:ilvl w:val="0"/>
                <w:numId w:val="46"/>
              </w:numPr>
              <w:spacing w:before="120" w:after="12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Our executive compensation program is designed to align pay with performance, taking into account shareholder feedback and interests.</w:t>
            </w:r>
          </w:p>
          <w:p>
            <w:pPr>
              <w:pageBreakBefore w:val="0"/>
              <w:numPr>
                <w:ilvl w:val="0"/>
                <w:numId w:val="47"/>
              </w:numPr>
              <w:spacing w:before="120" w:after="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The compensation paid to our named executive officers in 202</w:t>
            </w:r>
            <w:r>
              <w:rPr>
                <w:rFonts w:ascii="Arial" w:eastAsia="Arial" w:hAnsi="Arial" w:cs="Arial"/>
                <w:b w:val="0"/>
                <w:i w:val="0"/>
                <w:sz w:val="18"/>
              </w:rPr>
              <w:t>3</w:t>
            </w:r>
            <w:r>
              <w:rPr>
                <w:rFonts w:ascii="Arial" w:eastAsia="Arial" w:hAnsi="Arial" w:cs="Arial"/>
                <w:b w:val="0"/>
                <w:i w:val="0"/>
                <w:sz w:val="18"/>
              </w:rPr>
              <w:t xml:space="preserve"> reflected our financial results and share price performance.</w:t>
            </w:r>
          </w:p>
        </w:tc>
        <w:tc>
          <w:tcPr>
            <w:tcW w:w="195"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2475" w:type="dxa"/>
            <w:tcBorders>
              <w:top w:val="single" w:sz="4" w:space="0" w:color="000000"/>
              <w:left w:val="nil"/>
              <w:bottom w:val="nil"/>
              <w:right w:val="nil"/>
            </w:tcBorders>
            <w:tcMar>
              <w:top w:w="0" w:type="dxa"/>
              <w:left w:w="53" w:type="dxa"/>
              <w:bottom w:w="0" w:type="dxa"/>
              <w:right w:w="53" w:type="dxa"/>
            </w:tcMar>
            <w:vAlign w:val="bottom"/>
          </w:tcPr>
          <w:p>
            <w:pPr>
              <w:keepNext/>
              <w:pageBreakBefore w:val="0"/>
              <w:numPr>
                <w:ilvl w:val="0"/>
                <w:numId w:val="0"/>
              </w:numPr>
              <w:spacing w:before="43" w:after="0" w:line="30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The Board recommends a vote </w:t>
            </w:r>
            <w:r>
              <w:rPr>
                <w:rFonts w:ascii="Arial" w:eastAsia="Arial" w:hAnsi="Arial" w:cs="Arial"/>
                <w:b/>
                <w:i w:val="0"/>
                <w:color w:val="4494D1"/>
                <w:sz w:val="18"/>
                <w:u w:val="none"/>
              </w:rPr>
              <w:t>FOR</w:t>
            </w:r>
            <w:r>
              <w:rPr>
                <w:rFonts w:ascii="Arial" w:eastAsia="Arial" w:hAnsi="Arial" w:cs="Arial"/>
                <w:b w:val="0"/>
                <w:i w:val="0"/>
                <w:sz w:val="18"/>
              </w:rPr>
              <w:t xml:space="preserve"> this proposal</w:t>
            </w:r>
          </w:p>
          <w:p>
            <w:pPr>
              <w:pageBreakBefore w:val="0"/>
              <w:numPr>
                <w:ilvl w:val="0"/>
                <w:numId w:val="0"/>
              </w:numPr>
              <w:spacing w:before="0" w:after="30" w:line="300" w:lineRule="auto"/>
              <w:ind w:left="0" w:right="0" w:firstLine="0"/>
              <w:jc w:val="left"/>
              <w:outlineLvl w:val="9"/>
              <w:rPr>
                <w:rFonts w:ascii="Arial" w:eastAsia="Arial" w:hAnsi="Arial" w:cs="Arial"/>
                <w:b w:val="0"/>
                <w:i w:val="0"/>
                <w:sz w:val="18"/>
              </w:rPr>
            </w:pPr>
          </w:p>
        </w:tc>
      </w:tr>
      <w:tr>
        <w:tblPrEx>
          <w:tblW w:w="10260" w:type="dxa"/>
          <w:tblInd w:w="0" w:type="dxa"/>
          <w:tblLayout w:type="fixed"/>
          <w:tblCellMar>
            <w:left w:w="108" w:type="dxa"/>
            <w:right w:w="108" w:type="dxa"/>
          </w:tblCellMar>
        </w:tblPrEx>
        <w:trPr>
          <w:cantSplit/>
          <w:trHeight w:hRule="exact" w:val="1305"/>
        </w:trPr>
        <w:tc>
          <w:tcPr>
            <w:tcW w:w="600" w:type="dxa"/>
            <w:vMerge/>
            <w:tcBorders>
              <w:top w:val="nil"/>
              <w:left w:val="nil"/>
              <w:bottom w:val="single" w:sz="4" w:space="0" w:color="000000"/>
              <w:right w:val="nil"/>
            </w:tcBorders>
          </w:tcPr>
          <w:p>
            <w:pPr>
              <w:keepNext/>
              <w:pageBreakBefore w:val="0"/>
            </w:pPr>
          </w:p>
        </w:tc>
        <w:tc>
          <w:tcPr>
            <w:tcW w:w="195"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c>
          <w:tcPr>
            <w:tcW w:w="6795" w:type="dxa"/>
            <w:vMerge/>
            <w:tcBorders>
              <w:top w:val="nil"/>
              <w:left w:val="nil"/>
              <w:bottom w:val="single" w:sz="4" w:space="0" w:color="000000"/>
              <w:right w:val="nil"/>
            </w:tcBorders>
          </w:tcPr>
          <w:p>
            <w:pPr>
              <w:keepNext/>
              <w:pageBreakBefore w:val="0"/>
            </w:pPr>
          </w:p>
        </w:tc>
        <w:tc>
          <w:tcPr>
            <w:tcW w:w="195"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c>
          <w:tcPr>
            <w:tcW w:w="2475" w:type="dxa"/>
            <w:tcBorders>
              <w:top w:val="nil"/>
              <w:left w:val="nil"/>
              <w:bottom w:val="single" w:sz="4" w:space="0" w:color="000000"/>
              <w:right w:val="nil"/>
            </w:tcBorders>
            <w:tcMar>
              <w:top w:w="0" w:type="dxa"/>
              <w:left w:w="53" w:type="dxa"/>
              <w:bottom w:w="0" w:type="dxa"/>
              <w:right w:w="53" w:type="dxa"/>
            </w:tcMar>
            <w:vAlign w:val="top"/>
          </w:tcPr>
          <w:p>
            <w:pPr>
              <w:keepNext/>
              <w:pageBreakBefore w:val="0"/>
              <w:numPr>
                <w:ilvl w:val="0"/>
                <w:numId w:val="0"/>
              </w:numPr>
              <w:spacing w:before="53" w:after="0" w:line="288" w:lineRule="auto"/>
              <w:ind w:left="0" w:right="0" w:firstLine="0"/>
              <w:jc w:val="left"/>
              <w:outlineLvl w:val="9"/>
              <w:rPr>
                <w:rFonts w:ascii="Arial" w:eastAsia="Arial" w:hAnsi="Arial" w:cs="Arial"/>
                <w:b w:val="0"/>
                <w:i w:val="0"/>
                <w:color w:val="929292"/>
                <w:sz w:val="18"/>
                <w:u w:val="none"/>
              </w:rPr>
            </w:pPr>
          </w:p>
          <w:p>
            <w:pPr>
              <w:pageBreakBefore w:val="0"/>
              <w:numPr>
                <w:ilvl w:val="0"/>
                <w:numId w:val="0"/>
              </w:numPr>
              <w:spacing w:before="0" w:after="30" w:line="300" w:lineRule="auto"/>
              <w:ind w:left="0" w:right="0" w:firstLine="0"/>
              <w:jc w:val="left"/>
              <w:outlineLvl w:val="9"/>
              <w:rPr>
                <w:rFonts w:ascii="Arial" w:eastAsia="Arial" w:hAnsi="Arial" w:cs="Arial"/>
                <w:b w:val="0"/>
                <w:i w:val="0"/>
                <w:color w:val="929292"/>
                <w:sz w:val="18"/>
                <w:u w:val="none"/>
              </w:rPr>
            </w:pPr>
            <w:r>
              <w:rPr>
                <w:rFonts w:ascii="Arial" w:eastAsia="Arial" w:hAnsi="Arial" w:cs="Arial"/>
                <w:b w:val="0"/>
                <w:i w:val="0"/>
                <w:color w:val="929292"/>
                <w:sz w:val="18"/>
                <w:u w:val="none"/>
              </w:rPr>
              <w:t xml:space="preserve">Further information beginning on page </w:t>
            </w:r>
            <w:r>
              <w:rPr>
                <w:rFonts w:ascii="Arial" w:eastAsia="Arial" w:hAnsi="Arial" w:cs="Arial"/>
                <w:b w:val="0"/>
                <w:i w:val="0"/>
                <w:color w:val="0E32E1"/>
                <w:sz w:val="18"/>
                <w:u w:val="single"/>
              </w:rPr>
              <w:fldChar w:fldCharType="begin"/>
            </w:r>
            <w:r>
              <w:rPr>
                <w:rFonts w:ascii="Arial" w:eastAsia="Arial" w:hAnsi="Arial" w:cs="Arial"/>
                <w:b w:val="0"/>
                <w:i w:val="0"/>
                <w:color w:val="0E32E1"/>
                <w:sz w:val="18"/>
                <w:u w:val="single"/>
              </w:rPr>
              <w:instrText xml:space="preserve"> PAGEREF </w:instrText>
            </w:r>
            <w:r>
              <w:rPr>
                <w:rFonts w:ascii="Arial" w:eastAsia="Arial" w:hAnsi="Arial" w:cs="Arial"/>
                <w:b w:val="0"/>
                <w:i w:val="0"/>
                <w:color w:val="0E32E1"/>
                <w:sz w:val="18"/>
                <w:u w:val="single"/>
              </w:rPr>
              <w:instrText xml:space="preserve"> </w:instrText>
            </w:r>
            <w:r>
              <w:rPr>
                <w:rFonts w:ascii="Arial" w:eastAsia="Arial" w:hAnsi="Arial" w:cs="Arial"/>
                <w:b w:val="0"/>
                <w:i w:val="0"/>
                <w:color w:val="0E32E1"/>
                <w:sz w:val="18"/>
                <w:u w:val="single"/>
              </w:rPr>
              <w:instrText>Section63</w:instrText>
            </w:r>
            <w:r>
              <w:rPr>
                <w:rFonts w:ascii="Arial" w:eastAsia="Arial" w:hAnsi="Arial" w:cs="Arial"/>
                <w:b w:val="0"/>
                <w:i w:val="0"/>
                <w:color w:val="0E32E1"/>
                <w:sz w:val="18"/>
                <w:u w:val="single"/>
              </w:rPr>
              <w:instrText xml:space="preserve"> \h</w:instrText>
            </w:r>
            <w:r>
              <w:rPr>
                <w:rFonts w:ascii="Arial" w:eastAsia="Arial" w:hAnsi="Arial" w:cs="Arial"/>
                <w:b w:val="0"/>
                <w:i w:val="0"/>
                <w:color w:val="0E32E1"/>
                <w:sz w:val="18"/>
                <w:u w:val="single"/>
              </w:rPr>
              <w:fldChar w:fldCharType="separate"/>
            </w:r>
            <w:r>
              <w:rPr>
                <w:rFonts w:ascii="Arial" w:eastAsia="Arial" w:hAnsi="Arial" w:cs="Arial"/>
                <w:b w:val="0"/>
                <w:i w:val="0"/>
                <w:color w:val="0E32E1"/>
                <w:sz w:val="18"/>
                <w:u w:val="single"/>
              </w:rPr>
              <w:t>43</w:t>
            </w:r>
            <w:r>
              <w:rPr>
                <w:rFonts w:ascii="Arial" w:eastAsia="Arial" w:hAnsi="Arial" w:cs="Arial"/>
                <w:b w:val="0"/>
                <w:i w:val="0"/>
                <w:color w:val="0E32E1"/>
                <w:sz w:val="18"/>
                <w:u w:val="single"/>
              </w:rPr>
              <w:fldChar w:fldCharType="end"/>
            </w:r>
          </w:p>
        </w:tc>
      </w:tr>
      <w:tr>
        <w:tblPrEx>
          <w:tblW w:w="10260" w:type="dxa"/>
          <w:tblInd w:w="0" w:type="dxa"/>
          <w:tblLayout w:type="fixed"/>
          <w:tblCellMar>
            <w:left w:w="108" w:type="dxa"/>
            <w:right w:w="108" w:type="dxa"/>
          </w:tblCellMar>
        </w:tblPrEx>
        <w:trPr>
          <w:cantSplit/>
          <w:trHeight w:hRule="exact" w:val="1695"/>
        </w:trPr>
        <w:tc>
          <w:tcPr>
            <w:tcW w:w="600" w:type="dxa"/>
            <w:vMerge w:val="restart"/>
            <w:tcBorders>
              <w:top w:val="nil"/>
              <w:left w:val="nil"/>
              <w:bottom w:val="nil"/>
              <w:right w:val="nil"/>
            </w:tcBorders>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60"/>
                <w:u w:val="none"/>
              </w:rPr>
              <w:t>3</w:t>
            </w:r>
          </w:p>
        </w:tc>
        <w:tc>
          <w:tcPr>
            <w:tcW w:w="195"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6795"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120" w:line="288" w:lineRule="auto"/>
              <w:ind w:left="0" w:right="0" w:firstLine="0"/>
              <w:jc w:val="both"/>
              <w:outlineLvl w:val="9"/>
              <w:rPr>
                <w:rFonts w:ascii="Arial" w:eastAsia="Arial" w:hAnsi="Arial" w:cs="Arial"/>
                <w:b/>
                <w:i w:val="0"/>
                <w:sz w:val="18"/>
              </w:rPr>
            </w:pPr>
            <w:r>
              <w:rPr>
                <w:rFonts w:ascii="Arial" w:eastAsia="Arial" w:hAnsi="Arial" w:cs="Arial"/>
                <w:b/>
                <w:i w:val="0"/>
                <w:sz w:val="18"/>
              </w:rPr>
              <w:t xml:space="preserve">Ratification of the appointment of PricewaterhouseCoopers LLP as our independent registered public accounting firm for </w:t>
            </w:r>
            <w:r>
              <w:rPr>
                <w:rFonts w:ascii="Arial" w:eastAsia="Arial" w:hAnsi="Arial" w:cs="Arial"/>
                <w:b/>
                <w:i w:val="0"/>
                <w:color w:val="000000"/>
                <w:sz w:val="18"/>
                <w:u w:val="none"/>
              </w:rPr>
              <w:t>2024</w:t>
            </w:r>
            <w:r>
              <w:rPr>
                <w:rFonts w:ascii="Arial" w:eastAsia="Arial" w:hAnsi="Arial" w:cs="Arial"/>
                <w:b/>
                <w:i w:val="0"/>
                <w:sz w:val="18"/>
              </w:rPr>
              <w:t xml:space="preserve"> and authorization for the Board, acting through the Audit Committee, to approve the fees for the independent registered public accounting firm</w:t>
            </w:r>
          </w:p>
          <w:p>
            <w:pPr>
              <w:pageBreakBefore w:val="0"/>
              <w:numPr>
                <w:ilvl w:val="0"/>
                <w:numId w:val="44"/>
              </w:numPr>
              <w:spacing w:before="120" w:after="12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PricewaterhouseCoopers LLP is an independent registered public accounting firm with the required knowledge and experience to effectively audit the Company's financial statements.</w:t>
            </w:r>
          </w:p>
          <w:p>
            <w:pPr>
              <w:pageBreakBefore w:val="0"/>
              <w:numPr>
                <w:ilvl w:val="0"/>
                <w:numId w:val="45"/>
              </w:numPr>
              <w:spacing w:before="120" w:after="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Audit and non-audit services are pre-approved by the Audit Committee, which is composed entirely of independent directors, each of which qualify as audit committee financial experts.</w:t>
            </w:r>
          </w:p>
        </w:tc>
        <w:tc>
          <w:tcPr>
            <w:tcW w:w="195"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2475" w:type="dxa"/>
            <w:tcBorders>
              <w:top w:val="single" w:sz="4" w:space="0" w:color="000000"/>
              <w:left w:val="nil"/>
              <w:bottom w:val="nil"/>
              <w:right w:val="nil"/>
            </w:tcBorders>
            <w:tcMar>
              <w:top w:w="0" w:type="dxa"/>
              <w:left w:w="53" w:type="dxa"/>
              <w:bottom w:w="0" w:type="dxa"/>
              <w:right w:w="53" w:type="dxa"/>
            </w:tcMar>
            <w:vAlign w:val="bottom"/>
          </w:tcPr>
          <w:p>
            <w:pPr>
              <w:keepNext/>
              <w:pageBreakBefore w:val="0"/>
              <w:numPr>
                <w:ilvl w:val="0"/>
                <w:numId w:val="0"/>
              </w:numPr>
              <w:spacing w:before="43" w:after="0" w:line="30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The Board recommends a vote </w:t>
            </w:r>
            <w:r>
              <w:rPr>
                <w:rFonts w:ascii="Arial" w:eastAsia="Arial" w:hAnsi="Arial" w:cs="Arial"/>
                <w:b/>
                <w:i w:val="0"/>
                <w:color w:val="4494D1"/>
                <w:sz w:val="18"/>
                <w:u w:val="none"/>
              </w:rPr>
              <w:t>FOR</w:t>
            </w:r>
            <w:r>
              <w:rPr>
                <w:rFonts w:ascii="Arial" w:eastAsia="Arial" w:hAnsi="Arial" w:cs="Arial"/>
                <w:b w:val="0"/>
                <w:i w:val="0"/>
                <w:sz w:val="18"/>
              </w:rPr>
              <w:t xml:space="preserve"> this proposal</w:t>
            </w:r>
          </w:p>
          <w:p>
            <w:pPr>
              <w:pageBreakBefore w:val="0"/>
              <w:numPr>
                <w:ilvl w:val="0"/>
                <w:numId w:val="0"/>
              </w:numPr>
              <w:spacing w:before="0" w:after="30" w:line="300" w:lineRule="auto"/>
              <w:ind w:left="0" w:right="0" w:firstLine="0"/>
              <w:jc w:val="left"/>
              <w:outlineLvl w:val="9"/>
              <w:rPr>
                <w:rFonts w:ascii="Arial" w:eastAsia="Arial" w:hAnsi="Arial" w:cs="Arial"/>
                <w:b w:val="0"/>
                <w:i w:val="0"/>
                <w:sz w:val="18"/>
              </w:rPr>
            </w:pPr>
          </w:p>
        </w:tc>
      </w:tr>
      <w:tr>
        <w:tblPrEx>
          <w:tblW w:w="10260" w:type="dxa"/>
          <w:tblInd w:w="0" w:type="dxa"/>
          <w:tblLayout w:type="fixed"/>
          <w:tblCellMar>
            <w:left w:w="108" w:type="dxa"/>
            <w:right w:w="108" w:type="dxa"/>
          </w:tblCellMar>
        </w:tblPrEx>
        <w:trPr>
          <w:cantSplit/>
          <w:trHeight w:hRule="exact" w:val="1695"/>
        </w:trPr>
        <w:tc>
          <w:tcPr>
            <w:tcW w:w="600" w:type="dxa"/>
            <w:vMerge/>
            <w:tcBorders>
              <w:top w:val="nil"/>
              <w:left w:val="nil"/>
              <w:bottom w:val="single" w:sz="4" w:space="0" w:color="000000"/>
              <w:right w:val="nil"/>
            </w:tcBorders>
          </w:tcPr>
          <w:p>
            <w:pPr>
              <w:pageBreakBefore w:val="0"/>
            </w:pPr>
          </w:p>
        </w:tc>
        <w:tc>
          <w:tcPr>
            <w:tcW w:w="195" w:type="dxa"/>
            <w:tcBorders>
              <w:top w:val="nil"/>
              <w:left w:val="nil"/>
              <w:bottom w:val="single" w:sz="4" w:space="0" w:color="000000"/>
              <w:right w:val="nil"/>
            </w:tcBorders>
            <w:tcMar>
              <w:top w:w="0" w:type="dxa"/>
              <w:left w:w="0" w:type="dxa"/>
              <w:bottom w:w="0" w:type="dxa"/>
              <w:right w:w="0" w:type="dxa"/>
            </w:tcMar>
            <w:vAlign w:val="bottom"/>
          </w:tcPr>
          <w:p>
            <w:pPr>
              <w:pageBreakBefore w:val="0"/>
              <w:spacing w:before="0" w:after="0"/>
            </w:pPr>
          </w:p>
        </w:tc>
        <w:tc>
          <w:tcPr>
            <w:tcW w:w="6795" w:type="dxa"/>
            <w:vMerge/>
            <w:tcBorders>
              <w:top w:val="nil"/>
              <w:left w:val="nil"/>
              <w:bottom w:val="single" w:sz="4" w:space="0" w:color="000000"/>
              <w:right w:val="nil"/>
            </w:tcBorders>
          </w:tcPr>
          <w:p>
            <w:pPr>
              <w:pageBreakBefore w:val="0"/>
            </w:pPr>
          </w:p>
        </w:tc>
        <w:tc>
          <w:tcPr>
            <w:tcW w:w="195" w:type="dxa"/>
            <w:tcBorders>
              <w:top w:val="nil"/>
              <w:left w:val="nil"/>
              <w:bottom w:val="single" w:sz="4" w:space="0" w:color="000000"/>
              <w:right w:val="nil"/>
            </w:tcBorders>
            <w:tcMar>
              <w:top w:w="0" w:type="dxa"/>
              <w:left w:w="0" w:type="dxa"/>
              <w:bottom w:w="0" w:type="dxa"/>
              <w:right w:w="0" w:type="dxa"/>
            </w:tcMar>
            <w:vAlign w:val="bottom"/>
          </w:tcPr>
          <w:p>
            <w:pPr>
              <w:pageBreakBefore w:val="0"/>
              <w:spacing w:before="0" w:after="0"/>
            </w:pPr>
          </w:p>
        </w:tc>
        <w:tc>
          <w:tcPr>
            <w:tcW w:w="2475" w:type="dxa"/>
            <w:tcBorders>
              <w:top w:val="nil"/>
              <w:left w:val="nil"/>
              <w:bottom w:val="single" w:sz="4" w:space="0" w:color="000000"/>
              <w:right w:val="nil"/>
            </w:tcBorders>
            <w:tcMar>
              <w:top w:w="0" w:type="dxa"/>
              <w:left w:w="53" w:type="dxa"/>
              <w:bottom w:w="0" w:type="dxa"/>
              <w:right w:w="53" w:type="dxa"/>
            </w:tcMar>
            <w:vAlign w:val="top"/>
          </w:tcPr>
          <w:p>
            <w:pPr>
              <w:pageBreakBefore w:val="0"/>
              <w:numPr>
                <w:ilvl w:val="0"/>
                <w:numId w:val="0"/>
              </w:numPr>
              <w:spacing w:before="53" w:after="0" w:line="288" w:lineRule="auto"/>
              <w:ind w:left="0" w:right="0" w:firstLine="0"/>
              <w:jc w:val="left"/>
              <w:outlineLvl w:val="9"/>
              <w:rPr>
                <w:rFonts w:ascii="Arial" w:eastAsia="Arial" w:hAnsi="Arial" w:cs="Arial"/>
                <w:b w:val="0"/>
                <w:i w:val="0"/>
                <w:color w:val="929292"/>
                <w:sz w:val="18"/>
                <w:u w:val="none"/>
              </w:rPr>
            </w:pPr>
          </w:p>
          <w:p>
            <w:pPr>
              <w:pageBreakBefore w:val="0"/>
              <w:numPr>
                <w:ilvl w:val="0"/>
                <w:numId w:val="0"/>
              </w:numPr>
              <w:spacing w:before="0" w:after="30" w:line="300" w:lineRule="auto"/>
              <w:ind w:left="0" w:right="0" w:firstLine="0"/>
              <w:jc w:val="left"/>
              <w:outlineLvl w:val="9"/>
              <w:rPr>
                <w:rFonts w:ascii="Arial" w:eastAsia="Arial" w:hAnsi="Arial" w:cs="Arial"/>
                <w:b w:val="0"/>
                <w:i w:val="0"/>
                <w:color w:val="929292"/>
                <w:sz w:val="18"/>
                <w:u w:val="none"/>
              </w:rPr>
            </w:pPr>
            <w:r>
              <w:rPr>
                <w:rFonts w:ascii="Arial" w:eastAsia="Arial" w:hAnsi="Arial" w:cs="Arial"/>
                <w:b w:val="0"/>
                <w:i w:val="0"/>
                <w:color w:val="929292"/>
                <w:sz w:val="18"/>
                <w:u w:val="none"/>
              </w:rPr>
              <w:t xml:space="preserve">Further information beginning on page </w:t>
            </w:r>
            <w:r>
              <w:rPr>
                <w:rFonts w:ascii="Arial" w:eastAsia="Arial" w:hAnsi="Arial" w:cs="Arial"/>
                <w:b w:val="0"/>
                <w:i w:val="0"/>
                <w:color w:val="0E32E1"/>
                <w:sz w:val="18"/>
                <w:u w:val="single"/>
              </w:rPr>
              <w:fldChar w:fldCharType="begin"/>
            </w:r>
            <w:r>
              <w:rPr>
                <w:rFonts w:ascii="Arial" w:eastAsia="Arial" w:hAnsi="Arial" w:cs="Arial"/>
                <w:b w:val="0"/>
                <w:i w:val="0"/>
                <w:color w:val="0E32E1"/>
                <w:sz w:val="18"/>
                <w:u w:val="single"/>
              </w:rPr>
              <w:instrText xml:space="preserve"> PAGEREF </w:instrText>
            </w:r>
            <w:r>
              <w:rPr>
                <w:rFonts w:ascii="Arial" w:eastAsia="Arial" w:hAnsi="Arial" w:cs="Arial"/>
                <w:b w:val="0"/>
                <w:i w:val="0"/>
                <w:color w:val="0E32E1"/>
                <w:sz w:val="18"/>
                <w:u w:val="single"/>
              </w:rPr>
              <w:instrText xml:space="preserve"> </w:instrText>
            </w:r>
            <w:r>
              <w:rPr>
                <w:rFonts w:ascii="Arial" w:eastAsia="Arial" w:hAnsi="Arial" w:cs="Arial"/>
                <w:b w:val="0"/>
                <w:i w:val="0"/>
                <w:color w:val="0E32E1"/>
                <w:sz w:val="18"/>
                <w:u w:val="single"/>
              </w:rPr>
              <w:instrText>Section123</w:instrText>
            </w:r>
            <w:r>
              <w:rPr>
                <w:rFonts w:ascii="Arial" w:eastAsia="Arial" w:hAnsi="Arial" w:cs="Arial"/>
                <w:b w:val="0"/>
                <w:i w:val="0"/>
                <w:color w:val="0E32E1"/>
                <w:sz w:val="18"/>
                <w:u w:val="single"/>
              </w:rPr>
              <w:instrText xml:space="preserve"> \h</w:instrText>
            </w:r>
            <w:r>
              <w:rPr>
                <w:rFonts w:ascii="Arial" w:eastAsia="Arial" w:hAnsi="Arial" w:cs="Arial"/>
                <w:b w:val="0"/>
                <w:i w:val="0"/>
                <w:color w:val="0E32E1"/>
                <w:sz w:val="18"/>
                <w:u w:val="single"/>
              </w:rPr>
              <w:fldChar w:fldCharType="separate"/>
            </w:r>
            <w:r>
              <w:rPr>
                <w:rFonts w:ascii="Arial" w:eastAsia="Arial" w:hAnsi="Arial" w:cs="Arial"/>
                <w:b w:val="0"/>
                <w:i w:val="0"/>
                <w:color w:val="0E32E1"/>
                <w:sz w:val="18"/>
                <w:u w:val="single"/>
              </w:rPr>
              <w:t>97</w:t>
            </w:r>
            <w:r>
              <w:rPr>
                <w:rFonts w:ascii="Arial" w:eastAsia="Arial" w:hAnsi="Arial" w:cs="Arial"/>
                <w:b w:val="0"/>
                <w:i w:val="0"/>
                <w:color w:val="0E32E1"/>
                <w:sz w:val="18"/>
                <w:u w:val="single"/>
              </w:rPr>
              <w:fldChar w:fldCharType="end"/>
            </w:r>
          </w:p>
        </w:tc>
      </w:tr>
    </w:tbl>
    <w:p>
      <w:pPr>
        <w:keepNext w:val="0"/>
        <w:keepLines w:val="0"/>
        <w:pageBreakBefore w:val="0"/>
        <w:widowControl/>
        <w:numPr>
          <w:ilvl w:val="0"/>
          <w:numId w:val="0"/>
        </w:numPr>
        <w:spacing w:before="12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sectPr>
          <w:headerReference w:type="default" r:id="rId39"/>
          <w:footerReference w:type="default" r:id="rId40"/>
          <w:pgSz w:w="12240" w:h="15840"/>
          <w:pgMar w:top="855" w:right="990" w:bottom="855" w:left="990" w:header="180" w:footer="270"/>
          <w:pgNumType w:fmt="lowerRoman"/>
          <w:cols w:space="708"/>
        </w:sect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80"/>
          <w:u w:val="none"/>
        </w:rPr>
      </w:pPr>
      <w:bookmarkStart w:id="11" w:name="Section14"/>
      <w:bookmarkEnd w:id="11"/>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80" w:line="252" w:lineRule="auto"/>
        <w:ind w:left="0" w:right="0" w:firstLine="0"/>
        <w:jc w:val="left"/>
        <w:outlineLvl w:val="0"/>
        <w:rPr>
          <w:rFonts w:ascii="Arial" w:eastAsia="Arial" w:hAnsi="Arial" w:cs="Arial"/>
          <w:b/>
          <w:i w:val="0"/>
          <w:color w:val="171449"/>
          <w:sz w:val="80"/>
          <w:u w:val="none"/>
        </w:rPr>
      </w:pPr>
      <w:r>
        <w:rPr>
          <w:rFonts w:ascii="Arial" w:eastAsia="Arial" w:hAnsi="Arial" w:cs="Arial"/>
          <w:b/>
          <w:i w:val="0"/>
          <w:color w:val="171449"/>
          <w:sz w:val="80"/>
          <w:u w:val="none"/>
        </w:rPr>
        <w:t xml:space="preserve">Corporate </w:t>
      </w:r>
      <w:r>
        <w:rPr>
          <w:rFonts w:ascii="Arial" w:eastAsia="Arial" w:hAnsi="Arial" w:cs="Arial"/>
          <w:b/>
          <w:i w:val="0"/>
          <w:color w:val="171449"/>
          <w:sz w:val="80"/>
          <w:u w:val="none"/>
        </w:rPr>
        <w:br/>
      </w:r>
      <w:r>
        <w:rPr>
          <w:rFonts w:ascii="Arial" w:eastAsia="Arial" w:hAnsi="Arial" w:cs="Arial"/>
          <w:b/>
          <w:i w:val="0"/>
          <w:color w:val="171449"/>
          <w:sz w:val="80"/>
          <w:u w:val="none"/>
        </w:rPr>
        <w:t>Governance</w:t>
      </w: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4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tbl>
      <w:tblPr>
        <w:tblW w:w="858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7995"/>
        <w:gridCol w:w="585"/>
      </w:tblGrid>
      <w:tr>
        <w:tblPrEx>
          <w:tblW w:w="858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15"/>
          <w:jc w:val="left"/>
        </w:trPr>
        <w:tc>
          <w:tcPr>
            <w:tcW w:w="7995" w:type="dxa"/>
            <w:tcBorders>
              <w:top w:val="single" w:sz="8" w:space="0" w:color="929292"/>
              <w:left w:val="nil"/>
              <w:bottom w:val="nil"/>
              <w:right w:val="nil"/>
            </w:tcBorders>
            <w:tcMar>
              <w:top w:w="0" w:type="dxa"/>
              <w:left w:w="0" w:type="dxa"/>
              <w:bottom w:w="0" w:type="dxa"/>
              <w:right w:w="0" w:type="dxa"/>
            </w:tcMar>
            <w:vAlign w:val="bottom"/>
          </w:tcPr>
          <w:p>
            <w:pPr>
              <w:keepNext/>
              <w:pageBreakBefore w:val="0"/>
              <w:spacing w:before="0" w:after="0"/>
            </w:pPr>
          </w:p>
        </w:tc>
        <w:tc>
          <w:tcPr>
            <w:tcW w:w="585" w:type="dxa"/>
            <w:tcBorders>
              <w:top w:val="single" w:sz="8" w:space="0" w:color="929292"/>
              <w:left w:val="nil"/>
              <w:bottom w:val="nil"/>
              <w:right w:val="nil"/>
            </w:tcBorders>
            <w:tcMar>
              <w:top w:w="0" w:type="dxa"/>
              <w:left w:w="0" w:type="dxa"/>
              <w:bottom w:w="0" w:type="dxa"/>
              <w:right w:w="0" w:type="dxa"/>
            </w:tcMar>
            <w:vAlign w:val="bottom"/>
          </w:tcPr>
          <w:p>
            <w:pPr>
              <w:keepNext/>
              <w:pageBreakBefore w:val="0"/>
              <w:spacing w:before="0" w:after="0"/>
            </w:pPr>
          </w:p>
        </w:tc>
      </w:tr>
      <w:tr>
        <w:tblPrEx>
          <w:tblW w:w="8580" w:type="dxa"/>
          <w:jc w:val="left"/>
          <w:tblInd w:w="0" w:type="dxa"/>
          <w:tblLayout w:type="fixed"/>
          <w:tblCellMar>
            <w:left w:w="108" w:type="dxa"/>
            <w:right w:w="108" w:type="dxa"/>
          </w:tblCellMar>
        </w:tblPrEx>
        <w:trPr>
          <w:cantSplit/>
          <w:trHeight w:hRule="exact" w:val="315"/>
          <w:jc w:val="left"/>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5" w:history="1">
              <w:r>
                <w:rPr>
                  <w:rFonts w:ascii="Arial" w:eastAsia="Arial" w:hAnsi="Arial" w:cs="Arial"/>
                  <w:b w:val="0"/>
                  <w:i w:val="0"/>
                  <w:color w:val="000000"/>
                  <w:sz w:val="18"/>
                  <w:u w:val="none"/>
                  <w:shd w:val="clear" w:color="auto" w:fill="auto"/>
                </w:rPr>
                <w:t>Proposal No. 1 – Election of Directors</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Section15</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2</w:t>
            </w:r>
            <w:r>
              <w:rPr>
                <w:rFonts w:ascii="Arial" w:eastAsia="Arial" w:hAnsi="Arial" w:cs="Arial"/>
                <w:b w:val="0"/>
                <w:i w:val="0"/>
                <w:color w:val="000000"/>
                <w:sz w:val="18"/>
                <w:u w:val="none"/>
              </w:rPr>
              <w:fldChar w:fldCharType="end"/>
            </w:r>
          </w:p>
        </w:tc>
      </w:tr>
      <w:tr>
        <w:tblPrEx>
          <w:tblW w:w="8580" w:type="dxa"/>
          <w:jc w:val="left"/>
          <w:tblInd w:w="0" w:type="dxa"/>
          <w:tblLayout w:type="fixed"/>
          <w:tblCellMar>
            <w:left w:w="108" w:type="dxa"/>
            <w:right w:w="108" w:type="dxa"/>
          </w:tblCellMar>
        </w:tblPrEx>
        <w:trPr>
          <w:cantSplit/>
          <w:trHeight w:hRule="exact" w:val="315"/>
          <w:jc w:val="left"/>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7" w:history="1">
              <w:r>
                <w:rPr>
                  <w:rFonts w:ascii="Arial" w:eastAsia="Arial" w:hAnsi="Arial" w:cs="Arial"/>
                  <w:b w:val="0"/>
                  <w:i w:val="0"/>
                  <w:color w:val="000000"/>
                  <w:sz w:val="18"/>
                  <w:u w:val="none"/>
                  <w:shd w:val="clear" w:color="auto" w:fill="auto"/>
                </w:rPr>
                <w:t>Board Composition and Refreshment</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Section17</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4</w:t>
            </w:r>
            <w:r>
              <w:rPr>
                <w:rFonts w:ascii="Arial" w:eastAsia="Arial" w:hAnsi="Arial" w:cs="Arial"/>
                <w:b w:val="0"/>
                <w:i w:val="0"/>
                <w:color w:val="000000"/>
                <w:sz w:val="18"/>
                <w:u w:val="none"/>
              </w:rPr>
              <w:fldChar w:fldCharType="end"/>
            </w:r>
          </w:p>
        </w:tc>
      </w:tr>
      <w:tr>
        <w:tblPrEx>
          <w:tblW w:w="8580" w:type="dxa"/>
          <w:jc w:val="left"/>
          <w:tblInd w:w="0" w:type="dxa"/>
          <w:tblLayout w:type="fixed"/>
          <w:tblCellMar>
            <w:left w:w="108" w:type="dxa"/>
            <w:right w:w="108" w:type="dxa"/>
          </w:tblCellMar>
        </w:tblPrEx>
        <w:trPr>
          <w:cantSplit/>
          <w:trHeight w:hRule="exact" w:val="315"/>
          <w:jc w:val="left"/>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26" w:history="1">
              <w:r>
                <w:rPr>
                  <w:rFonts w:ascii="Arial" w:eastAsia="Arial" w:hAnsi="Arial" w:cs="Arial"/>
                  <w:b w:val="0"/>
                  <w:i w:val="0"/>
                  <w:color w:val="000000"/>
                  <w:sz w:val="18"/>
                  <w:u w:val="none"/>
                  <w:shd w:val="clear" w:color="auto" w:fill="auto"/>
                </w:rPr>
                <w:t>Our Director Nominees</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Section26</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7</w:t>
            </w:r>
            <w:r>
              <w:rPr>
                <w:rFonts w:ascii="Arial" w:eastAsia="Arial" w:hAnsi="Arial" w:cs="Arial"/>
                <w:b w:val="0"/>
                <w:i w:val="0"/>
                <w:color w:val="000000"/>
                <w:sz w:val="18"/>
                <w:u w:val="none"/>
              </w:rPr>
              <w:fldChar w:fldCharType="end"/>
            </w:r>
          </w:p>
        </w:tc>
      </w:tr>
      <w:tr>
        <w:tblPrEx>
          <w:tblW w:w="8580" w:type="dxa"/>
          <w:jc w:val="left"/>
          <w:tblInd w:w="0" w:type="dxa"/>
          <w:tblLayout w:type="fixed"/>
          <w:tblCellMar>
            <w:left w:w="108" w:type="dxa"/>
            <w:right w:w="108" w:type="dxa"/>
          </w:tblCellMar>
        </w:tblPrEx>
        <w:trPr>
          <w:cantSplit/>
          <w:trHeight w:hRule="exact" w:val="315"/>
          <w:jc w:val="left"/>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29" w:history="1">
              <w:r>
                <w:rPr>
                  <w:rFonts w:ascii="Arial" w:eastAsia="Arial" w:hAnsi="Arial" w:cs="Arial"/>
                  <w:b w:val="0"/>
                  <w:i w:val="0"/>
                  <w:color w:val="000000"/>
                  <w:sz w:val="18"/>
                  <w:u w:val="none"/>
                  <w:shd w:val="clear" w:color="auto" w:fill="auto"/>
                </w:rPr>
                <w:t>Directorship Arrangements</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Section29</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16</w:t>
            </w:r>
            <w:r>
              <w:rPr>
                <w:rFonts w:ascii="Arial" w:eastAsia="Arial" w:hAnsi="Arial" w:cs="Arial"/>
                <w:b w:val="0"/>
                <w:i w:val="0"/>
                <w:color w:val="000000"/>
                <w:sz w:val="18"/>
                <w:u w:val="none"/>
              </w:rPr>
              <w:fldChar w:fldCharType="end"/>
            </w:r>
          </w:p>
        </w:tc>
      </w:tr>
      <w:tr>
        <w:tblPrEx>
          <w:tblW w:w="8580" w:type="dxa"/>
          <w:jc w:val="left"/>
          <w:tblInd w:w="0" w:type="dxa"/>
          <w:tblLayout w:type="fixed"/>
          <w:tblCellMar>
            <w:left w:w="108" w:type="dxa"/>
            <w:right w:w="108" w:type="dxa"/>
          </w:tblCellMar>
        </w:tblPrEx>
        <w:trPr>
          <w:cantSplit/>
          <w:trHeight w:hRule="exact" w:val="315"/>
          <w:jc w:val="left"/>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30" w:history="1">
              <w:r>
                <w:rPr>
                  <w:rFonts w:ascii="Arial" w:eastAsia="Arial" w:hAnsi="Arial" w:cs="Arial"/>
                  <w:b w:val="0"/>
                  <w:i w:val="0"/>
                  <w:color w:val="000000"/>
                  <w:sz w:val="18"/>
                  <w:u w:val="none"/>
                  <w:shd w:val="clear" w:color="auto" w:fill="auto"/>
                </w:rPr>
                <w:t>Director Independence</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Section30</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16</w:t>
            </w:r>
            <w:r>
              <w:rPr>
                <w:rFonts w:ascii="Arial" w:eastAsia="Arial" w:hAnsi="Arial" w:cs="Arial"/>
                <w:b w:val="0"/>
                <w:i w:val="0"/>
                <w:color w:val="000000"/>
                <w:sz w:val="18"/>
                <w:u w:val="none"/>
              </w:rPr>
              <w:fldChar w:fldCharType="end"/>
            </w:r>
          </w:p>
        </w:tc>
      </w:tr>
      <w:tr>
        <w:tblPrEx>
          <w:tblW w:w="8580" w:type="dxa"/>
          <w:jc w:val="left"/>
          <w:tblInd w:w="0" w:type="dxa"/>
          <w:tblLayout w:type="fixed"/>
          <w:tblCellMar>
            <w:left w:w="108" w:type="dxa"/>
            <w:right w:w="108" w:type="dxa"/>
          </w:tblCellMar>
        </w:tblPrEx>
        <w:trPr>
          <w:cantSplit/>
          <w:trHeight w:hRule="exact" w:val="315"/>
          <w:jc w:val="left"/>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32" w:history="1">
              <w:r>
                <w:rPr>
                  <w:rFonts w:ascii="Arial" w:eastAsia="Arial" w:hAnsi="Arial" w:cs="Arial"/>
                  <w:b w:val="0"/>
                  <w:i w:val="0"/>
                  <w:color w:val="000000"/>
                  <w:sz w:val="18"/>
                  <w:u w:val="none"/>
                  <w:shd w:val="clear" w:color="auto" w:fill="auto"/>
                </w:rPr>
                <w:t>Committees of the Board</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Section32</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17</w:t>
            </w:r>
            <w:r>
              <w:rPr>
                <w:rFonts w:ascii="Arial" w:eastAsia="Arial" w:hAnsi="Arial" w:cs="Arial"/>
                <w:b w:val="0"/>
                <w:i w:val="0"/>
                <w:color w:val="000000"/>
                <w:sz w:val="18"/>
                <w:u w:val="none"/>
              </w:rPr>
              <w:fldChar w:fldCharType="end"/>
            </w:r>
          </w:p>
        </w:tc>
      </w:tr>
      <w:tr>
        <w:tblPrEx>
          <w:tblW w:w="8580" w:type="dxa"/>
          <w:jc w:val="left"/>
          <w:tblInd w:w="0" w:type="dxa"/>
          <w:tblLayout w:type="fixed"/>
          <w:tblCellMar>
            <w:left w:w="108" w:type="dxa"/>
            <w:right w:w="108" w:type="dxa"/>
          </w:tblCellMar>
        </w:tblPrEx>
        <w:trPr>
          <w:cantSplit/>
          <w:trHeight w:hRule="exact" w:val="315"/>
          <w:jc w:val="left"/>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35" w:history="1">
              <w:r>
                <w:rPr>
                  <w:rFonts w:ascii="Arial" w:eastAsia="Arial" w:hAnsi="Arial" w:cs="Arial"/>
                  <w:b w:val="0"/>
                  <w:i w:val="0"/>
                  <w:color w:val="000000"/>
                  <w:sz w:val="18"/>
                  <w:u w:val="none"/>
                  <w:shd w:val="clear" w:color="auto" w:fill="auto"/>
                </w:rPr>
                <w:t>Board and Committee Operations</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Section35</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26</w:t>
            </w:r>
            <w:r>
              <w:rPr>
                <w:rFonts w:ascii="Arial" w:eastAsia="Arial" w:hAnsi="Arial" w:cs="Arial"/>
                <w:b w:val="0"/>
                <w:i w:val="0"/>
                <w:color w:val="000000"/>
                <w:sz w:val="18"/>
                <w:u w:val="none"/>
              </w:rPr>
              <w:fldChar w:fldCharType="end"/>
            </w:r>
          </w:p>
        </w:tc>
      </w:tr>
      <w:tr>
        <w:tblPrEx>
          <w:tblW w:w="8580" w:type="dxa"/>
          <w:jc w:val="left"/>
          <w:tblInd w:w="0" w:type="dxa"/>
          <w:tblLayout w:type="fixed"/>
          <w:tblCellMar>
            <w:left w:w="108" w:type="dxa"/>
            <w:right w:w="108" w:type="dxa"/>
          </w:tblCellMar>
        </w:tblPrEx>
        <w:trPr>
          <w:cantSplit/>
          <w:trHeight w:hRule="exact" w:val="315"/>
          <w:jc w:val="left"/>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44" w:history="1">
              <w:r>
                <w:rPr>
                  <w:rFonts w:ascii="Arial" w:eastAsia="Arial" w:hAnsi="Arial" w:cs="Arial"/>
                  <w:b w:val="0"/>
                  <w:i w:val="0"/>
                  <w:color w:val="000000"/>
                  <w:sz w:val="18"/>
                  <w:u w:val="none"/>
                  <w:shd w:val="clear" w:color="auto" w:fill="auto"/>
                </w:rPr>
                <w:t>Board Oversight</w:t>
              </w:r>
            </w:hyperlink>
            <w:r>
              <w:rPr>
                <w:rFonts w:ascii="Arial" w:eastAsia="Arial" w:hAnsi="Arial" w:cs="Arial"/>
                <w:b w:val="0"/>
                <w:i w:val="0"/>
                <w:sz w:val="18"/>
              </w:rPr>
              <w:t xml:space="preserve"> of Risk Management</w:t>
            </w:r>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Section44</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30</w:t>
            </w:r>
            <w:r>
              <w:rPr>
                <w:rFonts w:ascii="Arial" w:eastAsia="Arial" w:hAnsi="Arial" w:cs="Arial"/>
                <w:b w:val="0"/>
                <w:i w:val="0"/>
                <w:color w:val="000000"/>
                <w:sz w:val="18"/>
                <w:u w:val="none"/>
              </w:rPr>
              <w:fldChar w:fldCharType="end"/>
            </w:r>
          </w:p>
        </w:tc>
      </w:tr>
      <w:tr>
        <w:tblPrEx>
          <w:tblW w:w="8580" w:type="dxa"/>
          <w:jc w:val="left"/>
          <w:tblInd w:w="0" w:type="dxa"/>
          <w:tblLayout w:type="fixed"/>
          <w:tblCellMar>
            <w:left w:w="108" w:type="dxa"/>
            <w:right w:w="108" w:type="dxa"/>
          </w:tblCellMar>
        </w:tblPrEx>
        <w:trPr>
          <w:cantSplit/>
          <w:trHeight w:hRule="exact" w:val="315"/>
          <w:jc w:val="left"/>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48" w:history="1">
              <w:r>
                <w:rPr>
                  <w:rFonts w:ascii="Arial" w:eastAsia="Arial" w:hAnsi="Arial" w:cs="Arial"/>
                  <w:b w:val="0"/>
                  <w:i w:val="0"/>
                  <w:color w:val="000000"/>
                  <w:sz w:val="18"/>
                  <w:u w:val="none"/>
                  <w:shd w:val="clear" w:color="auto" w:fill="auto"/>
                </w:rPr>
                <w:t>Environmental, Social and Governance Matters</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Section48</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33</w:t>
            </w:r>
            <w:r>
              <w:rPr>
                <w:rFonts w:ascii="Arial" w:eastAsia="Arial" w:hAnsi="Arial" w:cs="Arial"/>
                <w:b w:val="0"/>
                <w:i w:val="0"/>
                <w:color w:val="000000"/>
                <w:sz w:val="18"/>
                <w:u w:val="none"/>
              </w:rPr>
              <w:fldChar w:fldCharType="end"/>
            </w:r>
          </w:p>
        </w:tc>
      </w:tr>
      <w:tr>
        <w:tblPrEx>
          <w:tblW w:w="8580" w:type="dxa"/>
          <w:jc w:val="left"/>
          <w:tblInd w:w="0" w:type="dxa"/>
          <w:tblLayout w:type="fixed"/>
          <w:tblCellMar>
            <w:left w:w="108" w:type="dxa"/>
            <w:right w:w="108" w:type="dxa"/>
          </w:tblCellMar>
        </w:tblPrEx>
        <w:trPr>
          <w:cantSplit/>
          <w:trHeight w:hRule="exact" w:val="315"/>
          <w:jc w:val="left"/>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51" w:history="1">
              <w:r>
                <w:rPr>
                  <w:rFonts w:ascii="Arial" w:eastAsia="Arial" w:hAnsi="Arial" w:cs="Arial"/>
                  <w:b w:val="0"/>
                  <w:i w:val="0"/>
                  <w:color w:val="000000"/>
                  <w:sz w:val="18"/>
                  <w:u w:val="none"/>
                  <w:shd w:val="clear" w:color="auto" w:fill="auto"/>
                </w:rPr>
                <w:t>Code of Conduct</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Section51</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34</w:t>
            </w:r>
            <w:r>
              <w:rPr>
                <w:rFonts w:ascii="Arial" w:eastAsia="Arial" w:hAnsi="Arial" w:cs="Arial"/>
                <w:b w:val="0"/>
                <w:i w:val="0"/>
                <w:color w:val="000000"/>
                <w:sz w:val="18"/>
                <w:u w:val="none"/>
              </w:rPr>
              <w:fldChar w:fldCharType="end"/>
            </w:r>
          </w:p>
        </w:tc>
      </w:tr>
      <w:tr>
        <w:tblPrEx>
          <w:tblW w:w="8580" w:type="dxa"/>
          <w:jc w:val="left"/>
          <w:tblInd w:w="0" w:type="dxa"/>
          <w:tblLayout w:type="fixed"/>
          <w:tblCellMar>
            <w:left w:w="108" w:type="dxa"/>
            <w:right w:w="108" w:type="dxa"/>
          </w:tblCellMar>
        </w:tblPrEx>
        <w:trPr>
          <w:cantSplit/>
          <w:trHeight w:hRule="exact" w:val="315"/>
          <w:jc w:val="left"/>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52" w:history="1">
              <w:r>
                <w:rPr>
                  <w:rFonts w:ascii="Arial" w:eastAsia="Arial" w:hAnsi="Arial" w:cs="Arial"/>
                  <w:b w:val="0"/>
                  <w:i w:val="0"/>
                  <w:color w:val="000000"/>
                  <w:sz w:val="18"/>
                  <w:u w:val="none"/>
                  <w:shd w:val="clear" w:color="auto" w:fill="auto"/>
                </w:rPr>
                <w:t>Shareholder Engagement</w:t>
              </w:r>
            </w:hyperlink>
            <w:r>
              <w:rPr>
                <w:rFonts w:ascii="Arial" w:eastAsia="Arial" w:hAnsi="Arial" w:cs="Arial"/>
                <w:b w:val="0"/>
                <w:i w:val="0"/>
                <w:sz w:val="18"/>
              </w:rPr>
              <w:t xml:space="preserve"> and Communications with our Board</w:t>
            </w:r>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Section52</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34</w:t>
            </w:r>
            <w:r>
              <w:rPr>
                <w:rFonts w:ascii="Arial" w:eastAsia="Arial" w:hAnsi="Arial" w:cs="Arial"/>
                <w:b w:val="0"/>
                <w:i w:val="0"/>
                <w:color w:val="000000"/>
                <w:sz w:val="18"/>
                <w:u w:val="none"/>
              </w:rPr>
              <w:fldChar w:fldCharType="end"/>
            </w:r>
          </w:p>
        </w:tc>
      </w:tr>
      <w:tr>
        <w:tblPrEx>
          <w:tblW w:w="8580" w:type="dxa"/>
          <w:jc w:val="left"/>
          <w:tblInd w:w="0" w:type="dxa"/>
          <w:tblLayout w:type="fixed"/>
          <w:tblCellMar>
            <w:left w:w="108" w:type="dxa"/>
            <w:right w:w="108" w:type="dxa"/>
          </w:tblCellMar>
        </w:tblPrEx>
        <w:trPr>
          <w:cantSplit/>
          <w:trHeight w:hRule="exact" w:val="315"/>
          <w:jc w:val="left"/>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57" w:history="1">
              <w:r>
                <w:rPr>
                  <w:rFonts w:ascii="Arial" w:eastAsia="Arial" w:hAnsi="Arial" w:cs="Arial"/>
                  <w:b w:val="0"/>
                  <w:i w:val="0"/>
                  <w:color w:val="000000"/>
                  <w:sz w:val="18"/>
                  <w:u w:val="none"/>
                  <w:shd w:val="clear" w:color="auto" w:fill="auto"/>
                </w:rPr>
                <w:t>Our Executive Officers</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Section57</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36</w:t>
            </w:r>
            <w:r>
              <w:rPr>
                <w:rFonts w:ascii="Arial" w:eastAsia="Arial" w:hAnsi="Arial" w:cs="Arial"/>
                <w:b w:val="0"/>
                <w:i w:val="0"/>
                <w:color w:val="000000"/>
                <w:sz w:val="18"/>
                <w:u w:val="none"/>
              </w:rPr>
              <w:fldChar w:fldCharType="end"/>
            </w:r>
          </w:p>
        </w:tc>
      </w:tr>
      <w:tr>
        <w:tblPrEx>
          <w:tblW w:w="8580" w:type="dxa"/>
          <w:jc w:val="left"/>
          <w:tblInd w:w="0" w:type="dxa"/>
          <w:tblLayout w:type="fixed"/>
          <w:tblCellMar>
            <w:left w:w="108" w:type="dxa"/>
            <w:right w:w="108" w:type="dxa"/>
          </w:tblCellMar>
        </w:tblPrEx>
        <w:trPr>
          <w:cantSplit/>
          <w:trHeight w:hRule="exact" w:val="315"/>
          <w:jc w:val="left"/>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58" w:history="1">
              <w:r>
                <w:rPr>
                  <w:rFonts w:ascii="Arial" w:eastAsia="Arial" w:hAnsi="Arial" w:cs="Arial"/>
                  <w:b w:val="0"/>
                  <w:i w:val="0"/>
                  <w:color w:val="000000"/>
                  <w:sz w:val="18"/>
                  <w:u w:val="none"/>
                  <w:shd w:val="clear" w:color="auto" w:fill="auto"/>
                </w:rPr>
                <w:t>Director Compensation</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Section58</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39</w:t>
            </w:r>
            <w:r>
              <w:rPr>
                <w:rFonts w:ascii="Arial" w:eastAsia="Arial" w:hAnsi="Arial" w:cs="Arial"/>
                <w:b w:val="0"/>
                <w:i w:val="0"/>
                <w:color w:val="000000"/>
                <w:sz w:val="18"/>
                <w:u w:val="none"/>
              </w:rPr>
              <w:fldChar w:fldCharType="end"/>
            </w:r>
          </w:p>
        </w:tc>
      </w:tr>
    </w:tbl>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
          <w:u w:val="none"/>
        </w:rPr>
        <w:sectPr>
          <w:headerReference w:type="default" r:id="rId41"/>
          <w:footerReference w:type="default" r:id="rId42"/>
          <w:pgSz w:w="12240" w:h="15840"/>
          <w:pgMar w:top="855" w:right="990" w:bottom="855" w:left="990" w:header="180" w:footer="270"/>
          <w:pgNumType w:start="1"/>
          <w:cols w:space="708"/>
        </w:sect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bookmarkStart w:id="12" w:name="Section15"/>
      <w:bookmarkEnd w:id="12"/>
    </w:p>
    <w:tbl>
      <w:tblPr>
        <w:tblW w:w="1015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15"/>
        <w:gridCol w:w="195"/>
        <w:gridCol w:w="1515"/>
        <w:gridCol w:w="1515"/>
        <w:gridCol w:w="3045"/>
        <w:gridCol w:w="3045"/>
        <w:gridCol w:w="525"/>
      </w:tblGrid>
      <w:tr>
        <w:tblPrEx>
          <w:tblW w:w="1015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30" w:type="dxa"/>
            <w:gridSpan w:val="2"/>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2060"/>
                <w:sz w:val="24"/>
                <w:u w:val="none"/>
              </w:rPr>
              <w:t>Proposal 1:</w:t>
            </w:r>
          </w:p>
        </w:tc>
        <w:tc>
          <w:tcPr>
            <w:tcW w:w="3045" w:type="dxa"/>
            <w:tcBorders>
              <w:top w:val="nil"/>
              <w:left w:val="nil"/>
              <w:bottom w:val="single" w:sz="4" w:space="0" w:color="4494D1"/>
              <w:right w:val="nil"/>
            </w:tcBorders>
            <w:tcMar>
              <w:top w:w="0" w:type="dxa"/>
              <w:left w:w="0" w:type="dxa"/>
              <w:bottom w:w="0" w:type="dxa"/>
              <w:right w:w="0" w:type="dxa"/>
            </w:tcMar>
            <w:vAlign w:val="bottom"/>
          </w:tcPr>
          <w:p>
            <w:pPr>
              <w:keepNext/>
              <w:pageBreakBefore w:val="0"/>
              <w:spacing w:before="0" w:after="0"/>
            </w:pPr>
          </w:p>
        </w:tc>
        <w:tc>
          <w:tcPr>
            <w:tcW w:w="3045" w:type="dxa"/>
            <w:tcBorders>
              <w:top w:val="nil"/>
              <w:left w:val="nil"/>
              <w:bottom w:val="single" w:sz="4" w:space="0" w:color="4494D1"/>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single" w:sz="4" w:space="0" w:color="4494D1"/>
              <w:right w:val="nil"/>
            </w:tcBorders>
            <w:tcMar>
              <w:top w:w="0" w:type="dxa"/>
              <w:left w:w="0" w:type="dxa"/>
              <w:bottom w:w="0" w:type="dxa"/>
              <w:right w:w="0" w:type="dxa"/>
            </w:tcMar>
            <w:vAlign w:val="bottom"/>
          </w:tcPr>
          <w:p>
            <w:pPr>
              <w:keepNext/>
              <w:pageBreakBefore w:val="0"/>
              <w:spacing w:before="0" w:after="0"/>
            </w:pPr>
          </w:p>
        </w:tc>
      </w:tr>
      <w:tr>
        <w:tblPrEx>
          <w:tblW w:w="10155" w:type="dxa"/>
          <w:tblInd w:w="0" w:type="dxa"/>
          <w:tblLayout w:type="fixed"/>
          <w:tblCellMar>
            <w:left w:w="108" w:type="dxa"/>
            <w:right w:w="108" w:type="dxa"/>
          </w:tblCellMar>
        </w:tblPrEx>
        <w:trPr>
          <w:cantSplit/>
          <w:trHeight w:hRule="exact" w:val="6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120" w:type="dxa"/>
            <w:gridSpan w:val="4"/>
            <w:tcBorders>
              <w:top w:val="nil"/>
              <w:left w:val="nil"/>
              <w:bottom w:val="nil"/>
              <w:right w:val="nil"/>
            </w:tcBorders>
            <w:tcMar>
              <w:top w:w="0" w:type="dxa"/>
              <w:left w:w="53" w:type="dxa"/>
              <w:bottom w:w="0" w:type="dxa"/>
              <w:right w:w="53" w:type="dxa"/>
            </w:tcMar>
            <w:vAlign w:val="bottom"/>
          </w:tcPr>
          <w:p>
            <w:pPr>
              <w:keepNext/>
              <w:pageBreakBefore w:val="0"/>
              <w:spacing w:before="43" w:after="30" w:line="240" w:lineRule="auto"/>
              <w:jc w:val="left"/>
            </w:pPr>
            <w:r>
              <w:rPr>
                <w:rFonts w:ascii="Arial" w:eastAsia="Arial" w:hAnsi="Arial" w:cs="Arial"/>
                <w:b/>
                <w:i w:val="0"/>
                <w:color w:val="4494D1"/>
                <w:sz w:val="40"/>
                <w:u w:val="none"/>
              </w:rPr>
              <w:t>Election of Directors</w:t>
            </w:r>
          </w:p>
        </w:tc>
        <w:tc>
          <w:tcPr>
            <w:tcW w:w="525" w:type="dxa"/>
            <w:tcBorders>
              <w:top w:val="single" w:sz="4" w:space="0" w:color="4494D1"/>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155"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9840" w:type="dxa"/>
            <w:gridSpan w:val="6"/>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155"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30" w:type="dxa"/>
            <w:gridSpan w:val="2"/>
            <w:tcBorders>
              <w:top w:val="nil"/>
              <w:left w:val="nil"/>
              <w:bottom w:val="nil"/>
              <w:right w:val="nil"/>
            </w:tcBorders>
            <w:shd w:val="clear" w:color="auto" w:fill="4494D1"/>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i w:val="0"/>
                <w:color w:val="FFFFFF"/>
                <w:sz w:val="20"/>
                <w:u w:val="none"/>
              </w:rPr>
              <w:t>WHAT AM I VOTING ON?</w:t>
            </w:r>
          </w:p>
        </w:tc>
        <w:tc>
          <w:tcPr>
            <w:tcW w:w="30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155"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155" w:type="dxa"/>
          <w:tblInd w:w="0" w:type="dxa"/>
          <w:tblLayout w:type="fixed"/>
          <w:tblCellMar>
            <w:left w:w="108" w:type="dxa"/>
            <w:right w:w="108" w:type="dxa"/>
          </w:tblCellMar>
        </w:tblPrEx>
        <w:trPr>
          <w:cantSplit/>
          <w:trHeight w:hRule="exact" w:val="12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120" w:type="dxa"/>
            <w:gridSpan w:val="4"/>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300" w:lineRule="auto"/>
              <w:ind w:left="0" w:right="0" w:firstLine="0"/>
              <w:jc w:val="both"/>
              <w:outlineLvl w:val="9"/>
              <w:rPr>
                <w:rFonts w:ascii="Arial" w:eastAsia="Arial" w:hAnsi="Arial" w:cs="Arial"/>
                <w:b w:val="0"/>
                <w:i w:val="0"/>
                <w:sz w:val="20"/>
              </w:rPr>
            </w:pPr>
            <w:r>
              <w:rPr>
                <w:rFonts w:ascii="Arial" w:eastAsia="Arial" w:hAnsi="Arial" w:cs="Arial"/>
                <w:b/>
                <w:i w:val="0"/>
                <w:sz w:val="20"/>
              </w:rPr>
              <w:t xml:space="preserve">The Board of Directors, upon the recommendation of the Nominating and Governance Committee, has nominated the following twelve individuals for election to the Board for a one-year term. If elected, each Director nominee will hold office until the </w:t>
            </w:r>
            <w:r>
              <w:rPr>
                <w:rFonts w:ascii="Arial" w:eastAsia="Arial" w:hAnsi="Arial" w:cs="Arial"/>
                <w:b/>
                <w:i w:val="0"/>
                <w:color w:val="000000"/>
                <w:sz w:val="20"/>
                <w:u w:val="none"/>
              </w:rPr>
              <w:t>2025</w:t>
            </w:r>
            <w:r>
              <w:rPr>
                <w:rFonts w:ascii="Arial" w:eastAsia="Arial" w:hAnsi="Arial" w:cs="Arial"/>
                <w:b/>
                <w:i w:val="0"/>
                <w:sz w:val="20"/>
              </w:rPr>
              <w:t xml:space="preserve"> Annual General Meeting of Shareholders or, if earlier, until his or her resignation or removal.</w:t>
            </w: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155"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30" w:type="dxa"/>
            <w:gridSpan w:val="2"/>
            <w:tcBorders>
              <w:top w:val="nil"/>
              <w:left w:val="nil"/>
              <w:bottom w:val="nil"/>
              <w:right w:val="nil"/>
            </w:tcBorders>
            <w:tcMar>
              <w:top w:w="0" w:type="dxa"/>
              <w:left w:w="53" w:type="dxa"/>
              <w:bottom w:w="0" w:type="dxa"/>
              <w:right w:w="53" w:type="dxa"/>
            </w:tcMar>
            <w:vAlign w:val="bottom"/>
          </w:tcPr>
          <w:p>
            <w:pPr>
              <w:keepNext/>
              <w:pageBreakBefore w:val="0"/>
              <w:numPr>
                <w:ilvl w:val="0"/>
                <w:numId w:val="61"/>
              </w:numPr>
              <w:spacing w:before="53" w:after="30" w:line="288" w:lineRule="auto"/>
              <w:ind w:left="270" w:right="0" w:hanging="270"/>
              <w:jc w:val="left"/>
              <w:outlineLvl w:val="9"/>
              <w:rPr>
                <w:rFonts w:ascii="Arial" w:eastAsia="Arial" w:hAnsi="Arial" w:cs="Arial"/>
                <w:b/>
                <w:i w:val="0"/>
                <w:color w:val="4494D1"/>
                <w:sz w:val="20"/>
                <w:u w:val="none"/>
              </w:rPr>
            </w:pPr>
            <w:r>
              <w:rPr>
                <w:rFonts w:ascii="Arial" w:eastAsia="Arial" w:hAnsi="Arial" w:cs="Arial"/>
                <w:b/>
                <w:i w:val="0"/>
                <w:color w:val="000000"/>
                <w:sz w:val="20"/>
                <w:u w:val="none"/>
              </w:rPr>
              <w:t>Robert J. Campbell</w:t>
            </w:r>
          </w:p>
        </w:tc>
        <w:tc>
          <w:tcPr>
            <w:tcW w:w="304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60"/>
              </w:numPr>
              <w:spacing w:before="53" w:after="30" w:line="288" w:lineRule="auto"/>
              <w:ind w:left="270" w:right="0" w:hanging="270"/>
              <w:jc w:val="left"/>
              <w:outlineLvl w:val="9"/>
              <w:rPr>
                <w:rFonts w:ascii="Arial" w:eastAsia="Arial" w:hAnsi="Arial" w:cs="Arial"/>
                <w:b/>
                <w:i w:val="0"/>
                <w:color w:val="4494D1"/>
                <w:sz w:val="20"/>
                <w:u w:val="none"/>
              </w:rPr>
            </w:pPr>
            <w:r>
              <w:rPr>
                <w:rFonts w:ascii="Arial" w:eastAsia="Arial" w:hAnsi="Arial" w:cs="Arial"/>
                <w:b/>
                <w:i w:val="0"/>
                <w:color w:val="000000"/>
                <w:sz w:val="20"/>
                <w:u w:val="none"/>
              </w:rPr>
              <w:t>Susan L. Cross</w:t>
            </w:r>
          </w:p>
        </w:tc>
        <w:tc>
          <w:tcPr>
            <w:tcW w:w="304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59"/>
              </w:numPr>
              <w:spacing w:before="53" w:after="30" w:line="288" w:lineRule="auto"/>
              <w:ind w:left="270" w:right="0" w:hanging="270"/>
              <w:jc w:val="left"/>
              <w:outlineLvl w:val="9"/>
              <w:rPr>
                <w:rFonts w:ascii="Arial" w:eastAsia="Arial" w:hAnsi="Arial" w:cs="Arial"/>
                <w:b/>
                <w:i w:val="0"/>
                <w:color w:val="4494D1"/>
                <w:sz w:val="20"/>
                <w:u w:val="none"/>
              </w:rPr>
            </w:pPr>
            <w:r>
              <w:rPr>
                <w:rFonts w:ascii="Arial" w:eastAsia="Arial" w:hAnsi="Arial" w:cs="Arial"/>
                <w:b/>
                <w:i w:val="0"/>
                <w:color w:val="000000"/>
                <w:sz w:val="20"/>
                <w:u w:val="none"/>
              </w:rPr>
              <w:t>Paul J. O’Shea</w:t>
            </w: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155"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30" w:type="dxa"/>
            <w:gridSpan w:val="2"/>
            <w:tcBorders>
              <w:top w:val="nil"/>
              <w:left w:val="nil"/>
              <w:bottom w:val="nil"/>
              <w:right w:val="nil"/>
            </w:tcBorders>
            <w:tcMar>
              <w:top w:w="0" w:type="dxa"/>
              <w:left w:w="53" w:type="dxa"/>
              <w:bottom w:w="0" w:type="dxa"/>
              <w:right w:w="53" w:type="dxa"/>
            </w:tcMar>
            <w:vAlign w:val="bottom"/>
          </w:tcPr>
          <w:p>
            <w:pPr>
              <w:keepNext/>
              <w:pageBreakBefore w:val="0"/>
              <w:numPr>
                <w:ilvl w:val="0"/>
                <w:numId w:val="58"/>
              </w:numPr>
              <w:spacing w:before="53" w:after="30" w:line="288" w:lineRule="auto"/>
              <w:ind w:left="270" w:right="0" w:hanging="270"/>
              <w:jc w:val="left"/>
              <w:outlineLvl w:val="9"/>
              <w:rPr>
                <w:rFonts w:ascii="Arial" w:eastAsia="Arial" w:hAnsi="Arial" w:cs="Arial"/>
                <w:b/>
                <w:i w:val="0"/>
                <w:color w:val="4494D1"/>
                <w:sz w:val="20"/>
                <w:u w:val="none"/>
              </w:rPr>
            </w:pPr>
            <w:r>
              <w:rPr>
                <w:rFonts w:ascii="Arial" w:eastAsia="Arial" w:hAnsi="Arial" w:cs="Arial"/>
                <w:b/>
                <w:i w:val="0"/>
                <w:color w:val="000000"/>
                <w:sz w:val="20"/>
                <w:u w:val="none"/>
              </w:rPr>
              <w:t>B. Frederick Becker</w:t>
            </w:r>
          </w:p>
        </w:tc>
        <w:tc>
          <w:tcPr>
            <w:tcW w:w="304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57"/>
              </w:numPr>
              <w:spacing w:before="53" w:after="30" w:line="288" w:lineRule="auto"/>
              <w:ind w:left="270" w:right="0" w:hanging="270"/>
              <w:jc w:val="left"/>
              <w:outlineLvl w:val="9"/>
              <w:rPr>
                <w:rFonts w:ascii="Arial" w:eastAsia="Arial" w:hAnsi="Arial" w:cs="Arial"/>
                <w:b/>
                <w:i w:val="0"/>
                <w:color w:val="4494D1"/>
                <w:sz w:val="20"/>
                <w:u w:val="none"/>
              </w:rPr>
            </w:pPr>
            <w:r>
              <w:rPr>
                <w:rFonts w:ascii="Arial" w:eastAsia="Arial" w:hAnsi="Arial" w:cs="Arial"/>
                <w:b/>
                <w:i w:val="0"/>
                <w:color w:val="000000"/>
                <w:sz w:val="20"/>
                <w:u w:val="none"/>
              </w:rPr>
              <w:t>Hans-Peter Gerhardt</w:t>
            </w:r>
          </w:p>
        </w:tc>
        <w:tc>
          <w:tcPr>
            <w:tcW w:w="304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56"/>
              </w:numPr>
              <w:spacing w:before="53" w:after="30" w:line="288" w:lineRule="auto"/>
              <w:ind w:left="270" w:right="0" w:hanging="270"/>
              <w:jc w:val="left"/>
              <w:outlineLvl w:val="9"/>
              <w:rPr>
                <w:rFonts w:ascii="Arial" w:eastAsia="Arial" w:hAnsi="Arial" w:cs="Arial"/>
                <w:b/>
                <w:i w:val="0"/>
                <w:color w:val="4494D1"/>
                <w:sz w:val="20"/>
                <w:u w:val="none"/>
              </w:rPr>
            </w:pPr>
            <w:r>
              <w:rPr>
                <w:rFonts w:ascii="Arial" w:eastAsia="Arial" w:hAnsi="Arial" w:cs="Arial"/>
                <w:b/>
                <w:i w:val="0"/>
                <w:color w:val="000000"/>
                <w:sz w:val="20"/>
                <w:u w:val="none"/>
              </w:rPr>
              <w:t>Hitesh Patel</w:t>
            </w: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155"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30" w:type="dxa"/>
            <w:gridSpan w:val="2"/>
            <w:tcBorders>
              <w:top w:val="nil"/>
              <w:left w:val="nil"/>
              <w:bottom w:val="nil"/>
              <w:right w:val="nil"/>
            </w:tcBorders>
            <w:tcMar>
              <w:top w:w="0" w:type="dxa"/>
              <w:left w:w="53" w:type="dxa"/>
              <w:bottom w:w="0" w:type="dxa"/>
              <w:right w:w="53" w:type="dxa"/>
            </w:tcMar>
            <w:vAlign w:val="bottom"/>
          </w:tcPr>
          <w:p>
            <w:pPr>
              <w:keepNext/>
              <w:pageBreakBefore w:val="0"/>
              <w:numPr>
                <w:ilvl w:val="0"/>
                <w:numId w:val="55"/>
              </w:numPr>
              <w:spacing w:before="53" w:after="30" w:line="288" w:lineRule="auto"/>
              <w:ind w:left="270" w:right="0" w:hanging="270"/>
              <w:jc w:val="left"/>
              <w:outlineLvl w:val="9"/>
              <w:rPr>
                <w:rFonts w:ascii="Arial" w:eastAsia="Arial" w:hAnsi="Arial" w:cs="Arial"/>
                <w:b/>
                <w:i w:val="0"/>
                <w:color w:val="4494D1"/>
                <w:sz w:val="20"/>
                <w:u w:val="none"/>
              </w:rPr>
            </w:pPr>
            <w:r>
              <w:rPr>
                <w:rFonts w:ascii="Arial" w:eastAsia="Arial" w:hAnsi="Arial" w:cs="Arial"/>
                <w:b/>
                <w:i w:val="0"/>
                <w:color w:val="000000"/>
                <w:sz w:val="20"/>
                <w:u w:val="none"/>
              </w:rPr>
              <w:t>Sharon A. Beesley</w:t>
            </w:r>
          </w:p>
        </w:tc>
        <w:tc>
          <w:tcPr>
            <w:tcW w:w="304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54"/>
              </w:numPr>
              <w:spacing w:before="53" w:after="30" w:line="288" w:lineRule="auto"/>
              <w:ind w:left="270" w:right="0" w:hanging="270"/>
              <w:jc w:val="left"/>
              <w:outlineLvl w:val="9"/>
              <w:rPr>
                <w:rFonts w:ascii="Arial" w:eastAsia="Arial" w:hAnsi="Arial" w:cs="Arial"/>
                <w:b/>
                <w:i w:val="0"/>
                <w:color w:val="4494D1"/>
                <w:sz w:val="20"/>
                <w:u w:val="none"/>
              </w:rPr>
            </w:pPr>
            <w:r>
              <w:rPr>
                <w:rFonts w:ascii="Arial" w:eastAsia="Arial" w:hAnsi="Arial" w:cs="Arial"/>
                <w:b/>
                <w:i w:val="0"/>
                <w:color w:val="000000"/>
                <w:sz w:val="20"/>
                <w:u w:val="none"/>
              </w:rPr>
              <w:t>Orla Gregory</w:t>
            </w:r>
          </w:p>
        </w:tc>
        <w:tc>
          <w:tcPr>
            <w:tcW w:w="304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53"/>
              </w:numPr>
              <w:spacing w:before="53" w:after="30" w:line="288" w:lineRule="auto"/>
              <w:ind w:left="270" w:right="0" w:hanging="270"/>
              <w:jc w:val="left"/>
              <w:outlineLvl w:val="9"/>
              <w:rPr>
                <w:rFonts w:ascii="Arial" w:eastAsia="Arial" w:hAnsi="Arial" w:cs="Arial"/>
                <w:b/>
                <w:i w:val="0"/>
                <w:color w:val="4494D1"/>
                <w:sz w:val="20"/>
                <w:u w:val="none"/>
              </w:rPr>
            </w:pPr>
            <w:r>
              <w:rPr>
                <w:rFonts w:ascii="Arial" w:eastAsia="Arial" w:hAnsi="Arial" w:cs="Arial"/>
                <w:b/>
                <w:i w:val="0"/>
                <w:color w:val="000000"/>
                <w:sz w:val="20"/>
                <w:u w:val="none"/>
              </w:rPr>
              <w:t>Dominic Silvester</w:t>
            </w: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155"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30" w:type="dxa"/>
            <w:gridSpan w:val="2"/>
            <w:tcBorders>
              <w:top w:val="nil"/>
              <w:left w:val="nil"/>
              <w:bottom w:val="nil"/>
              <w:right w:val="nil"/>
            </w:tcBorders>
            <w:tcMar>
              <w:top w:w="0" w:type="dxa"/>
              <w:left w:w="53" w:type="dxa"/>
              <w:bottom w:w="0" w:type="dxa"/>
              <w:right w:w="53" w:type="dxa"/>
            </w:tcMar>
            <w:vAlign w:val="bottom"/>
          </w:tcPr>
          <w:p>
            <w:pPr>
              <w:keepNext/>
              <w:pageBreakBefore w:val="0"/>
              <w:numPr>
                <w:ilvl w:val="0"/>
                <w:numId w:val="52"/>
              </w:numPr>
              <w:spacing w:before="53" w:after="30" w:line="288" w:lineRule="auto"/>
              <w:ind w:left="270" w:right="0" w:hanging="270"/>
              <w:jc w:val="left"/>
              <w:outlineLvl w:val="9"/>
              <w:rPr>
                <w:rFonts w:ascii="Arial" w:eastAsia="Arial" w:hAnsi="Arial" w:cs="Arial"/>
                <w:b/>
                <w:i w:val="0"/>
                <w:color w:val="4494D1"/>
                <w:sz w:val="20"/>
                <w:u w:val="none"/>
              </w:rPr>
            </w:pPr>
            <w:r>
              <w:rPr>
                <w:rFonts w:ascii="Arial" w:eastAsia="Arial" w:hAnsi="Arial" w:cs="Arial"/>
                <w:b/>
                <w:i w:val="0"/>
                <w:color w:val="000000"/>
                <w:sz w:val="20"/>
                <w:u w:val="none"/>
              </w:rPr>
              <w:t>James D. Carey</w:t>
            </w:r>
          </w:p>
        </w:tc>
        <w:tc>
          <w:tcPr>
            <w:tcW w:w="304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51"/>
              </w:numPr>
              <w:spacing w:before="53" w:after="30" w:line="288" w:lineRule="auto"/>
              <w:ind w:left="270" w:right="0" w:hanging="270"/>
              <w:jc w:val="left"/>
              <w:outlineLvl w:val="9"/>
              <w:rPr>
                <w:rFonts w:ascii="Arial" w:eastAsia="Arial" w:hAnsi="Arial" w:cs="Arial"/>
                <w:b/>
                <w:i w:val="0"/>
                <w:color w:val="4494D1"/>
                <w:sz w:val="20"/>
                <w:u w:val="none"/>
              </w:rPr>
            </w:pPr>
            <w:r>
              <w:rPr>
                <w:rFonts w:ascii="Arial" w:eastAsia="Arial" w:hAnsi="Arial" w:cs="Arial"/>
                <w:b/>
                <w:i w:val="0"/>
                <w:color w:val="000000"/>
                <w:sz w:val="20"/>
                <w:u w:val="none"/>
              </w:rPr>
              <w:t>Myron Hendry</w:t>
            </w:r>
          </w:p>
        </w:tc>
        <w:tc>
          <w:tcPr>
            <w:tcW w:w="304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50"/>
              </w:numPr>
              <w:spacing w:before="53" w:after="30" w:line="288" w:lineRule="auto"/>
              <w:ind w:left="270" w:right="0" w:hanging="270"/>
              <w:jc w:val="left"/>
              <w:outlineLvl w:val="9"/>
              <w:rPr>
                <w:rFonts w:ascii="Arial" w:eastAsia="Arial" w:hAnsi="Arial" w:cs="Arial"/>
                <w:b/>
                <w:i w:val="0"/>
                <w:color w:val="4494D1"/>
                <w:sz w:val="20"/>
                <w:u w:val="none"/>
              </w:rPr>
            </w:pPr>
            <w:r>
              <w:rPr>
                <w:rFonts w:ascii="Arial" w:eastAsia="Arial" w:hAnsi="Arial" w:cs="Arial"/>
                <w:b/>
                <w:i w:val="0"/>
                <w:color w:val="000000"/>
                <w:sz w:val="20"/>
                <w:u w:val="none"/>
              </w:rPr>
              <w:t>Poul A. Winslow</w:t>
            </w: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155"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155"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30" w:type="dxa"/>
            <w:gridSpan w:val="2"/>
            <w:tcBorders>
              <w:top w:val="nil"/>
              <w:left w:val="nil"/>
              <w:bottom w:val="nil"/>
              <w:right w:val="nil"/>
            </w:tcBorders>
            <w:shd w:val="clear" w:color="auto" w:fill="4494D1"/>
            <w:tcMar>
              <w:top w:w="0" w:type="dxa"/>
              <w:left w:w="53" w:type="dxa"/>
              <w:bottom w:w="0" w:type="dxa"/>
              <w:right w:w="53" w:type="dxa"/>
            </w:tcMar>
            <w:vAlign w:val="center"/>
          </w:tcPr>
          <w:p>
            <w:pPr>
              <w:keepNext/>
              <w:pageBreakBefore w:val="0"/>
              <w:spacing w:before="0" w:after="0" w:line="288" w:lineRule="auto"/>
              <w:jc w:val="center"/>
            </w:pPr>
            <w:r>
              <w:rPr>
                <w:rFonts w:ascii="Arial" w:eastAsia="Arial" w:hAnsi="Arial" w:cs="Arial"/>
                <w:b/>
                <w:i w:val="0"/>
                <w:color w:val="FFFFFF"/>
                <w:sz w:val="20"/>
                <w:u w:val="none"/>
              </w:rPr>
              <w:t>RECOMMENDATION</w:t>
            </w:r>
          </w:p>
        </w:tc>
        <w:tc>
          <w:tcPr>
            <w:tcW w:w="30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155"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155" w:type="dxa"/>
          <w:tblInd w:w="0" w:type="dxa"/>
          <w:tblLayout w:type="fixed"/>
          <w:tblCellMar>
            <w:left w:w="108" w:type="dxa"/>
            <w:right w:w="108" w:type="dxa"/>
          </w:tblCellMar>
        </w:tblPrEx>
        <w:trPr>
          <w:cantSplit/>
          <w:trHeight w:hRule="exact" w:val="103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center"/>
              <w:outlineLvl w:val="9"/>
              <w:rPr>
                <w:rFonts w:ascii="Wingdings" w:eastAsia="Wingdings" w:hAnsi="Wingdings" w:cs="Wingdings"/>
                <w:b/>
                <w:i w:val="0"/>
                <w:color w:val="4494D1"/>
                <w:sz w:val="90"/>
                <w:u w:val="none"/>
              </w:rPr>
            </w:pPr>
            <w:r>
              <w:pict>
                <v:shape id="_x0000_s1062" type="#_x0000_t75" style="width:50.4pt;height:50.4pt;margin-top:0;margin-left:0;mso-position-horizontal:center;position:absolute;z-index:251683840">
                  <v:imagedata r:id="rId43" o:title=""/>
                  <o:lock v:ext="edit" aspectratio="t"/>
                  <w10:wrap type="square"/>
                </v:shape>
              </w:pict>
            </w:r>
          </w:p>
        </w:tc>
        <w:tc>
          <w:tcPr>
            <w:tcW w:w="7605" w:type="dxa"/>
            <w:gridSpan w:val="3"/>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both"/>
              <w:outlineLvl w:val="9"/>
              <w:rPr>
                <w:rFonts w:ascii="Arial" w:eastAsia="Arial" w:hAnsi="Arial" w:cs="Arial"/>
                <w:b/>
                <w:i w:val="0"/>
                <w:color w:val="171449"/>
                <w:sz w:val="28"/>
                <w:u w:val="none"/>
              </w:rPr>
            </w:pPr>
            <w:r>
              <w:rPr>
                <w:rFonts w:ascii="Arial" w:eastAsia="Arial" w:hAnsi="Arial" w:cs="Arial"/>
                <w:b/>
                <w:i w:val="0"/>
                <w:sz w:val="28"/>
              </w:rPr>
              <w:t xml:space="preserve">The Board recommends a vote </w:t>
            </w:r>
            <w:r>
              <w:rPr>
                <w:rFonts w:ascii="Arial" w:eastAsia="Arial" w:hAnsi="Arial" w:cs="Arial"/>
                <w:b/>
                <w:i w:val="0"/>
                <w:color w:val="4494D1"/>
                <w:sz w:val="28"/>
                <w:u w:val="none"/>
              </w:rPr>
              <w:t>FOR</w:t>
            </w:r>
            <w:r>
              <w:rPr>
                <w:rFonts w:ascii="Arial" w:eastAsia="Arial" w:hAnsi="Arial" w:cs="Arial"/>
                <w:b/>
                <w:i w:val="0"/>
                <w:sz w:val="28"/>
              </w:rPr>
              <w:t xml:space="preserve"> each nominee</w:t>
            </w:r>
            <w:r>
              <w:rPr>
                <w:rFonts w:ascii="Arial" w:eastAsia="Arial" w:hAnsi="Arial" w:cs="Arial"/>
                <w:b/>
                <w:i w:val="0"/>
                <w:sz w:val="28"/>
              </w:rPr>
              <w:t xml:space="preserve"> to serve as a director</w:t>
            </w: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155"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155"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30" w:type="dxa"/>
            <w:gridSpan w:val="2"/>
            <w:tcBorders>
              <w:top w:val="nil"/>
              <w:left w:val="nil"/>
              <w:bottom w:val="nil"/>
              <w:right w:val="nil"/>
            </w:tcBorders>
            <w:shd w:val="clear" w:color="auto" w:fill="4494D1"/>
            <w:tcMar>
              <w:top w:w="0" w:type="dxa"/>
              <w:left w:w="53" w:type="dxa"/>
              <w:bottom w:w="0" w:type="dxa"/>
              <w:right w:w="53" w:type="dxa"/>
            </w:tcMar>
            <w:vAlign w:val="center"/>
          </w:tcPr>
          <w:p>
            <w:pPr>
              <w:keepNext/>
              <w:pageBreakBefore w:val="0"/>
              <w:spacing w:before="0" w:after="0" w:line="288" w:lineRule="auto"/>
              <w:jc w:val="center"/>
            </w:pPr>
            <w:r>
              <w:rPr>
                <w:rFonts w:ascii="Arial" w:eastAsia="Arial" w:hAnsi="Arial" w:cs="Arial"/>
                <w:b/>
                <w:i w:val="0"/>
                <w:color w:val="FFFFFF"/>
                <w:sz w:val="20"/>
                <w:u w:val="none"/>
              </w:rPr>
              <w:t>ADDITIONAL INFORMATION</w:t>
            </w:r>
          </w:p>
        </w:tc>
        <w:tc>
          <w:tcPr>
            <w:tcW w:w="30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155"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155" w:type="dxa"/>
          <w:tblInd w:w="0" w:type="dxa"/>
          <w:tblLayout w:type="fixed"/>
          <w:tblCellMar>
            <w:left w:w="108" w:type="dxa"/>
            <w:right w:w="108" w:type="dxa"/>
          </w:tblCellMar>
        </w:tblPrEx>
        <w:trPr>
          <w:cantSplit/>
          <w:trHeight w:hRule="exact" w:val="1980"/>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120" w:type="dxa"/>
            <w:gridSpan w:val="4"/>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120" w:line="300" w:lineRule="auto"/>
              <w:ind w:left="0" w:right="0" w:firstLine="0"/>
              <w:jc w:val="both"/>
              <w:outlineLvl w:val="1"/>
              <w:rPr>
                <w:rFonts w:ascii="Arial" w:eastAsia="Arial" w:hAnsi="Arial" w:cs="Arial"/>
                <w:b w:val="0"/>
                <w:i w:val="0"/>
                <w:sz w:val="20"/>
              </w:rPr>
            </w:pPr>
            <w:r>
              <w:rPr>
                <w:rFonts w:ascii="Arial" w:eastAsia="Arial" w:hAnsi="Arial" w:cs="Arial"/>
                <w:b w:val="0"/>
                <w:i w:val="0"/>
                <w:sz w:val="20"/>
              </w:rPr>
              <w:t>All of the nominees are currently serving as directors, and their biographies are presented below under "Biographies of Director Nominees." Included in each nominee’s biography is an assessment of his or her specific qualifications, attributes, skills, and experience. The nominees were selected following the recommendation by our Nominating and Governance Committee, a committee comprised entirely of independent directors. Each nominee has consented to serve if elected. We do not expect that any nominee will become unavailable for election as a director, but if a nominee should become unavailable prior to the meeting, the proxies to vote for such nominee will instead either be voted for a substitute nominee recommended by our Board, or not voted, if the Board determines in its discretion that the position should remain vacant.</w:t>
            </w:r>
          </w:p>
          <w:p>
            <w:pPr>
              <w:pageBreakBefore w:val="0"/>
              <w:numPr>
                <w:ilvl w:val="0"/>
                <w:numId w:val="0"/>
              </w:numPr>
              <w:spacing w:before="0" w:after="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A</w:t>
            </w:r>
            <w:r>
              <w:rPr>
                <w:rFonts w:ascii="Arial" w:eastAsia="Arial" w:hAnsi="Arial" w:cs="Arial"/>
                <w:b w:val="0"/>
                <w:i w:val="0"/>
                <w:sz w:val="20"/>
              </w:rPr>
              <w:t xml:space="preserve">ll of our directors </w:t>
            </w:r>
            <w:r>
              <w:rPr>
                <w:rFonts w:ascii="Arial" w:eastAsia="Arial" w:hAnsi="Arial" w:cs="Arial"/>
                <w:b w:val="0"/>
                <w:i w:val="0"/>
                <w:sz w:val="20"/>
              </w:rPr>
              <w:t>are</w:t>
            </w:r>
            <w:r>
              <w:rPr>
                <w:rFonts w:ascii="Arial" w:eastAsia="Arial" w:hAnsi="Arial" w:cs="Arial"/>
                <w:b w:val="0"/>
                <w:i w:val="0"/>
                <w:sz w:val="20"/>
              </w:rPr>
              <w:t xml:space="preserve"> elected to one-year terms. If elected at the </w:t>
            </w:r>
            <w:r>
              <w:rPr>
                <w:rFonts w:ascii="Arial" w:eastAsia="Arial" w:hAnsi="Arial" w:cs="Arial"/>
                <w:b w:val="0"/>
                <w:i w:val="0"/>
                <w:color w:val="000000"/>
                <w:sz w:val="20"/>
                <w:u w:val="none"/>
              </w:rPr>
              <w:t>2024</w:t>
            </w:r>
            <w:r>
              <w:rPr>
                <w:rFonts w:ascii="Arial" w:eastAsia="Arial" w:hAnsi="Arial" w:cs="Arial"/>
                <w:b w:val="0"/>
                <w:i w:val="0"/>
                <w:sz w:val="20"/>
              </w:rPr>
              <w:t xml:space="preserve"> </w:t>
            </w:r>
            <w:r>
              <w:rPr>
                <w:rFonts w:ascii="Arial" w:eastAsia="Arial" w:hAnsi="Arial" w:cs="Arial"/>
                <w:b w:val="0"/>
                <w:i w:val="0"/>
                <w:sz w:val="20"/>
              </w:rPr>
              <w:t>A</w:t>
            </w:r>
            <w:r>
              <w:rPr>
                <w:rFonts w:ascii="Arial" w:eastAsia="Arial" w:hAnsi="Arial" w:cs="Arial"/>
                <w:b w:val="0"/>
                <w:i w:val="0"/>
                <w:sz w:val="20"/>
              </w:rPr>
              <w:t xml:space="preserve">nnual </w:t>
            </w:r>
            <w:r>
              <w:rPr>
                <w:rFonts w:ascii="Arial" w:eastAsia="Arial" w:hAnsi="Arial" w:cs="Arial"/>
                <w:b w:val="0"/>
                <w:i w:val="0"/>
                <w:sz w:val="20"/>
              </w:rPr>
              <w:t>G</w:t>
            </w:r>
            <w:r>
              <w:rPr>
                <w:rFonts w:ascii="Arial" w:eastAsia="Arial" w:hAnsi="Arial" w:cs="Arial"/>
                <w:b w:val="0"/>
                <w:i w:val="0"/>
                <w:sz w:val="20"/>
              </w:rPr>
              <w:t xml:space="preserve">eneral </w:t>
            </w:r>
            <w:r>
              <w:rPr>
                <w:rFonts w:ascii="Arial" w:eastAsia="Arial" w:hAnsi="Arial" w:cs="Arial"/>
                <w:b w:val="0"/>
                <w:i w:val="0"/>
                <w:sz w:val="20"/>
              </w:rPr>
              <w:t>M</w:t>
            </w:r>
            <w:r>
              <w:rPr>
                <w:rFonts w:ascii="Arial" w:eastAsia="Arial" w:hAnsi="Arial" w:cs="Arial"/>
                <w:b w:val="0"/>
                <w:i w:val="0"/>
                <w:sz w:val="20"/>
              </w:rPr>
              <w:t xml:space="preserve">eeting, each director will hold office until the Company's </w:t>
            </w:r>
            <w:r>
              <w:rPr>
                <w:rFonts w:ascii="Arial" w:eastAsia="Arial" w:hAnsi="Arial" w:cs="Arial"/>
                <w:b w:val="0"/>
                <w:i w:val="0"/>
                <w:color w:val="000000"/>
                <w:sz w:val="20"/>
                <w:u w:val="none"/>
              </w:rPr>
              <w:t>2025</w:t>
            </w:r>
            <w:r>
              <w:rPr>
                <w:rFonts w:ascii="Arial" w:eastAsia="Arial" w:hAnsi="Arial" w:cs="Arial"/>
                <w:b w:val="0"/>
                <w:i w:val="0"/>
                <w:sz w:val="20"/>
              </w:rPr>
              <w:t xml:space="preserve"> annual general meeting or, if earlier, until his or her resignation or removal.</w:t>
            </w: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155" w:type="dxa"/>
          <w:tblInd w:w="0" w:type="dxa"/>
          <w:tblLayout w:type="fixed"/>
          <w:tblCellMar>
            <w:left w:w="108" w:type="dxa"/>
            <w:right w:w="108" w:type="dxa"/>
          </w:tblCellMar>
        </w:tblPrEx>
        <w:trPr>
          <w:cantSplit/>
          <w:trHeight w:hRule="exact" w:val="1980"/>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120" w:type="dxa"/>
            <w:gridSpan w:val="4"/>
            <w:vMerge/>
            <w:tcBorders>
              <w:top w:val="nil"/>
              <w:left w:val="nil"/>
              <w:bottom w:val="nil"/>
              <w:right w:val="nil"/>
            </w:tcBorders>
          </w:tcPr>
          <w:p>
            <w:pPr>
              <w:keepNext/>
              <w:pageBreakBefore w:val="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155"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single" w:sz="20" w:space="0" w:color="4494D1"/>
              <w:right w:val="nil"/>
            </w:tcBorders>
            <w:tcMar>
              <w:top w:w="0" w:type="dxa"/>
              <w:left w:w="0" w:type="dxa"/>
              <w:bottom w:w="0" w:type="dxa"/>
              <w:right w:w="0" w:type="dxa"/>
            </w:tcMar>
            <w:vAlign w:val="bottom"/>
          </w:tcPr>
          <w:p>
            <w:pPr>
              <w:pageBreakBefore w:val="0"/>
              <w:spacing w:before="0" w:after="0"/>
            </w:pPr>
          </w:p>
        </w:tc>
        <w:tc>
          <w:tcPr>
            <w:tcW w:w="195" w:type="dxa"/>
            <w:tcBorders>
              <w:top w:val="nil"/>
              <w:left w:val="nil"/>
              <w:bottom w:val="single" w:sz="20" w:space="0" w:color="4494D1"/>
              <w:right w:val="nil"/>
            </w:tcBorders>
            <w:tcMar>
              <w:top w:w="0" w:type="dxa"/>
              <w:left w:w="0" w:type="dxa"/>
              <w:bottom w:w="0" w:type="dxa"/>
              <w:right w:w="0" w:type="dxa"/>
            </w:tcMar>
            <w:vAlign w:val="bottom"/>
          </w:tcPr>
          <w:p>
            <w:pPr>
              <w:pageBreakBefore w:val="0"/>
              <w:spacing w:before="0" w:after="0"/>
            </w:pPr>
          </w:p>
        </w:tc>
        <w:tc>
          <w:tcPr>
            <w:tcW w:w="1515" w:type="dxa"/>
            <w:tcBorders>
              <w:top w:val="nil"/>
              <w:left w:val="nil"/>
              <w:bottom w:val="single" w:sz="20" w:space="0" w:color="4494D1"/>
              <w:right w:val="nil"/>
            </w:tcBorders>
            <w:tcMar>
              <w:top w:w="0" w:type="dxa"/>
              <w:left w:w="0" w:type="dxa"/>
              <w:bottom w:w="0" w:type="dxa"/>
              <w:right w:w="0" w:type="dxa"/>
            </w:tcMar>
            <w:vAlign w:val="bottom"/>
          </w:tcPr>
          <w:p>
            <w:pPr>
              <w:pageBreakBefore w:val="0"/>
              <w:spacing w:before="0" w:after="0"/>
            </w:pPr>
          </w:p>
        </w:tc>
        <w:tc>
          <w:tcPr>
            <w:tcW w:w="1515" w:type="dxa"/>
            <w:tcBorders>
              <w:top w:val="nil"/>
              <w:left w:val="nil"/>
              <w:bottom w:val="single" w:sz="20" w:space="0" w:color="4494D1"/>
              <w:right w:val="nil"/>
            </w:tcBorders>
            <w:tcMar>
              <w:top w:w="0" w:type="dxa"/>
              <w:left w:w="0" w:type="dxa"/>
              <w:bottom w:w="0" w:type="dxa"/>
              <w:right w:w="0" w:type="dxa"/>
            </w:tcMar>
            <w:vAlign w:val="bottom"/>
          </w:tcPr>
          <w:p>
            <w:pPr>
              <w:pageBreakBefore w:val="0"/>
              <w:spacing w:before="0" w:after="0"/>
            </w:pPr>
          </w:p>
        </w:tc>
        <w:tc>
          <w:tcPr>
            <w:tcW w:w="3045" w:type="dxa"/>
            <w:tcBorders>
              <w:top w:val="nil"/>
              <w:left w:val="nil"/>
              <w:bottom w:val="single" w:sz="20" w:space="0" w:color="4494D1"/>
              <w:right w:val="nil"/>
            </w:tcBorders>
            <w:tcMar>
              <w:top w:w="0" w:type="dxa"/>
              <w:left w:w="0" w:type="dxa"/>
              <w:bottom w:w="0" w:type="dxa"/>
              <w:right w:w="0" w:type="dxa"/>
            </w:tcMar>
            <w:vAlign w:val="bottom"/>
          </w:tcPr>
          <w:p>
            <w:pPr>
              <w:pageBreakBefore w:val="0"/>
              <w:spacing w:before="0" w:after="0"/>
            </w:pPr>
          </w:p>
        </w:tc>
        <w:tc>
          <w:tcPr>
            <w:tcW w:w="3045" w:type="dxa"/>
            <w:tcBorders>
              <w:top w:val="nil"/>
              <w:left w:val="nil"/>
              <w:bottom w:val="single" w:sz="20" w:space="0" w:color="4494D1"/>
              <w:right w:val="nil"/>
            </w:tcBorders>
            <w:tcMar>
              <w:top w:w="0" w:type="dxa"/>
              <w:left w:w="0" w:type="dxa"/>
              <w:bottom w:w="0" w:type="dxa"/>
              <w:right w:w="0" w:type="dxa"/>
            </w:tcMar>
            <w:vAlign w:val="bottom"/>
          </w:tcPr>
          <w:p>
            <w:pPr>
              <w:pageBreakBefore w:val="0"/>
              <w:spacing w:before="0" w:after="0"/>
            </w:pPr>
          </w:p>
        </w:tc>
        <w:tc>
          <w:tcPr>
            <w:tcW w:w="525" w:type="dxa"/>
            <w:tcBorders>
              <w:top w:val="nil"/>
              <w:left w:val="nil"/>
              <w:bottom w:val="single" w:sz="20" w:space="0" w:color="4494D1"/>
              <w:right w:val="single" w:sz="4" w:space="0" w:color="4494D1"/>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0" w:line="288"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sectPr>
          <w:headerReference w:type="default" r:id="rId44"/>
          <w:footerReference w:type="default" r:id="rId45"/>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4"/>
          <w:u w:val="none"/>
        </w:rPr>
      </w:pPr>
      <w:bookmarkStart w:id="13" w:name="Section16"/>
      <w:bookmarkEnd w:id="13"/>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2024</w:t>
      </w:r>
      <w:r>
        <w:rPr>
          <w:rFonts w:ascii="Arial" w:eastAsia="Arial" w:hAnsi="Arial" w:cs="Arial"/>
          <w:b/>
          <w:i w:val="0"/>
          <w:color w:val="4495D1"/>
          <w:sz w:val="24"/>
          <w:u w:val="none"/>
        </w:rPr>
        <w:t xml:space="preserve"> DIRECTOR NOMINEES</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keepLines w:val="0"/>
        <w:pageBreakBefore w:val="0"/>
        <w:widowControl/>
        <w:numPr>
          <w:ilvl w:val="0"/>
          <w:numId w:val="0"/>
        </w:numPr>
        <w:spacing w:before="120" w:after="0" w:line="300" w:lineRule="auto"/>
        <w:ind w:left="0" w:right="0" w:firstLine="0"/>
        <w:jc w:val="both"/>
        <w:outlineLvl w:val="9"/>
        <w:rPr>
          <w:rFonts w:ascii="Arial" w:eastAsia="Arial" w:hAnsi="Arial" w:cs="Arial"/>
          <w:b w:val="0"/>
          <w:i w:val="0"/>
          <w:sz w:val="10"/>
        </w:rPr>
      </w:pP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800"/>
        <w:gridCol w:w="3180"/>
        <w:gridCol w:w="240"/>
        <w:gridCol w:w="1800"/>
        <w:gridCol w:w="318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15"/>
        </w:trPr>
        <w:tc>
          <w:tcPr>
            <w:tcW w:w="1800"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20"/>
              </w:rPr>
            </w:pPr>
            <w:r>
              <w:pict>
                <v:shape id="_x0000_i1063" type="#_x0000_t75" style="width:64.8pt;height:74.3pt">
                  <v:imagedata r:id="rId46" o:title=""/>
                  <o:lock v:ext="edit" aspectratio="t"/>
                </v:shape>
              </w:pict>
            </w:r>
          </w:p>
        </w:tc>
        <w:tc>
          <w:tcPr>
            <w:tcW w:w="3180" w:type="dxa"/>
            <w:vMerge w:val="restart"/>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i w:val="0"/>
                <w:color w:val="000000"/>
                <w:sz w:val="16"/>
                <w:u w:val="none"/>
              </w:rPr>
              <w:t>B. Frederick Becker</w:t>
            </w:r>
            <w:r>
              <w:rPr>
                <w:rFonts w:ascii="Arial" w:eastAsia="Arial" w:hAnsi="Arial" w:cs="Arial"/>
                <w:b w:val="0"/>
                <w:i w:val="0"/>
                <w:sz w:val="16"/>
              </w:rPr>
              <w:t xml:space="preserve">, </w:t>
            </w:r>
            <w:r>
              <w:rPr>
                <w:rFonts w:ascii="Arial" w:eastAsia="Arial" w:hAnsi="Arial" w:cs="Arial"/>
                <w:b w:val="0"/>
                <w:i w:val="0"/>
                <w:color w:val="000000"/>
                <w:sz w:val="16"/>
                <w:u w:val="none"/>
              </w:rPr>
              <w:t>77</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Director Since: </w:t>
            </w:r>
            <w:r>
              <w:rPr>
                <w:rFonts w:ascii="Arial" w:eastAsia="Arial" w:hAnsi="Arial" w:cs="Arial"/>
                <w:b w:val="0"/>
                <w:i w:val="0"/>
                <w:color w:val="000000"/>
                <w:sz w:val="16"/>
                <w:u w:val="none"/>
              </w:rPr>
              <w:t>2015</w:t>
            </w:r>
            <w:r>
              <w:rPr>
                <w:rFonts w:ascii="Webdings" w:eastAsia="Webdings" w:hAnsi="Webdings" w:cs="Webdings"/>
                <w:b w:val="0"/>
                <w:i w:val="0"/>
                <w:sz w:val="16"/>
              </w:rPr>
              <w:t>|</w:t>
            </w:r>
            <w:r>
              <w:rPr>
                <w:rFonts w:ascii="Arial" w:eastAsia="Arial" w:hAnsi="Arial" w:cs="Arial"/>
                <w:b w:val="0"/>
                <w:i w:val="0"/>
                <w:color w:val="000000"/>
                <w:sz w:val="16"/>
                <w:u w:val="none"/>
              </w:rPr>
              <w:t>Independent</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Co-founder and Former Chair, Clarity Group, Inc.</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Other Public Company Boards: </w:t>
            </w:r>
            <w:r>
              <w:rPr>
                <w:rFonts w:ascii="Arial" w:eastAsia="Arial" w:hAnsi="Arial" w:cs="Arial"/>
                <w:b w:val="0"/>
                <w:i w:val="0"/>
                <w:color w:val="000000"/>
                <w:sz w:val="16"/>
                <w:u w:val="none"/>
              </w:rPr>
              <w:t>0</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Committee Memberships: </w:t>
            </w:r>
            <w:r>
              <w:rPr>
                <w:rFonts w:ascii="Arial" w:eastAsia="Arial" w:hAnsi="Arial" w:cs="Arial"/>
                <w:b w:val="0"/>
                <w:i w:val="0"/>
                <w:color w:val="000000"/>
                <w:sz w:val="16"/>
                <w:u w:val="none"/>
              </w:rPr>
              <w:t xml:space="preserve">Audit </w:t>
            </w:r>
            <w:r>
              <w:rPr>
                <w:rFonts w:ascii="Arial" w:eastAsia="Arial" w:hAnsi="Arial" w:cs="Arial"/>
                <w:b w:val="0"/>
                <w:i w:val="0"/>
                <w:color w:val="000000"/>
                <w:sz w:val="16"/>
                <w:u w:val="none"/>
              </w:rPr>
              <w:t xml:space="preserve">| </w:t>
            </w:r>
            <w:r>
              <w:rPr>
                <w:rFonts w:ascii="Arial" w:eastAsia="Arial" w:hAnsi="Arial" w:cs="Arial"/>
                <w:b w:val="0"/>
                <w:i w:val="0"/>
                <w:color w:val="000000"/>
                <w:sz w:val="16"/>
                <w:u w:val="none"/>
              </w:rPr>
              <w:t xml:space="preserve">Human Resources and Compensation (Chair) </w:t>
            </w:r>
            <w:r>
              <w:rPr>
                <w:rFonts w:ascii="Arial" w:eastAsia="Arial" w:hAnsi="Arial" w:cs="Arial"/>
                <w:b w:val="0"/>
                <w:i w:val="0"/>
                <w:color w:val="000000"/>
                <w:sz w:val="16"/>
                <w:u w:val="none"/>
              </w:rPr>
              <w:t xml:space="preserve">| </w:t>
            </w:r>
            <w:r>
              <w:rPr>
                <w:rFonts w:ascii="Arial" w:eastAsia="Arial" w:hAnsi="Arial" w:cs="Arial"/>
                <w:b w:val="0"/>
                <w:i w:val="0"/>
                <w:color w:val="000000"/>
                <w:sz w:val="16"/>
                <w:u w:val="none"/>
              </w:rPr>
              <w:t>Nominating and Governance (Chair)</w:t>
            </w: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hanging="90"/>
              <w:jc w:val="left"/>
              <w:outlineLvl w:val="9"/>
              <w:rPr>
                <w:rFonts w:ascii="Arial" w:eastAsia="Arial" w:hAnsi="Arial" w:cs="Arial"/>
                <w:b w:val="0"/>
                <w:i w:val="0"/>
                <w:sz w:val="20"/>
              </w:rPr>
            </w:pPr>
            <w:r>
              <w:pict>
                <v:shape id="_x0000_i1064" type="#_x0000_t75" style="width:68.4pt;height:73.45pt">
                  <v:imagedata r:id="rId47" o:title=""/>
                  <o:lock v:ext="edit" aspectratio="t"/>
                </v:shape>
              </w:pict>
            </w:r>
          </w:p>
        </w:tc>
        <w:tc>
          <w:tcPr>
            <w:tcW w:w="3180" w:type="dxa"/>
            <w:vMerge w:val="restart"/>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i w:val="0"/>
                <w:color w:val="000000"/>
                <w:sz w:val="16"/>
                <w:u w:val="none"/>
              </w:rPr>
              <w:t>Sharon A. Beesley</w:t>
            </w:r>
            <w:r>
              <w:rPr>
                <w:rFonts w:ascii="Arial" w:eastAsia="Arial" w:hAnsi="Arial" w:cs="Arial"/>
                <w:b w:val="0"/>
                <w:i w:val="0"/>
                <w:sz w:val="16"/>
              </w:rPr>
              <w:t xml:space="preserve">, </w:t>
            </w:r>
            <w:r>
              <w:rPr>
                <w:rFonts w:ascii="Arial" w:eastAsia="Arial" w:hAnsi="Arial" w:cs="Arial"/>
                <w:b w:val="0"/>
                <w:i w:val="0"/>
                <w:color w:val="000000"/>
                <w:sz w:val="16"/>
                <w:u w:val="none"/>
              </w:rPr>
              <w:t>67</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Director Since: </w:t>
            </w:r>
            <w:r>
              <w:rPr>
                <w:rFonts w:ascii="Arial" w:eastAsia="Arial" w:hAnsi="Arial" w:cs="Arial"/>
                <w:b w:val="0"/>
                <w:i w:val="0"/>
                <w:color w:val="000000"/>
                <w:sz w:val="16"/>
                <w:u w:val="none"/>
              </w:rPr>
              <w:t>2021</w:t>
            </w:r>
            <w:r>
              <w:rPr>
                <w:rFonts w:ascii="Webdings" w:eastAsia="Webdings" w:hAnsi="Webdings" w:cs="Webdings"/>
                <w:b w:val="0"/>
                <w:i w:val="0"/>
                <w:sz w:val="16"/>
              </w:rPr>
              <w:t>|</w:t>
            </w:r>
            <w:r>
              <w:rPr>
                <w:rFonts w:ascii="Arial" w:eastAsia="Arial" w:hAnsi="Arial" w:cs="Arial"/>
                <w:b w:val="0"/>
                <w:i w:val="0"/>
                <w:color w:val="000000"/>
                <w:sz w:val="16"/>
                <w:u w:val="none"/>
              </w:rPr>
              <w:t>Independent</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Managing Partner, BeesMont Law Limited, and CEO, BeesMont Consultancy Limited</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Other Public Company Boards: </w:t>
            </w:r>
            <w:r>
              <w:rPr>
                <w:rFonts w:ascii="Arial" w:eastAsia="Arial" w:hAnsi="Arial" w:cs="Arial"/>
                <w:b w:val="0"/>
                <w:i w:val="0"/>
                <w:color w:val="000000"/>
                <w:sz w:val="16"/>
                <w:u w:val="none"/>
              </w:rPr>
              <w:t>0</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Committee Memberships: </w:t>
            </w:r>
            <w:r>
              <w:rPr>
                <w:rFonts w:ascii="Arial" w:eastAsia="Arial" w:hAnsi="Arial" w:cs="Arial"/>
                <w:b w:val="0"/>
                <w:i w:val="0"/>
                <w:color w:val="000000"/>
                <w:sz w:val="16"/>
                <w:u w:val="none"/>
              </w:rPr>
              <w:t>Nominating and Governance</w:t>
            </w: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165"/>
        </w:trPr>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80" w:type="dxa"/>
            <w:tcBorders>
              <w:top w:val="nil"/>
              <w:left w:val="nil"/>
              <w:bottom w:val="single" w:sz="8" w:space="0" w:color="4494D1"/>
              <w:right w:val="nil"/>
            </w:tcBorders>
            <w:tcMar>
              <w:top w:w="0" w:type="dxa"/>
              <w:left w:w="0" w:type="dxa"/>
              <w:bottom w:w="0" w:type="dxa"/>
              <w:right w:w="0" w:type="dxa"/>
            </w:tcMar>
            <w:vAlign w:val="bottom"/>
          </w:tcPr>
          <w:p>
            <w:pPr>
              <w:keepNext/>
              <w:pageBreakBefore w:val="0"/>
              <w:spacing w:before="0" w:after="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80" w:type="dxa"/>
            <w:tcBorders>
              <w:top w:val="nil"/>
              <w:left w:val="nil"/>
              <w:bottom w:val="single" w:sz="8" w:space="0" w:color="4494D1"/>
              <w:right w:val="nil"/>
            </w:tcBorders>
            <w:tcMar>
              <w:top w:w="0" w:type="dxa"/>
              <w:left w:w="0" w:type="dxa"/>
              <w:bottom w:w="0" w:type="dxa"/>
              <w:right w:w="0" w:type="dxa"/>
            </w:tcMar>
            <w:vAlign w:val="bottom"/>
          </w:tcPr>
          <w:p>
            <w:pPr>
              <w:keepNext/>
              <w:pageBreakBefore w:val="0"/>
              <w:spacing w:before="0" w:after="0"/>
            </w:pPr>
          </w:p>
        </w:tc>
      </w:tr>
      <w:tr>
        <w:tblPrEx>
          <w:tblW w:w="10200" w:type="dxa"/>
          <w:tblInd w:w="0" w:type="dxa"/>
          <w:tblLayout w:type="fixed"/>
          <w:tblCellMar>
            <w:left w:w="108" w:type="dxa"/>
            <w:right w:w="108" w:type="dxa"/>
          </w:tblCellMar>
        </w:tblPrEx>
        <w:trPr>
          <w:cantSplit/>
          <w:trHeight w:hRule="exact" w:val="165"/>
        </w:trPr>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80" w:type="dxa"/>
            <w:tcBorders>
              <w:top w:val="single" w:sz="8"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80" w:type="dxa"/>
            <w:tcBorders>
              <w:top w:val="single" w:sz="8" w:space="0" w:color="4494D1"/>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00" w:type="dxa"/>
          <w:tblInd w:w="0" w:type="dxa"/>
          <w:tblLayout w:type="fixed"/>
          <w:tblCellMar>
            <w:left w:w="108" w:type="dxa"/>
            <w:right w:w="108" w:type="dxa"/>
          </w:tblCellMar>
        </w:tblPrEx>
        <w:trPr>
          <w:cantSplit/>
          <w:trHeight w:hRule="exact" w:val="315"/>
        </w:trPr>
        <w:tc>
          <w:tcPr>
            <w:tcW w:w="1800"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20"/>
              </w:rPr>
            </w:pPr>
            <w:r>
              <w:pict>
                <v:shape id="_x0000_i1065" type="#_x0000_t75" style="width:64.8pt;height:75.17pt">
                  <v:imagedata r:id="rId48" o:title=""/>
                  <o:lock v:ext="edit" aspectratio="t"/>
                </v:shape>
              </w:pict>
            </w:r>
          </w:p>
        </w:tc>
        <w:tc>
          <w:tcPr>
            <w:tcW w:w="3180" w:type="dxa"/>
            <w:vMerge w:val="restart"/>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i w:val="0"/>
                <w:color w:val="000000"/>
                <w:sz w:val="16"/>
                <w:u w:val="none"/>
              </w:rPr>
              <w:t>Robert J. Campbell (Chair)</w:t>
            </w:r>
            <w:r>
              <w:rPr>
                <w:rFonts w:ascii="Arial" w:eastAsia="Arial" w:hAnsi="Arial" w:cs="Arial"/>
                <w:b w:val="0"/>
                <w:i w:val="0"/>
                <w:sz w:val="16"/>
              </w:rPr>
              <w:t xml:space="preserve">, </w:t>
            </w:r>
            <w:r>
              <w:rPr>
                <w:rFonts w:ascii="Arial" w:eastAsia="Arial" w:hAnsi="Arial" w:cs="Arial"/>
                <w:b w:val="0"/>
                <w:i w:val="0"/>
                <w:color w:val="000000"/>
                <w:sz w:val="16"/>
                <w:u w:val="none"/>
              </w:rPr>
              <w:t>75</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Director Since: </w:t>
            </w:r>
            <w:r>
              <w:rPr>
                <w:rFonts w:ascii="Arial" w:eastAsia="Arial" w:hAnsi="Arial" w:cs="Arial"/>
                <w:b w:val="0"/>
                <w:i w:val="0"/>
                <w:color w:val="000000"/>
                <w:sz w:val="16"/>
                <w:u w:val="none"/>
              </w:rPr>
              <w:t>2007</w:t>
            </w:r>
            <w:r>
              <w:rPr>
                <w:rFonts w:ascii="Webdings" w:eastAsia="Webdings" w:hAnsi="Webdings" w:cs="Webdings"/>
                <w:b w:val="0"/>
                <w:i w:val="0"/>
                <w:sz w:val="16"/>
              </w:rPr>
              <w:t>|</w:t>
            </w:r>
            <w:r>
              <w:rPr>
                <w:rFonts w:ascii="Arial" w:eastAsia="Arial" w:hAnsi="Arial" w:cs="Arial"/>
                <w:b w:val="0"/>
                <w:i w:val="0"/>
                <w:color w:val="000000"/>
                <w:sz w:val="16"/>
                <w:u w:val="none"/>
              </w:rPr>
              <w:t>Independent</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Partner, Beck Mack &amp; Oliver</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Other Public Company Boards: </w:t>
            </w:r>
            <w:r>
              <w:rPr>
                <w:rFonts w:ascii="Arial" w:eastAsia="Arial" w:hAnsi="Arial" w:cs="Arial"/>
                <w:b w:val="0"/>
                <w:i w:val="0"/>
                <w:color w:val="000000"/>
                <w:sz w:val="16"/>
                <w:u w:val="none"/>
              </w:rPr>
              <w:t>0</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Committee Memberships: </w:t>
            </w:r>
            <w:r>
              <w:rPr>
                <w:rFonts w:ascii="Arial" w:eastAsia="Arial" w:hAnsi="Arial" w:cs="Arial"/>
                <w:b w:val="0"/>
                <w:i w:val="0"/>
                <w:color w:val="000000"/>
                <w:sz w:val="16"/>
                <w:u w:val="none"/>
              </w:rPr>
              <w:t xml:space="preserve">Audit (Chair)  </w:t>
            </w:r>
            <w:r>
              <w:rPr>
                <w:rFonts w:ascii="Arial" w:eastAsia="Arial" w:hAnsi="Arial" w:cs="Arial"/>
                <w:b w:val="0"/>
                <w:i w:val="0"/>
                <w:color w:val="000000"/>
                <w:sz w:val="16"/>
                <w:u w:val="none"/>
              </w:rPr>
              <w:t xml:space="preserve">| </w:t>
            </w:r>
            <w:r>
              <w:rPr>
                <w:rFonts w:ascii="Arial" w:eastAsia="Arial" w:hAnsi="Arial" w:cs="Arial"/>
                <w:b w:val="0"/>
                <w:i w:val="0"/>
                <w:color w:val="000000"/>
                <w:sz w:val="16"/>
                <w:u w:val="none"/>
              </w:rPr>
              <w:t xml:space="preserve">Human Resources and Compensation </w:t>
            </w:r>
            <w:r>
              <w:rPr>
                <w:rFonts w:ascii="Arial" w:eastAsia="Arial" w:hAnsi="Arial" w:cs="Arial"/>
                <w:b w:val="0"/>
                <w:i w:val="0"/>
                <w:color w:val="000000"/>
                <w:sz w:val="16"/>
                <w:u w:val="none"/>
              </w:rPr>
              <w:t xml:space="preserve">| </w:t>
            </w:r>
            <w:r>
              <w:rPr>
                <w:rFonts w:ascii="Arial" w:eastAsia="Arial" w:hAnsi="Arial" w:cs="Arial"/>
                <w:b w:val="0"/>
                <w:i w:val="0"/>
                <w:color w:val="000000"/>
                <w:sz w:val="16"/>
                <w:u w:val="none"/>
              </w:rPr>
              <w:t xml:space="preserve">Nominating and Governance </w:t>
            </w:r>
            <w:r>
              <w:rPr>
                <w:rFonts w:ascii="Arial" w:eastAsia="Arial" w:hAnsi="Arial" w:cs="Arial"/>
                <w:b w:val="0"/>
                <w:i w:val="0"/>
                <w:color w:val="000000"/>
                <w:sz w:val="16"/>
                <w:u w:val="none"/>
              </w:rPr>
              <w:t xml:space="preserve">| </w:t>
            </w:r>
            <w:r>
              <w:rPr>
                <w:rFonts w:ascii="Arial" w:eastAsia="Arial" w:hAnsi="Arial" w:cs="Arial"/>
                <w:b w:val="0"/>
                <w:i w:val="0"/>
                <w:color w:val="000000"/>
                <w:sz w:val="16"/>
                <w:u w:val="none"/>
              </w:rPr>
              <w:t xml:space="preserve">Investment (Chair) </w:t>
            </w:r>
            <w:r>
              <w:rPr>
                <w:rFonts w:ascii="Arial" w:eastAsia="Arial" w:hAnsi="Arial" w:cs="Arial"/>
                <w:b w:val="0"/>
                <w:i w:val="0"/>
                <w:color w:val="000000"/>
                <w:sz w:val="16"/>
                <w:u w:val="none"/>
              </w:rPr>
              <w:t xml:space="preserve">| </w:t>
            </w:r>
            <w:r>
              <w:rPr>
                <w:rFonts w:ascii="Arial" w:eastAsia="Arial" w:hAnsi="Arial" w:cs="Arial"/>
                <w:b w:val="0"/>
                <w:i w:val="0"/>
                <w:color w:val="000000"/>
                <w:sz w:val="16"/>
                <w:u w:val="none"/>
              </w:rPr>
              <w:t>Executive (Chair)</w:t>
            </w: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20"/>
              </w:rPr>
            </w:pPr>
            <w:r>
              <w:pict>
                <v:shape id="_x0000_i1066" type="#_x0000_t75" style="width:64.8pt;height:73.15pt">
                  <v:imagedata r:id="rId49" o:title=""/>
                  <o:lock v:ext="edit" aspectratio="t"/>
                </v:shape>
              </w:pict>
            </w:r>
          </w:p>
        </w:tc>
        <w:tc>
          <w:tcPr>
            <w:tcW w:w="3180" w:type="dxa"/>
            <w:vMerge w:val="restart"/>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i w:val="0"/>
                <w:color w:val="000000"/>
                <w:sz w:val="16"/>
                <w:u w:val="none"/>
              </w:rPr>
              <w:t>James D. Carey</w:t>
            </w:r>
            <w:r>
              <w:rPr>
                <w:rFonts w:ascii="Arial" w:eastAsia="Arial" w:hAnsi="Arial" w:cs="Arial"/>
                <w:b w:val="0"/>
                <w:i w:val="0"/>
                <w:sz w:val="16"/>
              </w:rPr>
              <w:t xml:space="preserve">, </w:t>
            </w:r>
            <w:r>
              <w:rPr>
                <w:rFonts w:ascii="Arial" w:eastAsia="Arial" w:hAnsi="Arial" w:cs="Arial"/>
                <w:b w:val="0"/>
                <w:i w:val="0"/>
                <w:color w:val="000000"/>
                <w:sz w:val="16"/>
                <w:u w:val="none"/>
              </w:rPr>
              <w:t>57</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Director Since: </w:t>
            </w:r>
            <w:r>
              <w:rPr>
                <w:rFonts w:ascii="Arial" w:eastAsia="Arial" w:hAnsi="Arial" w:cs="Arial"/>
                <w:b w:val="0"/>
                <w:i w:val="0"/>
                <w:color w:val="000000"/>
                <w:sz w:val="16"/>
                <w:u w:val="none"/>
              </w:rPr>
              <w:t>2013</w:t>
            </w:r>
            <w:r>
              <w:rPr>
                <w:rFonts w:ascii="Webdings" w:eastAsia="Webdings" w:hAnsi="Webdings" w:cs="Webdings"/>
                <w:b w:val="0"/>
                <w:i w:val="0"/>
                <w:sz w:val="16"/>
              </w:rPr>
              <w:t>|</w:t>
            </w:r>
            <w:r>
              <w:rPr>
                <w:rFonts w:ascii="Arial" w:eastAsia="Arial" w:hAnsi="Arial" w:cs="Arial"/>
                <w:b w:val="0"/>
                <w:i w:val="0"/>
                <w:color w:val="000000"/>
                <w:sz w:val="16"/>
                <w:u w:val="none"/>
              </w:rPr>
              <w:t>Non-Employee</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Co-CEO, Stone Point Capital</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Other Public Company Boards: </w:t>
            </w:r>
            <w:r>
              <w:rPr>
                <w:rFonts w:ascii="Arial" w:eastAsia="Arial" w:hAnsi="Arial" w:cs="Arial"/>
                <w:b w:val="0"/>
                <w:i w:val="0"/>
                <w:color w:val="000000"/>
                <w:sz w:val="16"/>
                <w:u w:val="none"/>
              </w:rPr>
              <w:t>1</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Committee Memberships: </w:t>
            </w:r>
            <w:r>
              <w:rPr>
                <w:rFonts w:ascii="Arial" w:eastAsia="Arial" w:hAnsi="Arial" w:cs="Arial"/>
                <w:b w:val="0"/>
                <w:i w:val="0"/>
                <w:color w:val="000000"/>
                <w:sz w:val="16"/>
                <w:u w:val="none"/>
              </w:rPr>
              <w:t>Investment</w:t>
            </w: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165"/>
        </w:trPr>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80" w:type="dxa"/>
            <w:tcBorders>
              <w:top w:val="nil"/>
              <w:left w:val="nil"/>
              <w:bottom w:val="single" w:sz="8" w:space="0" w:color="4494D1"/>
              <w:right w:val="nil"/>
            </w:tcBorders>
            <w:tcMar>
              <w:top w:w="0" w:type="dxa"/>
              <w:left w:w="0" w:type="dxa"/>
              <w:bottom w:w="0" w:type="dxa"/>
              <w:right w:w="0" w:type="dxa"/>
            </w:tcMar>
            <w:vAlign w:val="bottom"/>
          </w:tcPr>
          <w:p>
            <w:pPr>
              <w:keepNext/>
              <w:pageBreakBefore w:val="0"/>
              <w:spacing w:before="0" w:after="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80" w:type="dxa"/>
            <w:tcBorders>
              <w:top w:val="nil"/>
              <w:left w:val="nil"/>
              <w:bottom w:val="single" w:sz="8" w:space="0" w:color="4494D1"/>
              <w:right w:val="nil"/>
            </w:tcBorders>
            <w:tcMar>
              <w:top w:w="0" w:type="dxa"/>
              <w:left w:w="0" w:type="dxa"/>
              <w:bottom w:w="0" w:type="dxa"/>
              <w:right w:w="0" w:type="dxa"/>
            </w:tcMar>
            <w:vAlign w:val="bottom"/>
          </w:tcPr>
          <w:p>
            <w:pPr>
              <w:keepNext/>
              <w:pageBreakBefore w:val="0"/>
              <w:spacing w:before="0" w:after="0"/>
            </w:pPr>
          </w:p>
        </w:tc>
      </w:tr>
      <w:tr>
        <w:tblPrEx>
          <w:tblW w:w="10200" w:type="dxa"/>
          <w:tblInd w:w="0" w:type="dxa"/>
          <w:tblLayout w:type="fixed"/>
          <w:tblCellMar>
            <w:left w:w="108" w:type="dxa"/>
            <w:right w:w="108" w:type="dxa"/>
          </w:tblCellMar>
        </w:tblPrEx>
        <w:trPr>
          <w:cantSplit/>
          <w:trHeight w:hRule="exact" w:val="165"/>
        </w:trPr>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80" w:type="dxa"/>
            <w:tcBorders>
              <w:top w:val="single" w:sz="8"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80" w:type="dxa"/>
            <w:tcBorders>
              <w:top w:val="single" w:sz="8" w:space="0" w:color="4494D1"/>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00" w:type="dxa"/>
          <w:tblInd w:w="0" w:type="dxa"/>
          <w:tblLayout w:type="fixed"/>
          <w:tblCellMar>
            <w:left w:w="108" w:type="dxa"/>
            <w:right w:w="108" w:type="dxa"/>
          </w:tblCellMar>
        </w:tblPrEx>
        <w:trPr>
          <w:cantSplit/>
          <w:trHeight w:hRule="exact" w:val="315"/>
        </w:trPr>
        <w:tc>
          <w:tcPr>
            <w:tcW w:w="1800"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20"/>
              </w:rPr>
            </w:pPr>
            <w:r>
              <w:pict>
                <v:shape id="_x0000_i1067" type="#_x0000_t75" style="width:68.4pt;height:78.25pt">
                  <v:imagedata r:id="rId50" o:title=""/>
                  <o:lock v:ext="edit" aspectratio="t"/>
                </v:shape>
              </w:pict>
            </w:r>
          </w:p>
        </w:tc>
        <w:tc>
          <w:tcPr>
            <w:tcW w:w="3180" w:type="dxa"/>
            <w:vMerge w:val="restart"/>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i w:val="0"/>
                <w:color w:val="000000"/>
                <w:sz w:val="16"/>
                <w:u w:val="none"/>
              </w:rPr>
              <w:t>Susan L. Cross</w:t>
            </w:r>
            <w:r>
              <w:rPr>
                <w:rFonts w:ascii="Arial" w:eastAsia="Arial" w:hAnsi="Arial" w:cs="Arial"/>
                <w:b w:val="0"/>
                <w:i w:val="0"/>
                <w:sz w:val="16"/>
              </w:rPr>
              <w:t xml:space="preserve">, </w:t>
            </w:r>
            <w:r>
              <w:rPr>
                <w:rFonts w:ascii="Arial" w:eastAsia="Arial" w:hAnsi="Arial" w:cs="Arial"/>
                <w:b w:val="0"/>
                <w:i w:val="0"/>
                <w:color w:val="000000"/>
                <w:sz w:val="16"/>
                <w:u w:val="none"/>
              </w:rPr>
              <w:t>64</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Director Since: </w:t>
            </w:r>
            <w:r>
              <w:rPr>
                <w:rFonts w:ascii="Arial" w:eastAsia="Arial" w:hAnsi="Arial" w:cs="Arial"/>
                <w:b w:val="0"/>
                <w:i w:val="0"/>
                <w:color w:val="000000"/>
                <w:sz w:val="16"/>
                <w:u w:val="none"/>
              </w:rPr>
              <w:t>2020</w:t>
            </w:r>
            <w:r>
              <w:rPr>
                <w:rFonts w:ascii="Webdings" w:eastAsia="Webdings" w:hAnsi="Webdings" w:cs="Webdings"/>
                <w:b w:val="0"/>
                <w:i w:val="0"/>
                <w:sz w:val="16"/>
              </w:rPr>
              <w:t>|</w:t>
            </w:r>
            <w:r>
              <w:rPr>
                <w:rFonts w:ascii="Arial" w:eastAsia="Arial" w:hAnsi="Arial" w:cs="Arial"/>
                <w:b w:val="0"/>
                <w:i w:val="0"/>
                <w:color w:val="000000"/>
                <w:sz w:val="16"/>
                <w:u w:val="none"/>
              </w:rPr>
              <w:t>Independent</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Former EVP and Global Chief Actuary, XL Group (now AXA XL)</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Other Public Company Boards: </w:t>
            </w:r>
            <w:r>
              <w:rPr>
                <w:rFonts w:ascii="Arial" w:eastAsia="Arial" w:hAnsi="Arial" w:cs="Arial"/>
                <w:b w:val="0"/>
                <w:i w:val="0"/>
                <w:color w:val="000000"/>
                <w:sz w:val="16"/>
                <w:u w:val="none"/>
              </w:rPr>
              <w:t>1</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Committee Memberships: </w:t>
            </w:r>
            <w:r>
              <w:rPr>
                <w:rFonts w:ascii="Arial" w:eastAsia="Arial" w:hAnsi="Arial" w:cs="Arial"/>
                <w:b w:val="0"/>
                <w:i w:val="0"/>
                <w:color w:val="000000"/>
                <w:sz w:val="16"/>
                <w:u w:val="none"/>
              </w:rPr>
              <w:t xml:space="preserve">Audit  </w:t>
            </w:r>
            <w:r>
              <w:rPr>
                <w:rFonts w:ascii="Arial" w:eastAsia="Arial" w:hAnsi="Arial" w:cs="Arial"/>
                <w:b w:val="0"/>
                <w:i w:val="0"/>
                <w:color w:val="000000"/>
                <w:sz w:val="16"/>
                <w:u w:val="none"/>
              </w:rPr>
              <w:t xml:space="preserve">| </w:t>
            </w:r>
            <w:r>
              <w:rPr>
                <w:rFonts w:ascii="Arial" w:eastAsia="Arial" w:hAnsi="Arial" w:cs="Arial"/>
                <w:b w:val="0"/>
                <w:i w:val="0"/>
                <w:color w:val="000000"/>
                <w:sz w:val="16"/>
                <w:u w:val="none"/>
              </w:rPr>
              <w:t>Risk</w:t>
            </w: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20"/>
              </w:rPr>
            </w:pPr>
            <w:r>
              <w:pict>
                <v:shape id="_x0000_i1068" type="#_x0000_t75" style="width:64.8pt;height:81.22pt">
                  <v:imagedata r:id="rId51" o:title=""/>
                  <o:lock v:ext="edit" aspectratio="t"/>
                </v:shape>
              </w:pict>
            </w:r>
          </w:p>
        </w:tc>
        <w:tc>
          <w:tcPr>
            <w:tcW w:w="3180" w:type="dxa"/>
            <w:vMerge w:val="restart"/>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i w:val="0"/>
                <w:color w:val="000000"/>
                <w:sz w:val="16"/>
                <w:u w:val="none"/>
              </w:rPr>
              <w:t>Hans-Peter Gerhardt</w:t>
            </w:r>
            <w:r>
              <w:rPr>
                <w:rFonts w:ascii="Arial" w:eastAsia="Arial" w:hAnsi="Arial" w:cs="Arial"/>
                <w:b w:val="0"/>
                <w:i w:val="0"/>
                <w:sz w:val="16"/>
              </w:rPr>
              <w:t xml:space="preserve">, </w:t>
            </w:r>
            <w:r>
              <w:rPr>
                <w:rFonts w:ascii="Arial" w:eastAsia="Arial" w:hAnsi="Arial" w:cs="Arial"/>
                <w:b w:val="0"/>
                <w:i w:val="0"/>
                <w:color w:val="000000"/>
                <w:sz w:val="16"/>
                <w:u w:val="none"/>
              </w:rPr>
              <w:t>68</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Director Since: </w:t>
            </w:r>
            <w:r>
              <w:rPr>
                <w:rFonts w:ascii="Arial" w:eastAsia="Arial" w:hAnsi="Arial" w:cs="Arial"/>
                <w:b w:val="0"/>
                <w:i w:val="0"/>
                <w:color w:val="000000"/>
                <w:sz w:val="16"/>
                <w:u w:val="none"/>
              </w:rPr>
              <w:t>2015</w:t>
            </w:r>
            <w:r>
              <w:rPr>
                <w:rFonts w:ascii="Webdings" w:eastAsia="Webdings" w:hAnsi="Webdings" w:cs="Webdings"/>
                <w:b w:val="0"/>
                <w:i w:val="0"/>
                <w:sz w:val="16"/>
              </w:rPr>
              <w:t>|</w:t>
            </w:r>
            <w:r>
              <w:rPr>
                <w:rFonts w:ascii="Arial" w:eastAsia="Arial" w:hAnsi="Arial" w:cs="Arial"/>
                <w:b w:val="0"/>
                <w:i w:val="0"/>
                <w:color w:val="000000"/>
                <w:sz w:val="16"/>
                <w:u w:val="none"/>
              </w:rPr>
              <w:t>Independent</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Former CEO of Asia Capital Re, PARIS RE and AXA Re</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Other Public Company Boards: </w:t>
            </w:r>
            <w:r>
              <w:rPr>
                <w:rFonts w:ascii="Arial" w:eastAsia="Arial" w:hAnsi="Arial" w:cs="Arial"/>
                <w:b w:val="0"/>
                <w:i w:val="0"/>
                <w:color w:val="000000"/>
                <w:sz w:val="16"/>
                <w:u w:val="none"/>
              </w:rPr>
              <w:t>0</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Committee Memberships: </w:t>
            </w:r>
            <w:r>
              <w:rPr>
                <w:rFonts w:ascii="Arial" w:eastAsia="Arial" w:hAnsi="Arial" w:cs="Arial"/>
                <w:b w:val="0"/>
                <w:i w:val="0"/>
                <w:color w:val="000000"/>
                <w:sz w:val="16"/>
                <w:u w:val="none"/>
              </w:rPr>
              <w:t xml:space="preserve">Human Resources and Compensation </w:t>
            </w:r>
            <w:r>
              <w:rPr>
                <w:rFonts w:ascii="Arial" w:eastAsia="Arial" w:hAnsi="Arial" w:cs="Arial"/>
                <w:b w:val="0"/>
                <w:i w:val="0"/>
                <w:color w:val="000000"/>
                <w:sz w:val="16"/>
                <w:u w:val="none"/>
              </w:rPr>
              <w:t xml:space="preserve">| </w:t>
            </w:r>
            <w:r>
              <w:rPr>
                <w:rFonts w:ascii="Arial" w:eastAsia="Arial" w:hAnsi="Arial" w:cs="Arial"/>
                <w:b w:val="0"/>
                <w:i w:val="0"/>
                <w:color w:val="000000"/>
                <w:sz w:val="16"/>
                <w:u w:val="none"/>
              </w:rPr>
              <w:t xml:space="preserve">Risk </w:t>
            </w:r>
            <w:r>
              <w:rPr>
                <w:rFonts w:ascii="Arial" w:eastAsia="Arial" w:hAnsi="Arial" w:cs="Arial"/>
                <w:b w:val="0"/>
                <w:i w:val="0"/>
                <w:color w:val="000000"/>
                <w:sz w:val="16"/>
                <w:u w:val="none"/>
              </w:rPr>
              <w:t xml:space="preserve">| </w:t>
            </w:r>
            <w:r>
              <w:rPr>
                <w:rFonts w:ascii="Arial" w:eastAsia="Arial" w:hAnsi="Arial" w:cs="Arial"/>
                <w:b w:val="0"/>
                <w:i w:val="0"/>
                <w:color w:val="000000"/>
                <w:sz w:val="16"/>
                <w:u w:val="none"/>
              </w:rPr>
              <w:t>Executive</w:t>
            </w: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165"/>
        </w:trPr>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80" w:type="dxa"/>
            <w:tcBorders>
              <w:top w:val="nil"/>
              <w:left w:val="nil"/>
              <w:bottom w:val="single" w:sz="8" w:space="0" w:color="4494D1"/>
              <w:right w:val="nil"/>
            </w:tcBorders>
            <w:tcMar>
              <w:top w:w="0" w:type="dxa"/>
              <w:left w:w="0" w:type="dxa"/>
              <w:bottom w:w="0" w:type="dxa"/>
              <w:right w:w="0" w:type="dxa"/>
            </w:tcMar>
            <w:vAlign w:val="bottom"/>
          </w:tcPr>
          <w:p>
            <w:pPr>
              <w:keepNext/>
              <w:pageBreakBefore w:val="0"/>
              <w:spacing w:before="0" w:after="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80" w:type="dxa"/>
            <w:tcBorders>
              <w:top w:val="nil"/>
              <w:left w:val="nil"/>
              <w:bottom w:val="single" w:sz="8" w:space="0" w:color="4494D1"/>
              <w:right w:val="nil"/>
            </w:tcBorders>
            <w:tcMar>
              <w:top w:w="0" w:type="dxa"/>
              <w:left w:w="0" w:type="dxa"/>
              <w:bottom w:w="0" w:type="dxa"/>
              <w:right w:w="0" w:type="dxa"/>
            </w:tcMar>
            <w:vAlign w:val="bottom"/>
          </w:tcPr>
          <w:p>
            <w:pPr>
              <w:keepNext/>
              <w:pageBreakBefore w:val="0"/>
              <w:spacing w:before="0" w:after="0"/>
            </w:pPr>
          </w:p>
        </w:tc>
      </w:tr>
      <w:tr>
        <w:tblPrEx>
          <w:tblW w:w="10200" w:type="dxa"/>
          <w:tblInd w:w="0" w:type="dxa"/>
          <w:tblLayout w:type="fixed"/>
          <w:tblCellMar>
            <w:left w:w="108" w:type="dxa"/>
            <w:right w:w="108" w:type="dxa"/>
          </w:tblCellMar>
        </w:tblPrEx>
        <w:trPr>
          <w:cantSplit/>
          <w:trHeight w:hRule="exact" w:val="165"/>
        </w:trPr>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80" w:type="dxa"/>
            <w:tcBorders>
              <w:top w:val="single" w:sz="8"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80" w:type="dxa"/>
            <w:tcBorders>
              <w:top w:val="single" w:sz="8" w:space="0" w:color="4494D1"/>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00" w:type="dxa"/>
          <w:tblInd w:w="0" w:type="dxa"/>
          <w:tblLayout w:type="fixed"/>
          <w:tblCellMar>
            <w:left w:w="108" w:type="dxa"/>
            <w:right w:w="108" w:type="dxa"/>
          </w:tblCellMar>
        </w:tblPrEx>
        <w:trPr>
          <w:cantSplit/>
          <w:trHeight w:hRule="exact" w:val="315"/>
        </w:trPr>
        <w:tc>
          <w:tcPr>
            <w:tcW w:w="1800"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hanging="90"/>
              <w:jc w:val="left"/>
              <w:outlineLvl w:val="9"/>
              <w:rPr>
                <w:rFonts w:ascii="Arial" w:eastAsia="Arial" w:hAnsi="Arial" w:cs="Arial"/>
                <w:b w:val="0"/>
                <w:i w:val="0"/>
                <w:sz w:val="20"/>
              </w:rPr>
            </w:pPr>
            <w:r>
              <w:pict>
                <v:shape id="_x0000_i1069" type="#_x0000_t75" style="width:79.2pt;height:74.88pt">
                  <v:imagedata r:id="rId52" o:title=""/>
                  <o:lock v:ext="edit" aspectratio="t"/>
                </v:shape>
              </w:pict>
            </w:r>
          </w:p>
        </w:tc>
        <w:tc>
          <w:tcPr>
            <w:tcW w:w="3180" w:type="dxa"/>
            <w:vMerge w:val="restart"/>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i w:val="0"/>
                <w:color w:val="000000"/>
                <w:sz w:val="16"/>
                <w:u w:val="none"/>
              </w:rPr>
              <w:t>Orla Gregory</w:t>
            </w:r>
            <w:r>
              <w:rPr>
                <w:rFonts w:ascii="Arial" w:eastAsia="Arial" w:hAnsi="Arial" w:cs="Arial"/>
                <w:b w:val="0"/>
                <w:i w:val="0"/>
                <w:sz w:val="16"/>
              </w:rPr>
              <w:t xml:space="preserve">, </w:t>
            </w:r>
            <w:r>
              <w:rPr>
                <w:rFonts w:ascii="Arial" w:eastAsia="Arial" w:hAnsi="Arial" w:cs="Arial"/>
                <w:b w:val="0"/>
                <w:i w:val="0"/>
                <w:color w:val="000000"/>
                <w:sz w:val="16"/>
                <w:u w:val="none"/>
              </w:rPr>
              <w:t>50</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Director Since: </w:t>
            </w:r>
            <w:r>
              <w:rPr>
                <w:rFonts w:ascii="Arial" w:eastAsia="Arial" w:hAnsi="Arial" w:cs="Arial"/>
                <w:b w:val="0"/>
                <w:i w:val="0"/>
                <w:color w:val="000000"/>
                <w:sz w:val="16"/>
                <w:u w:val="none"/>
              </w:rPr>
              <w:t>2022</w:t>
            </w:r>
            <w:r>
              <w:rPr>
                <w:rFonts w:ascii="Webdings" w:eastAsia="Webdings" w:hAnsi="Webdings" w:cs="Webdings"/>
                <w:b w:val="0"/>
                <w:i w:val="0"/>
                <w:sz w:val="16"/>
              </w:rPr>
              <w:t>|</w:t>
            </w:r>
            <w:r>
              <w:rPr>
                <w:rFonts w:ascii="Arial" w:eastAsia="Arial" w:hAnsi="Arial" w:cs="Arial"/>
                <w:b w:val="0"/>
                <w:i w:val="0"/>
                <w:color w:val="000000"/>
                <w:sz w:val="16"/>
                <w:u w:val="none"/>
              </w:rPr>
              <w:t>Executive</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President, Enstar Group Limited</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Other Public Company Boards: </w:t>
            </w:r>
            <w:r>
              <w:rPr>
                <w:rFonts w:ascii="Arial" w:eastAsia="Arial" w:hAnsi="Arial" w:cs="Arial"/>
                <w:b w:val="0"/>
                <w:i w:val="0"/>
                <w:color w:val="000000"/>
                <w:sz w:val="16"/>
                <w:u w:val="none"/>
              </w:rPr>
              <w:t>0</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Committee Memberships: </w:t>
            </w:r>
            <w:r>
              <w:rPr>
                <w:rFonts w:ascii="Arial" w:eastAsia="Arial" w:hAnsi="Arial" w:cs="Arial"/>
                <w:b w:val="0"/>
                <w:i w:val="0"/>
                <w:color w:val="000000"/>
                <w:sz w:val="16"/>
                <w:u w:val="none"/>
              </w:rPr>
              <w:t>N/A</w:t>
            </w: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hanging="90"/>
              <w:jc w:val="left"/>
              <w:outlineLvl w:val="9"/>
              <w:rPr>
                <w:rFonts w:ascii="Arial" w:eastAsia="Arial" w:hAnsi="Arial" w:cs="Arial"/>
                <w:b w:val="0"/>
                <w:i w:val="0"/>
                <w:sz w:val="20"/>
              </w:rPr>
            </w:pPr>
            <w:r>
              <w:pict>
                <v:shape id="_x0000_i1070" type="#_x0000_t75" style="width:1in;height:77.64pt">
                  <v:imagedata r:id="rId53" o:title=""/>
                  <o:lock v:ext="edit" aspectratio="t"/>
                </v:shape>
              </w:pict>
            </w:r>
          </w:p>
        </w:tc>
        <w:tc>
          <w:tcPr>
            <w:tcW w:w="3180" w:type="dxa"/>
            <w:vMerge w:val="restart"/>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i w:val="0"/>
                <w:color w:val="000000"/>
                <w:sz w:val="16"/>
                <w:u w:val="none"/>
              </w:rPr>
              <w:t>Myron Hendry</w:t>
            </w:r>
            <w:r>
              <w:rPr>
                <w:rFonts w:ascii="Arial" w:eastAsia="Arial" w:hAnsi="Arial" w:cs="Arial"/>
                <w:b w:val="0"/>
                <w:i w:val="0"/>
                <w:sz w:val="16"/>
              </w:rPr>
              <w:t xml:space="preserve">, </w:t>
            </w:r>
            <w:r>
              <w:rPr>
                <w:rFonts w:ascii="Arial" w:eastAsia="Arial" w:hAnsi="Arial" w:cs="Arial"/>
                <w:b w:val="0"/>
                <w:i w:val="0"/>
                <w:color w:val="000000"/>
                <w:sz w:val="16"/>
                <w:u w:val="none"/>
              </w:rPr>
              <w:t>75</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Director Since: </w:t>
            </w:r>
            <w:r>
              <w:rPr>
                <w:rFonts w:ascii="Arial" w:eastAsia="Arial" w:hAnsi="Arial" w:cs="Arial"/>
                <w:b w:val="0"/>
                <w:i w:val="0"/>
                <w:color w:val="000000"/>
                <w:sz w:val="16"/>
                <w:u w:val="none"/>
              </w:rPr>
              <w:t>2019</w:t>
            </w:r>
            <w:r>
              <w:rPr>
                <w:rFonts w:ascii="Webdings" w:eastAsia="Webdings" w:hAnsi="Webdings" w:cs="Webdings"/>
                <w:b w:val="0"/>
                <w:i w:val="0"/>
                <w:sz w:val="16"/>
              </w:rPr>
              <w:t>|</w:t>
            </w:r>
            <w:r>
              <w:rPr>
                <w:rFonts w:ascii="Arial" w:eastAsia="Arial" w:hAnsi="Arial" w:cs="Arial"/>
                <w:b w:val="0"/>
                <w:i w:val="0"/>
                <w:color w:val="000000"/>
                <w:sz w:val="16"/>
                <w:u w:val="none"/>
              </w:rPr>
              <w:t>Independent</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Former EVP and Chief Platform Officer, XL Group (now AXA XL)</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Other Public Company Boards: </w:t>
            </w:r>
            <w:r>
              <w:rPr>
                <w:rFonts w:ascii="Arial" w:eastAsia="Arial" w:hAnsi="Arial" w:cs="Arial"/>
                <w:b w:val="0"/>
                <w:i w:val="0"/>
                <w:color w:val="000000"/>
                <w:sz w:val="16"/>
                <w:u w:val="none"/>
              </w:rPr>
              <w:t>0</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Committee Memberships: </w:t>
            </w:r>
            <w:r>
              <w:rPr>
                <w:rFonts w:ascii="Arial" w:eastAsia="Arial" w:hAnsi="Arial" w:cs="Arial"/>
                <w:b w:val="0"/>
                <w:i w:val="0"/>
                <w:color w:val="000000"/>
                <w:sz w:val="16"/>
                <w:u w:val="none"/>
              </w:rPr>
              <w:t xml:space="preserve">Nominating and Governance </w:t>
            </w:r>
            <w:r>
              <w:rPr>
                <w:rFonts w:ascii="Arial" w:eastAsia="Arial" w:hAnsi="Arial" w:cs="Arial"/>
                <w:b w:val="0"/>
                <w:i w:val="0"/>
                <w:color w:val="000000"/>
                <w:sz w:val="16"/>
                <w:u w:val="none"/>
              </w:rPr>
              <w:t xml:space="preserve">| </w:t>
            </w:r>
            <w:r>
              <w:rPr>
                <w:rFonts w:ascii="Arial" w:eastAsia="Arial" w:hAnsi="Arial" w:cs="Arial"/>
                <w:b w:val="0"/>
                <w:i w:val="0"/>
                <w:color w:val="000000"/>
                <w:sz w:val="16"/>
                <w:u w:val="none"/>
              </w:rPr>
              <w:t>Risk</w:t>
            </w: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165"/>
        </w:trPr>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80" w:type="dxa"/>
            <w:tcBorders>
              <w:top w:val="nil"/>
              <w:left w:val="nil"/>
              <w:bottom w:val="single" w:sz="8" w:space="0" w:color="4494D1"/>
              <w:right w:val="nil"/>
            </w:tcBorders>
            <w:tcMar>
              <w:top w:w="0" w:type="dxa"/>
              <w:left w:w="0" w:type="dxa"/>
              <w:bottom w:w="0" w:type="dxa"/>
              <w:right w:w="0" w:type="dxa"/>
            </w:tcMar>
            <w:vAlign w:val="bottom"/>
          </w:tcPr>
          <w:p>
            <w:pPr>
              <w:keepNext/>
              <w:pageBreakBefore w:val="0"/>
              <w:spacing w:before="0" w:after="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80" w:type="dxa"/>
            <w:tcBorders>
              <w:top w:val="nil"/>
              <w:left w:val="nil"/>
              <w:bottom w:val="single" w:sz="8" w:space="0" w:color="4494D1"/>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10200" w:type="dxa"/>
          <w:tblInd w:w="0" w:type="dxa"/>
          <w:tblLayout w:type="fixed"/>
          <w:tblCellMar>
            <w:left w:w="108" w:type="dxa"/>
            <w:right w:w="108" w:type="dxa"/>
          </w:tblCellMar>
        </w:tblPrEx>
        <w:trPr>
          <w:cantSplit/>
          <w:trHeight w:hRule="exact" w:val="165"/>
        </w:trPr>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80" w:type="dxa"/>
            <w:tcBorders>
              <w:top w:val="single" w:sz="8"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80" w:type="dxa"/>
            <w:tcBorders>
              <w:top w:val="single" w:sz="8" w:space="0" w:color="4494D1"/>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p>
        </w:tc>
      </w:tr>
      <w:tr>
        <w:tblPrEx>
          <w:tblW w:w="10200" w:type="dxa"/>
          <w:tblInd w:w="0" w:type="dxa"/>
          <w:tblLayout w:type="fixed"/>
          <w:tblCellMar>
            <w:left w:w="108" w:type="dxa"/>
            <w:right w:w="108" w:type="dxa"/>
          </w:tblCellMar>
        </w:tblPrEx>
        <w:trPr>
          <w:cantSplit/>
          <w:trHeight w:hRule="exact" w:val="315"/>
        </w:trPr>
        <w:tc>
          <w:tcPr>
            <w:tcW w:w="1800"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20"/>
              </w:rPr>
            </w:pPr>
            <w:r>
              <w:pict>
                <v:shape id="_x0000_i1071" type="#_x0000_t75" style="width:64.8pt;height:75.74pt">
                  <v:imagedata r:id="rId54" o:title=""/>
                  <o:lock v:ext="edit" aspectratio="t"/>
                </v:shape>
              </w:pict>
            </w:r>
          </w:p>
        </w:tc>
        <w:tc>
          <w:tcPr>
            <w:tcW w:w="3180" w:type="dxa"/>
            <w:vMerge w:val="restart"/>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i w:val="0"/>
                <w:color w:val="000000"/>
                <w:sz w:val="16"/>
                <w:u w:val="none"/>
              </w:rPr>
              <w:t>Paul J. O’Shea</w:t>
            </w:r>
            <w:r>
              <w:rPr>
                <w:rFonts w:ascii="Arial" w:eastAsia="Arial" w:hAnsi="Arial" w:cs="Arial"/>
                <w:b w:val="0"/>
                <w:i w:val="0"/>
                <w:sz w:val="16"/>
              </w:rPr>
              <w:t xml:space="preserve">, </w:t>
            </w:r>
            <w:r>
              <w:rPr>
                <w:rFonts w:ascii="Arial" w:eastAsia="Arial" w:hAnsi="Arial" w:cs="Arial"/>
                <w:b w:val="0"/>
                <w:i w:val="0"/>
                <w:color w:val="000000"/>
                <w:sz w:val="16"/>
                <w:u w:val="none"/>
              </w:rPr>
              <w:t>66</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Director Since: </w:t>
            </w:r>
            <w:r>
              <w:rPr>
                <w:rFonts w:ascii="Arial" w:eastAsia="Arial" w:hAnsi="Arial" w:cs="Arial"/>
                <w:b w:val="0"/>
                <w:i w:val="0"/>
                <w:color w:val="000000"/>
                <w:sz w:val="16"/>
                <w:u w:val="none"/>
              </w:rPr>
              <w:t>2001</w:t>
            </w:r>
            <w:r>
              <w:rPr>
                <w:rFonts w:ascii="Webdings" w:eastAsia="Webdings" w:hAnsi="Webdings" w:cs="Webdings"/>
                <w:b w:val="0"/>
                <w:i w:val="0"/>
                <w:sz w:val="16"/>
              </w:rPr>
              <w:t>|</w:t>
            </w:r>
            <w:r>
              <w:rPr>
                <w:rFonts w:ascii="Arial" w:eastAsia="Arial" w:hAnsi="Arial" w:cs="Arial"/>
                <w:b w:val="0"/>
                <w:i w:val="0"/>
                <w:color w:val="000000"/>
                <w:sz w:val="16"/>
                <w:u w:val="none"/>
              </w:rPr>
              <w:t>Non-Employee</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Former President, Enstar Group Limited</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Other Public Company Boards: </w:t>
            </w:r>
            <w:r>
              <w:rPr>
                <w:rFonts w:ascii="Arial" w:eastAsia="Arial" w:hAnsi="Arial" w:cs="Arial"/>
                <w:b w:val="0"/>
                <w:i w:val="0"/>
                <w:color w:val="000000"/>
                <w:sz w:val="16"/>
                <w:u w:val="none"/>
              </w:rPr>
              <w:t>0</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Committee Memberships: </w:t>
            </w:r>
            <w:r>
              <w:rPr>
                <w:rFonts w:ascii="Arial" w:eastAsia="Arial" w:hAnsi="Arial" w:cs="Arial"/>
                <w:b w:val="0"/>
                <w:i w:val="0"/>
                <w:color w:val="000000"/>
                <w:sz w:val="16"/>
                <w:u w:val="none"/>
              </w:rPr>
              <w:t>Executive</w:t>
            </w: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20"/>
              </w:rPr>
            </w:pPr>
            <w:r>
              <w:pict>
                <v:shape id="_x0000_i1072" type="#_x0000_t75" style="width:64.8pt;height:80.93pt">
                  <v:imagedata r:id="rId55" o:title=""/>
                  <o:lock v:ext="edit" aspectratio="t"/>
                </v:shape>
              </w:pict>
            </w:r>
          </w:p>
        </w:tc>
        <w:tc>
          <w:tcPr>
            <w:tcW w:w="3180" w:type="dxa"/>
            <w:vMerge w:val="restart"/>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i w:val="0"/>
                <w:color w:val="000000"/>
                <w:sz w:val="16"/>
                <w:u w:val="none"/>
              </w:rPr>
              <w:t>Hitesh Patel</w:t>
            </w:r>
            <w:r>
              <w:rPr>
                <w:rFonts w:ascii="Arial" w:eastAsia="Arial" w:hAnsi="Arial" w:cs="Arial"/>
                <w:b w:val="0"/>
                <w:i w:val="0"/>
                <w:sz w:val="16"/>
              </w:rPr>
              <w:t xml:space="preserve">, </w:t>
            </w:r>
            <w:r>
              <w:rPr>
                <w:rFonts w:ascii="Arial" w:eastAsia="Arial" w:hAnsi="Arial" w:cs="Arial"/>
                <w:b w:val="0"/>
                <w:i w:val="0"/>
                <w:color w:val="000000"/>
                <w:sz w:val="16"/>
                <w:u w:val="none"/>
              </w:rPr>
              <w:t>63</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Director Since: </w:t>
            </w:r>
            <w:r>
              <w:rPr>
                <w:rFonts w:ascii="Arial" w:eastAsia="Arial" w:hAnsi="Arial" w:cs="Arial"/>
                <w:b w:val="0"/>
                <w:i w:val="0"/>
                <w:color w:val="000000"/>
                <w:sz w:val="16"/>
                <w:u w:val="none"/>
              </w:rPr>
              <w:t>2015</w:t>
            </w:r>
            <w:r>
              <w:rPr>
                <w:rFonts w:ascii="Webdings" w:eastAsia="Webdings" w:hAnsi="Webdings" w:cs="Webdings"/>
                <w:b w:val="0"/>
                <w:i w:val="0"/>
                <w:sz w:val="16"/>
              </w:rPr>
              <w:t>|</w:t>
            </w:r>
            <w:r>
              <w:rPr>
                <w:rFonts w:ascii="Arial" w:eastAsia="Arial" w:hAnsi="Arial" w:cs="Arial"/>
                <w:b w:val="0"/>
                <w:i w:val="0"/>
                <w:color w:val="000000"/>
                <w:sz w:val="16"/>
                <w:u w:val="none"/>
              </w:rPr>
              <w:t>Independent</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Non-Executive Director</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Other Public Company Boards: </w:t>
            </w:r>
            <w:r>
              <w:rPr>
                <w:rFonts w:ascii="Arial" w:eastAsia="Arial" w:hAnsi="Arial" w:cs="Arial"/>
                <w:b w:val="0"/>
                <w:i w:val="0"/>
                <w:color w:val="000000"/>
                <w:sz w:val="16"/>
                <w:u w:val="none"/>
              </w:rPr>
              <w:t>0</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Committee Memberships: </w:t>
            </w:r>
            <w:r>
              <w:rPr>
                <w:rFonts w:ascii="Arial" w:eastAsia="Arial" w:hAnsi="Arial" w:cs="Arial"/>
                <w:b w:val="0"/>
                <w:i w:val="0"/>
                <w:color w:val="000000"/>
                <w:sz w:val="16"/>
                <w:u w:val="none"/>
              </w:rPr>
              <w:t xml:space="preserve">Audit  </w:t>
            </w:r>
            <w:r>
              <w:rPr>
                <w:rFonts w:ascii="Arial" w:eastAsia="Arial" w:hAnsi="Arial" w:cs="Arial"/>
                <w:b w:val="0"/>
                <w:i w:val="0"/>
                <w:color w:val="000000"/>
                <w:sz w:val="16"/>
                <w:u w:val="none"/>
              </w:rPr>
              <w:t xml:space="preserve">| </w:t>
            </w:r>
            <w:r>
              <w:rPr>
                <w:rFonts w:ascii="Arial" w:eastAsia="Arial" w:hAnsi="Arial" w:cs="Arial"/>
                <w:b w:val="0"/>
                <w:i w:val="0"/>
                <w:color w:val="000000"/>
                <w:sz w:val="16"/>
                <w:u w:val="none"/>
              </w:rPr>
              <w:t xml:space="preserve">Nominating and Governance </w:t>
            </w:r>
            <w:r>
              <w:rPr>
                <w:rFonts w:ascii="Arial" w:eastAsia="Arial" w:hAnsi="Arial" w:cs="Arial"/>
                <w:b w:val="0"/>
                <w:i w:val="0"/>
                <w:color w:val="000000"/>
                <w:sz w:val="16"/>
                <w:u w:val="none"/>
              </w:rPr>
              <w:t xml:space="preserve">| </w:t>
            </w:r>
            <w:r>
              <w:rPr>
                <w:rFonts w:ascii="Arial" w:eastAsia="Arial" w:hAnsi="Arial" w:cs="Arial"/>
                <w:b w:val="0"/>
                <w:i w:val="0"/>
                <w:color w:val="000000"/>
                <w:sz w:val="16"/>
                <w:u w:val="none"/>
              </w:rPr>
              <w:t>Risk (Chair)</w:t>
            </w: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165"/>
        </w:trPr>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80" w:type="dxa"/>
            <w:tcBorders>
              <w:top w:val="nil"/>
              <w:left w:val="nil"/>
              <w:bottom w:val="single" w:sz="8" w:space="0" w:color="4494D1"/>
              <w:right w:val="nil"/>
            </w:tcBorders>
            <w:tcMar>
              <w:top w:w="0" w:type="dxa"/>
              <w:left w:w="0" w:type="dxa"/>
              <w:bottom w:w="0" w:type="dxa"/>
              <w:right w:w="0" w:type="dxa"/>
            </w:tcMar>
            <w:vAlign w:val="bottom"/>
          </w:tcPr>
          <w:p>
            <w:pPr>
              <w:keepNext/>
              <w:pageBreakBefore w:val="0"/>
              <w:spacing w:before="0" w:after="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80" w:type="dxa"/>
            <w:tcBorders>
              <w:top w:val="nil"/>
              <w:left w:val="nil"/>
              <w:bottom w:val="single" w:sz="8" w:space="0" w:color="4494D1"/>
              <w:right w:val="nil"/>
            </w:tcBorders>
            <w:tcMar>
              <w:top w:w="0" w:type="dxa"/>
              <w:left w:w="0" w:type="dxa"/>
              <w:bottom w:w="0" w:type="dxa"/>
              <w:right w:w="0" w:type="dxa"/>
            </w:tcMar>
            <w:vAlign w:val="bottom"/>
          </w:tcPr>
          <w:p>
            <w:pPr>
              <w:keepNext/>
              <w:pageBreakBefore w:val="0"/>
              <w:spacing w:before="0" w:after="0"/>
            </w:pPr>
          </w:p>
        </w:tc>
      </w:tr>
      <w:tr>
        <w:tblPrEx>
          <w:tblW w:w="10200" w:type="dxa"/>
          <w:tblInd w:w="0" w:type="dxa"/>
          <w:tblLayout w:type="fixed"/>
          <w:tblCellMar>
            <w:left w:w="108" w:type="dxa"/>
            <w:right w:w="108" w:type="dxa"/>
          </w:tblCellMar>
        </w:tblPrEx>
        <w:trPr>
          <w:cantSplit/>
          <w:trHeight w:hRule="exact" w:val="165"/>
        </w:trPr>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80" w:type="dxa"/>
            <w:tcBorders>
              <w:top w:val="single" w:sz="8"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180" w:type="dxa"/>
            <w:tcBorders>
              <w:top w:val="single" w:sz="8" w:space="0" w:color="4494D1"/>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00" w:type="dxa"/>
          <w:tblInd w:w="0" w:type="dxa"/>
          <w:tblLayout w:type="fixed"/>
          <w:tblCellMar>
            <w:left w:w="108" w:type="dxa"/>
            <w:right w:w="108" w:type="dxa"/>
          </w:tblCellMar>
        </w:tblPrEx>
        <w:trPr>
          <w:cantSplit/>
          <w:trHeight w:hRule="exact" w:val="315"/>
        </w:trPr>
        <w:tc>
          <w:tcPr>
            <w:tcW w:w="1800"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20"/>
              </w:rPr>
            </w:pPr>
            <w:r>
              <w:pict>
                <v:shape id="_x0000_i1073" type="#_x0000_t75" style="width:1in;height:74.9pt">
                  <v:imagedata r:id="rId56" o:title=""/>
                  <o:lock v:ext="edit" aspectratio="t"/>
                </v:shape>
              </w:pict>
            </w:r>
          </w:p>
        </w:tc>
        <w:tc>
          <w:tcPr>
            <w:tcW w:w="3180" w:type="dxa"/>
            <w:vMerge w:val="restart"/>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i w:val="0"/>
                <w:color w:val="000000"/>
                <w:sz w:val="16"/>
                <w:u w:val="none"/>
              </w:rPr>
              <w:t>Dominic Silvester</w:t>
            </w:r>
            <w:r>
              <w:rPr>
                <w:rFonts w:ascii="Arial" w:eastAsia="Arial" w:hAnsi="Arial" w:cs="Arial"/>
                <w:b w:val="0"/>
                <w:i w:val="0"/>
                <w:sz w:val="16"/>
              </w:rPr>
              <w:t xml:space="preserve">, </w:t>
            </w:r>
            <w:r>
              <w:rPr>
                <w:rFonts w:ascii="Arial" w:eastAsia="Arial" w:hAnsi="Arial" w:cs="Arial"/>
                <w:b w:val="0"/>
                <w:i w:val="0"/>
                <w:color w:val="000000"/>
                <w:sz w:val="16"/>
                <w:u w:val="none"/>
              </w:rPr>
              <w:t>63</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Director Since: </w:t>
            </w:r>
            <w:r>
              <w:rPr>
                <w:rFonts w:ascii="Arial" w:eastAsia="Arial" w:hAnsi="Arial" w:cs="Arial"/>
                <w:b w:val="0"/>
                <w:i w:val="0"/>
                <w:color w:val="000000"/>
                <w:sz w:val="16"/>
                <w:u w:val="none"/>
              </w:rPr>
              <w:t>2001</w:t>
            </w:r>
            <w:r>
              <w:rPr>
                <w:rFonts w:ascii="Webdings" w:eastAsia="Webdings" w:hAnsi="Webdings" w:cs="Webdings"/>
                <w:b w:val="0"/>
                <w:i w:val="0"/>
                <w:sz w:val="16"/>
              </w:rPr>
              <w:t>|</w:t>
            </w:r>
            <w:r>
              <w:rPr>
                <w:rFonts w:ascii="Arial" w:eastAsia="Arial" w:hAnsi="Arial" w:cs="Arial"/>
                <w:b w:val="0"/>
                <w:i w:val="0"/>
                <w:color w:val="000000"/>
                <w:sz w:val="16"/>
                <w:u w:val="none"/>
              </w:rPr>
              <w:t>Executive</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CEO, Enstar Group Limited</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Other Public Company Boards: </w:t>
            </w:r>
            <w:r>
              <w:rPr>
                <w:rFonts w:ascii="Arial" w:eastAsia="Arial" w:hAnsi="Arial" w:cs="Arial"/>
                <w:b w:val="0"/>
                <w:i w:val="0"/>
                <w:color w:val="000000"/>
                <w:sz w:val="16"/>
                <w:u w:val="none"/>
              </w:rPr>
              <w:t>0</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Committee Memberships: </w:t>
            </w:r>
            <w:r>
              <w:rPr>
                <w:rFonts w:ascii="Arial" w:eastAsia="Arial" w:hAnsi="Arial" w:cs="Arial"/>
                <w:b w:val="0"/>
                <w:i w:val="0"/>
                <w:color w:val="000000"/>
                <w:sz w:val="16"/>
                <w:u w:val="none"/>
              </w:rPr>
              <w:t xml:space="preserve">Investment  </w:t>
            </w:r>
            <w:r>
              <w:rPr>
                <w:rFonts w:ascii="Arial" w:eastAsia="Arial" w:hAnsi="Arial" w:cs="Arial"/>
                <w:b w:val="0"/>
                <w:i w:val="0"/>
                <w:color w:val="000000"/>
                <w:sz w:val="16"/>
                <w:u w:val="none"/>
              </w:rPr>
              <w:t xml:space="preserve">| </w:t>
            </w:r>
            <w:r>
              <w:rPr>
                <w:rFonts w:ascii="Arial" w:eastAsia="Arial" w:hAnsi="Arial" w:cs="Arial"/>
                <w:b w:val="0"/>
                <w:i w:val="0"/>
                <w:color w:val="000000"/>
                <w:sz w:val="16"/>
                <w:u w:val="none"/>
              </w:rPr>
              <w:t>Executive</w:t>
            </w: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20"/>
              </w:rPr>
            </w:pPr>
            <w:r>
              <w:pict>
                <v:shape id="_x0000_i1074" type="#_x0000_t75" style="width:64.8pt;height:73.15pt">
                  <v:imagedata r:id="rId57" o:title=""/>
                  <o:lock v:ext="edit" aspectratio="t"/>
                </v:shape>
              </w:pict>
            </w:r>
          </w:p>
        </w:tc>
        <w:tc>
          <w:tcPr>
            <w:tcW w:w="3180" w:type="dxa"/>
            <w:vMerge w:val="restart"/>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i w:val="0"/>
                <w:color w:val="000000"/>
                <w:sz w:val="16"/>
                <w:u w:val="none"/>
              </w:rPr>
              <w:t>Poul A. Winslow</w:t>
            </w:r>
            <w:r>
              <w:rPr>
                <w:rFonts w:ascii="Arial" w:eastAsia="Arial" w:hAnsi="Arial" w:cs="Arial"/>
                <w:b w:val="0"/>
                <w:i w:val="0"/>
                <w:sz w:val="16"/>
              </w:rPr>
              <w:t xml:space="preserve">, </w:t>
            </w:r>
            <w:r>
              <w:rPr>
                <w:rFonts w:ascii="Arial" w:eastAsia="Arial" w:hAnsi="Arial" w:cs="Arial"/>
                <w:b w:val="0"/>
                <w:i w:val="0"/>
                <w:color w:val="000000"/>
                <w:sz w:val="16"/>
                <w:u w:val="none"/>
              </w:rPr>
              <w:t>58</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Director Since: </w:t>
            </w:r>
            <w:r>
              <w:rPr>
                <w:rFonts w:ascii="Arial" w:eastAsia="Arial" w:hAnsi="Arial" w:cs="Arial"/>
                <w:b w:val="0"/>
                <w:i w:val="0"/>
                <w:color w:val="000000"/>
                <w:sz w:val="16"/>
                <w:u w:val="none"/>
              </w:rPr>
              <w:t>2015</w:t>
            </w:r>
            <w:r>
              <w:rPr>
                <w:rFonts w:ascii="Webdings" w:eastAsia="Webdings" w:hAnsi="Webdings" w:cs="Webdings"/>
                <w:b w:val="0"/>
                <w:i w:val="0"/>
                <w:sz w:val="16"/>
              </w:rPr>
              <w:t>|</w:t>
            </w:r>
            <w:r>
              <w:rPr>
                <w:rFonts w:ascii="Arial" w:eastAsia="Arial" w:hAnsi="Arial" w:cs="Arial"/>
                <w:b w:val="0"/>
                <w:i w:val="0"/>
                <w:color w:val="000000"/>
                <w:sz w:val="16"/>
                <w:u w:val="none"/>
              </w:rPr>
              <w:t>Independent</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Former Senior Managing Director, Canada Pension Plan Investment Board</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Other Public Company Boards: </w:t>
            </w:r>
            <w:r>
              <w:rPr>
                <w:rFonts w:ascii="Arial" w:eastAsia="Arial" w:hAnsi="Arial" w:cs="Arial"/>
                <w:b w:val="0"/>
                <w:i w:val="0"/>
                <w:color w:val="000000"/>
                <w:sz w:val="16"/>
                <w:u w:val="none"/>
              </w:rPr>
              <w:t>0</w:t>
            </w:r>
          </w:p>
          <w:p>
            <w:pPr>
              <w:pageBreakBefore w:val="0"/>
              <w:numPr>
                <w:ilvl w:val="0"/>
                <w:numId w:val="0"/>
              </w:numPr>
              <w:spacing w:before="0" w:after="0" w:line="288"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Committee Memberships: </w:t>
            </w:r>
            <w:r>
              <w:rPr>
                <w:rFonts w:ascii="Arial" w:eastAsia="Arial" w:hAnsi="Arial" w:cs="Arial"/>
                <w:b w:val="0"/>
                <w:i w:val="0"/>
                <w:color w:val="000000"/>
                <w:sz w:val="16"/>
                <w:u w:val="none"/>
              </w:rPr>
              <w:t xml:space="preserve">Human Resources and Compensation </w:t>
            </w:r>
            <w:r>
              <w:rPr>
                <w:rFonts w:ascii="Arial" w:eastAsia="Arial" w:hAnsi="Arial" w:cs="Arial"/>
                <w:b w:val="0"/>
                <w:i w:val="0"/>
                <w:color w:val="000000"/>
                <w:sz w:val="16"/>
                <w:u w:val="none"/>
              </w:rPr>
              <w:t xml:space="preserve">| </w:t>
            </w:r>
            <w:r>
              <w:rPr>
                <w:rFonts w:ascii="Arial" w:eastAsia="Arial" w:hAnsi="Arial" w:cs="Arial"/>
                <w:b w:val="0"/>
                <w:i w:val="0"/>
                <w:color w:val="000000"/>
                <w:sz w:val="16"/>
                <w:u w:val="none"/>
              </w:rPr>
              <w:t xml:space="preserve">Investment </w:t>
            </w:r>
            <w:r>
              <w:rPr>
                <w:rFonts w:ascii="Arial" w:eastAsia="Arial" w:hAnsi="Arial" w:cs="Arial"/>
                <w:b w:val="0"/>
                <w:i w:val="0"/>
                <w:color w:val="000000"/>
                <w:sz w:val="16"/>
                <w:u w:val="none"/>
              </w:rPr>
              <w:t xml:space="preserve">| </w:t>
            </w:r>
            <w:r>
              <w:rPr>
                <w:rFonts w:ascii="Arial" w:eastAsia="Arial" w:hAnsi="Arial" w:cs="Arial"/>
                <w:b w:val="0"/>
                <w:i w:val="0"/>
                <w:color w:val="000000"/>
                <w:sz w:val="16"/>
                <w:u w:val="none"/>
              </w:rPr>
              <w:t>Executive</w:t>
            </w: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c>
          <w:tcPr>
            <w:tcW w:w="2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vMerge/>
            <w:tcBorders>
              <w:top w:val="nil"/>
              <w:left w:val="nil"/>
              <w:bottom w:val="nil"/>
              <w:right w:val="nil"/>
            </w:tcBorders>
          </w:tcPr>
          <w:p>
            <w:pPr>
              <w:keepNext/>
              <w:pageBreakBefore w:val="0"/>
            </w:pPr>
          </w:p>
        </w:tc>
        <w:tc>
          <w:tcPr>
            <w:tcW w:w="3180" w:type="dxa"/>
            <w:vMerge/>
            <w:tcBorders>
              <w:top w:val="nil"/>
              <w:left w:val="nil"/>
              <w:bottom w:val="nil"/>
              <w:right w:val="nil"/>
            </w:tcBorders>
          </w:tcPr>
          <w:p>
            <w:pPr>
              <w:keepNext/>
              <w:pageBreakBefore w:val="0"/>
            </w:pPr>
          </w:p>
        </w:tc>
      </w:tr>
      <w:tr>
        <w:tblPrEx>
          <w:tblW w:w="10200" w:type="dxa"/>
          <w:tblInd w:w="0" w:type="dxa"/>
          <w:tblLayout w:type="fixed"/>
          <w:tblCellMar>
            <w:left w:w="108" w:type="dxa"/>
            <w:right w:w="108" w:type="dxa"/>
          </w:tblCellMar>
        </w:tblPrEx>
        <w:trPr>
          <w:cantSplit/>
          <w:trHeight w:hRule="exact" w:val="315"/>
        </w:trPr>
        <w:tc>
          <w:tcPr>
            <w:tcW w:w="1800" w:type="dxa"/>
            <w:vMerge/>
            <w:tcBorders>
              <w:top w:val="nil"/>
              <w:left w:val="nil"/>
              <w:bottom w:val="nil"/>
              <w:right w:val="nil"/>
            </w:tcBorders>
          </w:tcPr>
          <w:p>
            <w:pPr>
              <w:pageBreakBefore w:val="0"/>
            </w:pPr>
          </w:p>
        </w:tc>
        <w:tc>
          <w:tcPr>
            <w:tcW w:w="3180" w:type="dxa"/>
            <w:vMerge/>
            <w:tcBorders>
              <w:top w:val="nil"/>
              <w:left w:val="nil"/>
              <w:bottom w:val="nil"/>
              <w:right w:val="nil"/>
            </w:tcBorders>
          </w:tcPr>
          <w:p>
            <w:pPr>
              <w:pageBreakBefore w:val="0"/>
            </w:pPr>
          </w:p>
        </w:tc>
        <w:tc>
          <w:tcPr>
            <w:tcW w:w="24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800" w:type="dxa"/>
            <w:vMerge/>
            <w:tcBorders>
              <w:top w:val="nil"/>
              <w:left w:val="nil"/>
              <w:bottom w:val="nil"/>
              <w:right w:val="nil"/>
            </w:tcBorders>
          </w:tcPr>
          <w:p>
            <w:pPr>
              <w:pageBreakBefore w:val="0"/>
            </w:pPr>
          </w:p>
        </w:tc>
        <w:tc>
          <w:tcPr>
            <w:tcW w:w="3180" w:type="dxa"/>
            <w:vMerge/>
            <w:tcBorders>
              <w:top w:val="nil"/>
              <w:left w:val="nil"/>
              <w:bottom w:val="nil"/>
              <w:right w:val="nil"/>
            </w:tcBorders>
          </w:tcPr>
          <w:p>
            <w:pPr>
              <w:pageBreakBefore w:val="0"/>
            </w:pPr>
          </w:p>
        </w:tc>
      </w:tr>
    </w:tbl>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pP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sectPr>
          <w:headerReference w:type="default" r:id="rId58"/>
          <w:footerReference w:type="default" r:id="rId59"/>
          <w:pgSz w:w="12240" w:h="15840"/>
          <w:pgMar w:top="855" w:right="990" w:bottom="855" w:left="990" w:header="180" w:footer="270"/>
          <w:cols w:space="708"/>
        </w:sectPr>
      </w:pPr>
    </w:p>
    <w:p>
      <w:pPr>
        <w:keepNext/>
        <w:keepLines/>
        <w:pageBreakBefore w:val="0"/>
        <w:widowControl w:val="0"/>
        <w:numPr>
          <w:ilvl w:val="0"/>
          <w:numId w:val="0"/>
        </w:numPr>
        <w:spacing w:before="0" w:after="60" w:line="288" w:lineRule="auto"/>
        <w:ind w:left="0" w:right="0" w:firstLine="0"/>
        <w:jc w:val="left"/>
        <w:outlineLvl w:val="9"/>
        <w:rPr>
          <w:rFonts w:ascii="Arial" w:eastAsia="Arial" w:hAnsi="Arial" w:cs="Arial"/>
          <w:b/>
          <w:i w:val="0"/>
          <w:color w:val="4495D1"/>
          <w:sz w:val="24"/>
          <w:u w:val="none"/>
        </w:rPr>
      </w:pPr>
      <w:bookmarkStart w:id="14" w:name="Section17"/>
      <w:bookmarkEnd w:id="14"/>
    </w:p>
    <w:p>
      <w:pPr>
        <w:keepNext/>
        <w:keepLines/>
        <w:pageBreakBefore w:val="0"/>
        <w:widowControl w:val="0"/>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BOARD COMPOSITION AND REFRESHMENT</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Our Board is made up of a diverse group of leaders with substantial experience in their respective fields. Our Board believes that the combination of the various skills, qualifications and experiences of its directors contributes to an effective and well-functioning Board and that, individually and as a whole, its directors possess the necessary qualifications to provide effective oversight and insightful strategic guidance.</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We continually review our Board’s composition to identify the skills needed for our Company both in the near term and into the future. Board succession planning and annual reviews of Board composition by the Nominating and Governance Committee assure that the Board continues to maintain an appropriate mix of objectivity, skills and experiences to provide fresh perspectives and effective oversight and guidance to management, while leveraging the institutional knowledge and historical perspective of our longer-tenured directors. The most recent addition to the Board was Orla M. Gregory, who was appointed in February 2022. Ms. Gregory is also our President, and she brings extensive industry experience and a deep knowledge of the Company's operations to our Board.</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Board believes that refreshment is important to help ensure that Board composition is aligned with the needs of the Company and the Board as our business evolves over time, and that fresh viewpoints and perspectives are regularly considered. The Board also believes that over time directors develop an understanding of the Company and an ability to work effectively as a group. </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Directors are elected each year, at the annual general meeting of shareholders, to hold office until the next annual general meeting of shareholders or, if earlier, until their resignation or removal. Because term limits could cause the loss of experience or expertise important to the optimal operation of the Board, there are no limits on the number of terms that a director may serve, but the Nominating and Governance Committee and the Board consider the tenure of directors as one of several factors in nomination decisions. To promote refreshment, the Board established a retirement age of eighty for non-employee directors in 2022 following a comprehensive director succession planning exercise conducted by our Nominating and Governance Committee.</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sectPr>
          <w:headerReference w:type="default" r:id="rId60"/>
          <w:footerReference w:type="default" r:id="rId61"/>
          <w:pgSz w:w="12240" w:h="15840"/>
          <w:pgMar w:top="855" w:right="990" w:bottom="855" w:left="990" w:header="180" w:footer="270"/>
          <w:cols w:space="708"/>
        </w:sectPr>
      </w:pPr>
    </w:p>
    <w:p>
      <w:pPr>
        <w:keepNext/>
        <w:keepLines w:val="0"/>
        <w:pageBreakBefore w:val="0"/>
        <w:widowControl/>
        <w:numPr>
          <w:ilvl w:val="0"/>
          <w:numId w:val="0"/>
        </w:numPr>
        <w:spacing w:before="200" w:after="120" w:line="288" w:lineRule="auto"/>
        <w:ind w:left="0" w:right="0" w:firstLine="0"/>
        <w:jc w:val="left"/>
        <w:outlineLvl w:val="9"/>
        <w:rPr>
          <w:rFonts w:ascii="Arial" w:eastAsia="Arial" w:hAnsi="Arial" w:cs="Arial"/>
          <w:b/>
          <w:i w:val="0"/>
          <w:color w:val="171449"/>
          <w:sz w:val="24"/>
          <w:u w:val="none"/>
        </w:rPr>
      </w:pPr>
      <w:bookmarkStart w:id="15" w:name="Section18"/>
      <w:bookmarkEnd w:id="15"/>
    </w:p>
    <w:p>
      <w:pPr>
        <w:keepNext/>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Board Membership Criteria</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 Board and the Nominating and Governance Committee believe that there are general qualifications that all directors must exhibit and other key qualifications and experiences that should be represented on the Board as a whole but not necessarily by each individual director. Given the complex nature of our business and the insurance and reinsurance industry, we seek directors whose experiences, although varying and diverse, are also complementary to and demonstrate a familiarity with the substantive matters necessary to lead the Company and navigate our business.</w:t>
      </w:r>
    </w:p>
    <w:p>
      <w:pPr>
        <w:keepNext/>
        <w:keepLines w:val="0"/>
        <w:pageBreakBefore w:val="0"/>
        <w:widowControl/>
        <w:numPr>
          <w:ilvl w:val="0"/>
          <w:numId w:val="0"/>
        </w:numPr>
        <w:spacing w:before="0" w:after="120" w:line="300" w:lineRule="auto"/>
        <w:ind w:left="0" w:right="0" w:firstLine="0"/>
        <w:jc w:val="both"/>
        <w:outlineLvl w:val="9"/>
        <w:sectPr>
          <w:headerReference w:type="default" r:id="rId62"/>
          <w:footerReference w:type="default" r:id="rId63"/>
          <w:type w:val="continuous"/>
          <w:pgSz w:w="12240" w:h="15840"/>
          <w:pgMar w:top="855" w:right="990" w:bottom="855" w:left="990" w:header="180" w:footer="270"/>
          <w:cols w:space="708"/>
        </w:sectPr>
      </w:pPr>
    </w:p>
    <w:p>
      <w:pPr>
        <w:keepNext w:val="0"/>
        <w:keepLines w:val="0"/>
        <w:pageBreakBefore w:val="0"/>
        <w:widowControl/>
        <w:numPr>
          <w:ilvl w:val="0"/>
          <w:numId w:val="0"/>
        </w:numPr>
        <w:spacing w:before="200" w:after="60" w:line="288" w:lineRule="auto"/>
        <w:ind w:left="0" w:right="0" w:firstLine="0"/>
        <w:jc w:val="left"/>
        <w:outlineLvl w:val="9"/>
        <w:rPr>
          <w:rFonts w:ascii="Arial" w:eastAsia="Arial" w:hAnsi="Arial" w:cs="Arial"/>
          <w:b/>
          <w:i w:val="0"/>
          <w:color w:val="4495D1"/>
          <w:sz w:val="20"/>
          <w:u w:val="none"/>
        </w:rPr>
      </w:pPr>
      <w:bookmarkStart w:id="16" w:name="Section19"/>
      <w:bookmarkEnd w:id="16"/>
    </w:p>
    <w:p>
      <w:pPr>
        <w:keepNext w:val="0"/>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Qualifications Required of All Directors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Board and the Nominating and Governance Committee require that each director possess high personal and professional integrity and character, strong business judgement, the ability to represent the interests of the Company's shareholders, knowledge regarding insurance, reinsurance and investment matters, as well as other factors discussed below. </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64"/>
          <w:footerReference w:type="default" r:id="rId65"/>
          <w:type w:val="continuous"/>
          <w:pgSz w:w="12240" w:h="15840"/>
          <w:pgMar w:top="855" w:right="990" w:bottom="855" w:left="990" w:header="180" w:footer="270"/>
          <w:cols w:space="708"/>
        </w:sectPr>
      </w:pPr>
    </w:p>
    <w:p>
      <w:pPr>
        <w:keepNext w:val="0"/>
        <w:keepLines w:val="0"/>
        <w:pageBreakBefore w:val="0"/>
        <w:widowControl/>
        <w:numPr>
          <w:ilvl w:val="0"/>
          <w:numId w:val="0"/>
        </w:numPr>
        <w:spacing w:before="200" w:after="60" w:line="288" w:lineRule="auto"/>
        <w:ind w:left="0" w:right="0" w:firstLine="0"/>
        <w:jc w:val="left"/>
        <w:outlineLvl w:val="9"/>
        <w:rPr>
          <w:rFonts w:ascii="Arial" w:eastAsia="Arial" w:hAnsi="Arial" w:cs="Arial"/>
          <w:b/>
          <w:i w:val="0"/>
          <w:color w:val="4495D1"/>
          <w:sz w:val="20"/>
          <w:u w:val="none"/>
        </w:rPr>
      </w:pPr>
      <w:bookmarkStart w:id="17" w:name="Section20"/>
      <w:bookmarkEnd w:id="17"/>
    </w:p>
    <w:p>
      <w:pPr>
        <w:keepNext w:val="0"/>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Key Qualifications and Experiences to be Represented on the Board</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Board has identified key qualifications and experiences that are important to be represented on the Board as a whole, in light of the Company's business strategy and expected future business needs. The Board reviews these categories from time to time, alongside its consideration of whether there are new areas that would benefit it in executing its oversight duties. The table set out on </w:t>
      </w:r>
      <w:r>
        <w:rPr>
          <w:rFonts w:ascii="Arial" w:eastAsia="Arial" w:hAnsi="Arial" w:cs="Arial"/>
          <w:b w:val="0"/>
          <w:i w:val="0"/>
          <w:sz w:val="20"/>
        </w:rPr>
        <w:t xml:space="preserve">page </w:t>
      </w:r>
      <w:r>
        <w:rPr>
          <w:rFonts w:ascii="Arial" w:eastAsia="Arial" w:hAnsi="Arial" w:cs="Arial"/>
          <w:b w:val="0"/>
          <w:i w:val="0"/>
          <w:color w:val="0000FF"/>
          <w:sz w:val="20"/>
          <w:u w:val="single"/>
        </w:rPr>
        <w:fldChar w:fldCharType="begin"/>
      </w:r>
      <w:r>
        <w:rPr>
          <w:rFonts w:ascii="Arial" w:eastAsia="Arial" w:hAnsi="Arial" w:cs="Arial"/>
          <w:b w:val="0"/>
          <w:i w:val="0"/>
          <w:color w:val="0000FF"/>
          <w:sz w:val="20"/>
          <w:u w:val="single"/>
        </w:rPr>
        <w:instrText xml:space="preserve"> PAGEREF </w:instrText>
      </w:r>
      <w:r>
        <w:rPr>
          <w:rFonts w:ascii="Arial" w:eastAsia="Arial" w:hAnsi="Arial" w:cs="Arial"/>
          <w:b w:val="0"/>
          <w:i w:val="0"/>
          <w:color w:val="0000FF"/>
          <w:sz w:val="20"/>
          <w:u w:val="single"/>
        </w:rPr>
        <w:instrText xml:space="preserve"> </w:instrText>
      </w:r>
      <w:r>
        <w:rPr>
          <w:rFonts w:ascii="Arial" w:eastAsia="Arial" w:hAnsi="Arial" w:cs="Arial"/>
          <w:b w:val="0"/>
          <w:i w:val="0"/>
          <w:color w:val="0000FF"/>
          <w:sz w:val="20"/>
          <w:u w:val="single"/>
        </w:rPr>
        <w:instrText>Section27</w:instrText>
      </w:r>
      <w:r>
        <w:rPr>
          <w:rFonts w:ascii="Arial" w:eastAsia="Arial" w:hAnsi="Arial" w:cs="Arial"/>
          <w:b w:val="0"/>
          <w:i w:val="0"/>
          <w:color w:val="0000FF"/>
          <w:sz w:val="20"/>
          <w:u w:val="single"/>
        </w:rPr>
        <w:instrText xml:space="preserve"> \h</w:instrText>
      </w:r>
      <w:r>
        <w:rPr>
          <w:rFonts w:ascii="Arial" w:eastAsia="Arial" w:hAnsi="Arial" w:cs="Arial"/>
          <w:b w:val="0"/>
          <w:i w:val="0"/>
          <w:color w:val="0000FF"/>
          <w:sz w:val="20"/>
          <w:u w:val="single"/>
        </w:rPr>
        <w:fldChar w:fldCharType="separate"/>
      </w:r>
      <w:r>
        <w:rPr>
          <w:rFonts w:ascii="Arial" w:eastAsia="Arial" w:hAnsi="Arial" w:cs="Arial"/>
          <w:b w:val="0"/>
          <w:i w:val="0"/>
          <w:color w:val="0000FF"/>
          <w:sz w:val="20"/>
          <w:u w:val="single"/>
        </w:rPr>
        <w:t>8</w:t>
      </w:r>
      <w:r>
        <w:rPr>
          <w:rFonts w:ascii="Arial" w:eastAsia="Arial" w:hAnsi="Arial" w:cs="Arial"/>
          <w:b w:val="0"/>
          <w:i w:val="0"/>
          <w:color w:val="0000FF"/>
          <w:sz w:val="20"/>
          <w:u w:val="single"/>
        </w:rPr>
        <w:fldChar w:fldCharType="end"/>
      </w:r>
      <w:r>
        <w:rPr>
          <w:rFonts w:ascii="Arial" w:eastAsia="Arial" w:hAnsi="Arial" w:cs="Arial"/>
          <w:b w:val="0"/>
          <w:i w:val="0"/>
          <w:sz w:val="20"/>
        </w:rPr>
        <w:t xml:space="preserve"> summarizes these key qualifications and how they are linked to our Company's business. </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66"/>
          <w:footerReference w:type="default" r:id="rId67"/>
          <w:type w:val="continuous"/>
          <w:pgSz w:w="12240" w:h="15840"/>
          <w:pgMar w:top="855" w:right="990" w:bottom="855" w:left="990" w:header="180" w:footer="270"/>
          <w:cols w:space="708"/>
        </w:sectPr>
      </w:pPr>
    </w:p>
    <w:p>
      <w:pPr>
        <w:keepNext w:val="0"/>
        <w:keepLines w:val="0"/>
        <w:pageBreakBefore w:val="0"/>
        <w:widowControl/>
        <w:numPr>
          <w:ilvl w:val="0"/>
          <w:numId w:val="0"/>
        </w:numPr>
        <w:spacing w:before="200" w:after="60" w:line="288" w:lineRule="auto"/>
        <w:ind w:left="0" w:right="0" w:firstLine="0"/>
        <w:jc w:val="both"/>
        <w:outlineLvl w:val="9"/>
        <w:rPr>
          <w:rFonts w:ascii="Arial" w:eastAsia="Arial" w:hAnsi="Arial" w:cs="Arial"/>
          <w:b/>
          <w:i w:val="0"/>
          <w:color w:val="4495D1"/>
          <w:sz w:val="20"/>
          <w:u w:val="none"/>
        </w:rPr>
      </w:pPr>
      <w:bookmarkStart w:id="18" w:name="Section21"/>
      <w:bookmarkEnd w:id="18"/>
    </w:p>
    <w:p>
      <w:pPr>
        <w:keepNext w:val="0"/>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4495D1"/>
          <w:sz w:val="20"/>
          <w:u w:val="none"/>
        </w:rPr>
      </w:pPr>
    </w:p>
    <w:p>
      <w:pPr>
        <w:keepNext w:val="0"/>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4495D1"/>
          <w:sz w:val="20"/>
          <w:u w:val="none"/>
        </w:rPr>
      </w:pPr>
    </w:p>
    <w:p>
      <w:pPr>
        <w:keepNext w:val="0"/>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4495D1"/>
          <w:sz w:val="20"/>
          <w:u w:val="none"/>
        </w:rPr>
      </w:pPr>
    </w:p>
    <w:p>
      <w:pPr>
        <w:keepNext w:val="0"/>
        <w:keepLines w:val="0"/>
        <w:pageBreakBefore w:val="0"/>
        <w:widowControl/>
        <w:numPr>
          <w:ilvl w:val="0"/>
          <w:numId w:val="0"/>
        </w:numPr>
        <w:spacing w:before="0" w:after="60" w:line="288" w:lineRule="auto"/>
        <w:ind w:left="0" w:right="0" w:firstLine="0"/>
        <w:jc w:val="both"/>
        <w:outlineLvl w:val="3"/>
        <w:rPr>
          <w:rFonts w:ascii="Arial" w:eastAsia="Arial" w:hAnsi="Arial" w:cs="Arial"/>
          <w:b/>
          <w:i w:val="0"/>
          <w:color w:val="4495D1"/>
          <w:sz w:val="20"/>
          <w:u w:val="none"/>
        </w:rPr>
      </w:pPr>
      <w:r>
        <w:rPr>
          <w:rFonts w:ascii="Arial" w:eastAsia="Arial" w:hAnsi="Arial" w:cs="Arial"/>
          <w:b/>
          <w:i w:val="0"/>
          <w:color w:val="4495D1"/>
          <w:sz w:val="20"/>
          <w:u w:val="none"/>
        </w:rPr>
        <w:t>Consideration of Board Diversity</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We seek to identify candidates who represent a mix of backgrounds and experiences that will improve the Board’s ability, as a whole, to serve our needs and the interests of our shareholders. In February 2019, the Board adopted a formal diversity policy applicable to the selection of directors. The Board considers diversity to include self-identified gender, self-identified ethnicity, nationality, age, self-identified sexual orientation, geographic background, and other personal characteristics whether self-identified or otherwise. Our Board Diversity Policy requires the Nominating and Governance Committee to actively consider diversity in its regular assessments of board composition and in its efforts to identify potential director candidates, including specifically requiring that one or more female, underrepresented minority or LGBTQ+ candidates be included in formal searches for new directors.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Board assesses the effectiveness of its diversity policy every year through our Board and committee evaluation process and annual composition review. Where potential improvements are identified, the Nominating and Governance Committee may propose changes to the policy to enhance its effectiveness. Board diversity has also been a key topic in our annual shareholder engagement discussions. In response to shareholder feedback and upon recommendation from the Nominating and Governance Committee, the Board amended its diversity policy in 2021 to strengthen its commitment to improving diversity amongst its members by imposing aspirational diversity targets.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As provided in the revised policy, the Board endeavors to maintain diversity amongst its members such that at least 30% of the Board will comprise persons who self-identify as female or as an underrepresented minority or LGBTQ+. On gender diversity specifically, the Board is committed to maintaining at least three female Board members and over time will aim to reach and maintain a minimum of at least 30% female representation on the Board. For  purposes of  these  targets, an underrepresented minority is a person who self-identifies within one or</w:t>
      </w:r>
      <w:r>
        <w:rPr>
          <w:rFonts w:ascii="Arial" w:eastAsia="Arial" w:hAnsi="Arial" w:cs="Arial"/>
          <w:b w:val="0"/>
          <w:i w:val="0"/>
          <w:sz w:val="20"/>
        </w:rPr>
        <w:t xml:space="preserve"> more of the following categories that have been established by the U.S. Equal Employment Opportunity Commission: Black or African American, Hispanic or Latinx, Asian, Native American or Alaska Native, Native </w:t>
      </w:r>
      <w:r>
        <w:rPr>
          <w:rFonts w:ascii="Arial" w:eastAsia="Arial" w:hAnsi="Arial" w:cs="Arial"/>
          <w:b w:val="0"/>
          <w:i w:val="0"/>
          <w:sz w:val="20"/>
        </w:rPr>
        <w:t>Hawaiian or Other Pacific Islander or two or more races or ethnicities.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Currently</w:t>
      </w:r>
      <w:r>
        <w:rPr>
          <w:rFonts w:ascii="Arial" w:eastAsia="Arial" w:hAnsi="Arial" w:cs="Arial"/>
          <w:b w:val="0"/>
          <w:i w:val="0"/>
          <w:sz w:val="20"/>
        </w:rPr>
        <w:t>, 33% of our Board comprises persons who self-identify as female or as an underrepresented minority, and three</w:t>
      </w:r>
      <w:r>
        <w:rPr>
          <w:rFonts w:ascii="Arial" w:eastAsia="Arial" w:hAnsi="Arial" w:cs="Arial"/>
          <w:b w:val="0"/>
          <w:i w:val="0"/>
          <w:sz w:val="20"/>
        </w:rPr>
        <w:t xml:space="preserve"> directors</w:t>
      </w:r>
      <w:r>
        <w:rPr>
          <w:rFonts w:ascii="Arial" w:eastAsia="Arial" w:hAnsi="Arial" w:cs="Arial"/>
          <w:b w:val="0"/>
          <w:i w:val="0"/>
          <w:sz w:val="20"/>
        </w:rPr>
        <w:t xml:space="preserve">, </w:t>
      </w:r>
      <w:r>
        <w:rPr>
          <w:rFonts w:ascii="Arial" w:eastAsia="Arial" w:hAnsi="Arial" w:cs="Arial"/>
          <w:b w:val="0"/>
          <w:i w:val="0"/>
          <w:sz w:val="20"/>
        </w:rPr>
        <w:t>comprising</w:t>
      </w:r>
      <w:r>
        <w:rPr>
          <w:rFonts w:ascii="Arial" w:eastAsia="Arial" w:hAnsi="Arial" w:cs="Arial"/>
          <w:b w:val="0"/>
          <w:i w:val="0"/>
          <w:sz w:val="20"/>
        </w:rPr>
        <w:t xml:space="preserve"> 25%</w:t>
      </w:r>
      <w:r>
        <w:rPr>
          <w:rFonts w:ascii="Arial" w:eastAsia="Arial" w:hAnsi="Arial" w:cs="Arial"/>
          <w:b w:val="0"/>
          <w:i w:val="0"/>
          <w:sz w:val="20"/>
        </w:rPr>
        <w:t xml:space="preserve"> of our Board</w:t>
      </w:r>
      <w:r>
        <w:rPr>
          <w:rFonts w:ascii="Arial" w:eastAsia="Arial" w:hAnsi="Arial" w:cs="Arial"/>
          <w:b w:val="0"/>
          <w:i w:val="0"/>
          <w:sz w:val="20"/>
        </w:rPr>
        <w:t>, self-identify as female. The Board intends to continue to improve its overall diversity over time without further increases to its size, unless otherwise determined appropriate by our Board.</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color w:val="000000"/>
          <w:sz w:val="20"/>
          <w:u w:val="none"/>
        </w:rPr>
        <w:t xml:space="preserve">In support of </w:t>
      </w:r>
      <w:r>
        <w:rPr>
          <w:rFonts w:ascii="Arial" w:eastAsia="Arial" w:hAnsi="Arial" w:cs="Arial"/>
          <w:b w:val="0"/>
          <w:i w:val="0"/>
          <w:color w:val="000000"/>
          <w:sz w:val="20"/>
          <w:u w:val="none"/>
        </w:rPr>
        <w:t xml:space="preserve">its </w:t>
      </w:r>
      <w:r>
        <w:rPr>
          <w:rFonts w:ascii="Arial" w:eastAsia="Arial" w:hAnsi="Arial" w:cs="Arial"/>
          <w:b w:val="0"/>
          <w:i w:val="0"/>
          <w:color w:val="000000"/>
          <w:sz w:val="20"/>
          <w:u w:val="none"/>
        </w:rPr>
        <w:t>aim</w:t>
      </w:r>
      <w:r>
        <w:rPr>
          <w:rFonts w:ascii="Arial" w:eastAsia="Arial" w:hAnsi="Arial" w:cs="Arial"/>
          <w:b w:val="0"/>
          <w:i w:val="0"/>
          <w:color w:val="000000"/>
          <w:sz w:val="20"/>
          <w:u w:val="none"/>
        </w:rPr>
        <w:t xml:space="preserve"> to improve diversity</w:t>
      </w:r>
      <w:r>
        <w:rPr>
          <w:rFonts w:ascii="Arial" w:eastAsia="Arial" w:hAnsi="Arial" w:cs="Arial"/>
          <w:b w:val="0"/>
          <w:i w:val="0"/>
          <w:color w:val="000000"/>
          <w:sz w:val="20"/>
          <w:u w:val="none"/>
        </w:rPr>
        <w:t>,</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and </w:t>
      </w:r>
      <w:r>
        <w:rPr>
          <w:rFonts w:ascii="Arial" w:eastAsia="Arial" w:hAnsi="Arial" w:cs="Arial"/>
          <w:b w:val="0"/>
          <w:i w:val="0"/>
          <w:color w:val="000000"/>
          <w:sz w:val="20"/>
          <w:u w:val="none"/>
        </w:rPr>
        <w:t xml:space="preserve">to </w:t>
      </w:r>
      <w:r>
        <w:rPr>
          <w:rFonts w:ascii="Arial" w:eastAsia="Arial" w:hAnsi="Arial" w:cs="Arial"/>
          <w:b w:val="0"/>
          <w:i w:val="0"/>
          <w:color w:val="000000"/>
          <w:sz w:val="20"/>
          <w:u w:val="none"/>
        </w:rPr>
        <w:t>reach</w:t>
      </w:r>
      <w:r>
        <w:rPr>
          <w:rFonts w:ascii="Arial" w:eastAsia="Arial" w:hAnsi="Arial" w:cs="Arial"/>
          <w:b w:val="0"/>
          <w:i w:val="0"/>
          <w:color w:val="000000"/>
          <w:sz w:val="20"/>
          <w:u w:val="none"/>
        </w:rPr>
        <w:t xml:space="preserve"> or continue </w:t>
      </w:r>
      <w:r>
        <w:rPr>
          <w:rFonts w:ascii="Arial" w:eastAsia="Arial" w:hAnsi="Arial" w:cs="Arial"/>
          <w:b w:val="0"/>
          <w:i w:val="0"/>
          <w:color w:val="000000"/>
          <w:sz w:val="20"/>
          <w:u w:val="none"/>
        </w:rPr>
        <w:t>to meet</w:t>
      </w:r>
      <w:r>
        <w:rPr>
          <w:rFonts w:ascii="Arial" w:eastAsia="Arial" w:hAnsi="Arial" w:cs="Arial"/>
          <w:b w:val="0"/>
          <w:i w:val="0"/>
          <w:color w:val="000000"/>
          <w:sz w:val="20"/>
          <w:u w:val="none"/>
        </w:rPr>
        <w:t xml:space="preserve"> its aspirational </w:t>
      </w:r>
      <w:r>
        <w:rPr>
          <w:rFonts w:ascii="Arial" w:eastAsia="Arial" w:hAnsi="Arial" w:cs="Arial"/>
          <w:b w:val="0"/>
          <w:i w:val="0"/>
          <w:color w:val="000000"/>
          <w:sz w:val="20"/>
          <w:u w:val="none"/>
        </w:rPr>
        <w:t xml:space="preserve">diversity </w:t>
      </w:r>
      <w:r>
        <w:rPr>
          <w:rFonts w:ascii="Arial" w:eastAsia="Arial" w:hAnsi="Arial" w:cs="Arial"/>
          <w:b w:val="0"/>
          <w:i w:val="0"/>
          <w:color w:val="000000"/>
          <w:sz w:val="20"/>
          <w:u w:val="none"/>
        </w:rPr>
        <w:t>t</w:t>
      </w:r>
      <w:r>
        <w:rPr>
          <w:rFonts w:ascii="Arial" w:eastAsia="Arial" w:hAnsi="Arial" w:cs="Arial"/>
          <w:b w:val="0"/>
          <w:i w:val="0"/>
          <w:color w:val="000000"/>
          <w:sz w:val="20"/>
          <w:u w:val="none"/>
        </w:rPr>
        <w:t>argets over time</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without further increases to its size</w:t>
      </w:r>
      <w:r>
        <w:rPr>
          <w:rFonts w:ascii="Arial" w:eastAsia="Arial" w:hAnsi="Arial" w:cs="Arial"/>
          <w:b w:val="0"/>
          <w:i w:val="0"/>
          <w:color w:val="000000"/>
          <w:sz w:val="20"/>
          <w:u w:val="none"/>
        </w:rPr>
        <w:t xml:space="preserve">, the </w:t>
      </w:r>
      <w:r>
        <w:rPr>
          <w:rFonts w:ascii="Arial" w:eastAsia="Arial" w:hAnsi="Arial" w:cs="Arial"/>
          <w:b w:val="0"/>
          <w:i w:val="0"/>
          <w:color w:val="000000"/>
          <w:sz w:val="20"/>
          <w:u w:val="none"/>
        </w:rPr>
        <w:t>Board, upon recommendation by the Nomin</w:t>
      </w:r>
      <w:r>
        <w:rPr>
          <w:rFonts w:ascii="Arial" w:eastAsia="Arial" w:hAnsi="Arial" w:cs="Arial"/>
          <w:b w:val="0"/>
          <w:i w:val="0"/>
          <w:color w:val="000000"/>
          <w:sz w:val="20"/>
          <w:u w:val="none"/>
        </w:rPr>
        <w:t>ating and G</w:t>
      </w:r>
      <w:r>
        <w:rPr>
          <w:rFonts w:ascii="Arial" w:eastAsia="Arial" w:hAnsi="Arial" w:cs="Arial"/>
          <w:b w:val="0"/>
          <w:i w:val="0"/>
          <w:color w:val="000000"/>
          <w:sz w:val="20"/>
          <w:u w:val="none"/>
        </w:rPr>
        <w:t>overnance Committe</w:t>
      </w:r>
      <w:r>
        <w:rPr>
          <w:rFonts w:ascii="Arial" w:eastAsia="Arial" w:hAnsi="Arial" w:cs="Arial"/>
          <w:b w:val="0"/>
          <w:i w:val="0"/>
          <w:color w:val="000000"/>
          <w:sz w:val="20"/>
          <w:u w:val="none"/>
        </w:rPr>
        <w:t xml:space="preserve">e, </w:t>
      </w:r>
      <w:r>
        <w:rPr>
          <w:rFonts w:ascii="Arial" w:eastAsia="Arial" w:hAnsi="Arial" w:cs="Arial"/>
          <w:b w:val="0"/>
          <w:i w:val="0"/>
          <w:color w:val="000000"/>
          <w:sz w:val="20"/>
          <w:u w:val="none"/>
        </w:rPr>
        <w:t>agreed to continue increasing</w:t>
      </w:r>
      <w:r>
        <w:rPr>
          <w:rFonts w:ascii="Arial" w:eastAsia="Arial" w:hAnsi="Arial" w:cs="Arial"/>
          <w:b w:val="0"/>
          <w:i w:val="0"/>
          <w:color w:val="000000"/>
          <w:sz w:val="20"/>
          <w:u w:val="none"/>
        </w:rPr>
        <w:t xml:space="preserve"> its understanding of all aspects of </w:t>
      </w:r>
      <w:r>
        <w:rPr>
          <w:rFonts w:ascii="Arial" w:eastAsia="Arial" w:hAnsi="Arial" w:cs="Arial"/>
          <w:b w:val="0"/>
          <w:i w:val="0"/>
          <w:color w:val="000000"/>
          <w:sz w:val="20"/>
          <w:u w:val="none"/>
        </w:rPr>
        <w:t>DE&amp;I</w:t>
      </w:r>
      <w:r>
        <w:rPr>
          <w:rFonts w:ascii="Arial" w:eastAsia="Arial" w:hAnsi="Arial" w:cs="Arial"/>
          <w:b w:val="0"/>
          <w:i w:val="0"/>
          <w:color w:val="000000"/>
          <w:sz w:val="20"/>
          <w:u w:val="none"/>
        </w:rPr>
        <w:t xml:space="preserve"> through appropriate training and</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development opportunities</w:t>
      </w:r>
      <w:r>
        <w:rPr>
          <w:rFonts w:ascii="Arial" w:eastAsia="Arial" w:hAnsi="Arial" w:cs="Arial"/>
          <w:b w:val="0"/>
          <w:i w:val="0"/>
          <w:color w:val="000000"/>
          <w:sz w:val="20"/>
          <w:u w:val="none"/>
        </w:rPr>
        <w:t>. The Board a</w:t>
      </w:r>
      <w:r>
        <w:rPr>
          <w:rFonts w:ascii="Arial" w:eastAsia="Arial" w:hAnsi="Arial" w:cs="Arial"/>
          <w:b w:val="0"/>
          <w:i w:val="0"/>
          <w:color w:val="000000"/>
          <w:sz w:val="20"/>
          <w:u w:val="none"/>
        </w:rPr>
        <w:t>mend</w:t>
      </w:r>
      <w:r>
        <w:rPr>
          <w:rFonts w:ascii="Arial" w:eastAsia="Arial" w:hAnsi="Arial" w:cs="Arial"/>
          <w:b w:val="0"/>
          <w:i w:val="0"/>
          <w:color w:val="000000"/>
          <w:sz w:val="20"/>
          <w:u w:val="none"/>
        </w:rPr>
        <w:t>ed</w:t>
      </w:r>
      <w:r>
        <w:rPr>
          <w:rFonts w:ascii="Arial" w:eastAsia="Arial" w:hAnsi="Arial" w:cs="Arial"/>
          <w:b w:val="0"/>
          <w:i w:val="0"/>
          <w:color w:val="000000"/>
          <w:sz w:val="20"/>
          <w:u w:val="none"/>
        </w:rPr>
        <w:t xml:space="preserve"> its formal diversity policy </w:t>
      </w:r>
      <w:r>
        <w:rPr>
          <w:rFonts w:ascii="Arial" w:eastAsia="Arial" w:hAnsi="Arial" w:cs="Arial"/>
          <w:b w:val="0"/>
          <w:i w:val="0"/>
          <w:color w:val="000000"/>
          <w:sz w:val="20"/>
          <w:u w:val="none"/>
        </w:rPr>
        <w:t xml:space="preserve">in 2023 </w:t>
      </w:r>
      <w:r>
        <w:rPr>
          <w:rFonts w:ascii="Arial" w:eastAsia="Arial" w:hAnsi="Arial" w:cs="Arial"/>
          <w:b w:val="0"/>
          <w:i w:val="0"/>
          <w:color w:val="000000"/>
          <w:sz w:val="20"/>
          <w:u w:val="none"/>
        </w:rPr>
        <w:t>t</w:t>
      </w:r>
      <w:r>
        <w:rPr>
          <w:rFonts w:ascii="Arial" w:eastAsia="Arial" w:hAnsi="Arial" w:cs="Arial"/>
          <w:b w:val="0"/>
          <w:i w:val="0"/>
          <w:color w:val="000000"/>
          <w:sz w:val="20"/>
          <w:u w:val="none"/>
        </w:rPr>
        <w:t xml:space="preserve">o include this commitment in </w:t>
      </w:r>
      <w:r>
        <w:rPr>
          <w:rFonts w:ascii="Arial" w:eastAsia="Arial" w:hAnsi="Arial" w:cs="Arial"/>
          <w:b w:val="0"/>
          <w:i w:val="0"/>
          <w:color w:val="000000"/>
          <w:sz w:val="20"/>
          <w:u w:val="none"/>
        </w:rPr>
        <w:t>connection with</w:t>
      </w:r>
      <w:r>
        <w:rPr>
          <w:rFonts w:ascii="Arial" w:eastAsia="Arial" w:hAnsi="Arial" w:cs="Arial"/>
          <w:b w:val="0"/>
          <w:i w:val="0"/>
          <w:color w:val="000000"/>
          <w:sz w:val="20"/>
          <w:u w:val="none"/>
        </w:rPr>
        <w:t xml:space="preserve"> its </w:t>
      </w:r>
      <w:r>
        <w:rPr>
          <w:rFonts w:ascii="Arial" w:eastAsia="Arial" w:hAnsi="Arial" w:cs="Arial"/>
          <w:b w:val="0"/>
          <w:i w:val="0"/>
          <w:color w:val="000000"/>
          <w:sz w:val="20"/>
          <w:u w:val="none"/>
        </w:rPr>
        <w:t>annual</w:t>
      </w:r>
      <w:r>
        <w:rPr>
          <w:rFonts w:ascii="Arial" w:eastAsia="Arial" w:hAnsi="Arial" w:cs="Arial"/>
          <w:b w:val="0"/>
          <w:i w:val="0"/>
          <w:color w:val="000000"/>
          <w:sz w:val="20"/>
          <w:u w:val="none"/>
        </w:rPr>
        <w:t xml:space="preserve"> review of th</w:t>
      </w:r>
      <w:r>
        <w:rPr>
          <w:rFonts w:ascii="Arial" w:eastAsia="Arial" w:hAnsi="Arial" w:cs="Arial"/>
          <w:b w:val="0"/>
          <w:i w:val="0"/>
          <w:color w:val="000000"/>
          <w:sz w:val="20"/>
          <w:u w:val="none"/>
        </w:rPr>
        <w:t>e policy's effectivene</w:t>
      </w:r>
      <w:r>
        <w:rPr>
          <w:rFonts w:ascii="Arial" w:eastAsia="Arial" w:hAnsi="Arial" w:cs="Arial"/>
          <w:b w:val="0"/>
          <w:i w:val="0"/>
          <w:color w:val="000000"/>
          <w:sz w:val="20"/>
          <w:u w:val="none"/>
        </w:rPr>
        <w:t>ss</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Additionally</w:t>
      </w:r>
      <w:r>
        <w:rPr>
          <w:rFonts w:ascii="Arial" w:eastAsia="Arial" w:hAnsi="Arial" w:cs="Arial"/>
          <w:b w:val="0"/>
          <w:i w:val="0"/>
          <w:color w:val="000000"/>
          <w:sz w:val="20"/>
          <w:u w:val="none"/>
        </w:rPr>
        <w:t>, in respo</w:t>
      </w:r>
      <w:r>
        <w:rPr>
          <w:rFonts w:ascii="Arial" w:eastAsia="Arial" w:hAnsi="Arial" w:cs="Arial"/>
          <w:b w:val="0"/>
          <w:i w:val="0"/>
          <w:color w:val="000000"/>
          <w:sz w:val="20"/>
          <w:u w:val="none"/>
        </w:rPr>
        <w:t xml:space="preserve">nse to feedback received </w:t>
      </w:r>
      <w:r>
        <w:rPr>
          <w:rFonts w:ascii="Arial" w:eastAsia="Arial" w:hAnsi="Arial" w:cs="Arial"/>
          <w:b w:val="0"/>
          <w:i w:val="0"/>
          <w:color w:val="000000"/>
          <w:sz w:val="20"/>
          <w:u w:val="none"/>
        </w:rPr>
        <w:t>re</w:t>
      </w:r>
      <w:r>
        <w:rPr>
          <w:rFonts w:ascii="Arial" w:eastAsia="Arial" w:hAnsi="Arial" w:cs="Arial"/>
          <w:b w:val="0"/>
          <w:i w:val="0"/>
          <w:color w:val="000000"/>
          <w:sz w:val="20"/>
          <w:u w:val="none"/>
        </w:rPr>
        <w:t xml:space="preserve">garding board diversity </w:t>
      </w:r>
      <w:r>
        <w:rPr>
          <w:rFonts w:ascii="Arial" w:eastAsia="Arial" w:hAnsi="Arial" w:cs="Arial"/>
          <w:b w:val="0"/>
          <w:i w:val="0"/>
          <w:color w:val="000000"/>
          <w:sz w:val="20"/>
          <w:u w:val="none"/>
        </w:rPr>
        <w:t>during t</w:t>
      </w:r>
      <w:r>
        <w:rPr>
          <w:rFonts w:ascii="Arial" w:eastAsia="Arial" w:hAnsi="Arial" w:cs="Arial"/>
          <w:b w:val="0"/>
          <w:i w:val="0"/>
          <w:color w:val="000000"/>
          <w:sz w:val="20"/>
          <w:u w:val="none"/>
        </w:rPr>
        <w:t>he Compa</w:t>
      </w:r>
      <w:r>
        <w:rPr>
          <w:rFonts w:ascii="Arial" w:eastAsia="Arial" w:hAnsi="Arial" w:cs="Arial"/>
          <w:b w:val="0"/>
          <w:i w:val="0"/>
          <w:color w:val="000000"/>
          <w:sz w:val="20"/>
          <w:u w:val="none"/>
        </w:rPr>
        <w:t xml:space="preserve">ny's most recent shareholder engagement </w:t>
      </w:r>
      <w:r>
        <w:rPr>
          <w:rFonts w:ascii="Arial" w:eastAsia="Arial" w:hAnsi="Arial" w:cs="Arial"/>
          <w:b w:val="0"/>
          <w:i w:val="0"/>
          <w:color w:val="000000"/>
          <w:sz w:val="20"/>
          <w:u w:val="none"/>
        </w:rPr>
        <w:t>meetin</w:t>
      </w:r>
      <w:r>
        <w:rPr>
          <w:rFonts w:ascii="Arial" w:eastAsia="Arial" w:hAnsi="Arial" w:cs="Arial"/>
          <w:b w:val="0"/>
          <w:i w:val="0"/>
          <w:color w:val="000000"/>
          <w:sz w:val="20"/>
          <w:u w:val="none"/>
        </w:rPr>
        <w:t>gs</w:t>
      </w:r>
      <w:r>
        <w:rPr>
          <w:rFonts w:ascii="Arial" w:eastAsia="Arial" w:hAnsi="Arial" w:cs="Arial"/>
          <w:b w:val="0"/>
          <w:i w:val="0"/>
          <w:color w:val="000000"/>
          <w:sz w:val="20"/>
          <w:u w:val="none"/>
        </w:rPr>
        <w:t xml:space="preserve">, the Nominating and Governance Committee </w:t>
      </w:r>
      <w:r>
        <w:rPr>
          <w:rFonts w:ascii="Arial" w:eastAsia="Arial" w:hAnsi="Arial" w:cs="Arial"/>
          <w:b w:val="0"/>
          <w:i w:val="0"/>
          <w:color w:val="000000"/>
          <w:sz w:val="20"/>
          <w:u w:val="none"/>
        </w:rPr>
        <w:t>agreed to maintai</w:t>
      </w:r>
      <w:r>
        <w:rPr>
          <w:rFonts w:ascii="Arial" w:eastAsia="Arial" w:hAnsi="Arial" w:cs="Arial"/>
          <w:b w:val="0"/>
          <w:i w:val="0"/>
          <w:color w:val="000000"/>
          <w:sz w:val="20"/>
          <w:u w:val="none"/>
        </w:rPr>
        <w:t xml:space="preserve">n a portfolio of </w:t>
      </w:r>
      <w:r>
        <w:rPr>
          <w:rFonts w:ascii="Arial" w:eastAsia="Arial" w:hAnsi="Arial" w:cs="Arial"/>
          <w:b w:val="0"/>
          <w:i w:val="0"/>
          <w:color w:val="000000"/>
          <w:sz w:val="20"/>
          <w:u w:val="none"/>
        </w:rPr>
        <w:t>potential director can</w:t>
      </w:r>
      <w:r>
        <w:rPr>
          <w:rFonts w:ascii="Arial" w:eastAsia="Arial" w:hAnsi="Arial" w:cs="Arial"/>
          <w:b w:val="0"/>
          <w:i w:val="0"/>
          <w:color w:val="000000"/>
          <w:sz w:val="20"/>
          <w:u w:val="none"/>
        </w:rPr>
        <w:t>didates</w:t>
      </w:r>
      <w:r>
        <w:rPr>
          <w:rFonts w:ascii="Arial" w:eastAsia="Arial" w:hAnsi="Arial" w:cs="Arial"/>
          <w:b w:val="0"/>
          <w:i w:val="0"/>
          <w:color w:val="000000"/>
          <w:sz w:val="20"/>
          <w:u w:val="none"/>
        </w:rPr>
        <w:t xml:space="preserve"> in anticipation of future vacancies</w:t>
      </w:r>
      <w:r>
        <w:rPr>
          <w:rFonts w:ascii="Arial" w:eastAsia="Arial" w:hAnsi="Arial" w:cs="Arial"/>
          <w:b w:val="0"/>
          <w:i w:val="0"/>
          <w:color w:val="000000"/>
          <w:sz w:val="20"/>
          <w:u w:val="none"/>
        </w:rPr>
        <w:t>, which may arise for any reason</w:t>
      </w:r>
      <w:r>
        <w:rPr>
          <w:rFonts w:ascii="Arial" w:eastAsia="Arial" w:hAnsi="Arial" w:cs="Arial"/>
          <w:b w:val="0"/>
          <w:i w:val="0"/>
          <w:color w:val="000000"/>
          <w:sz w:val="20"/>
          <w:u w:val="none"/>
        </w:rPr>
        <w:t>,</w:t>
      </w:r>
      <w:r>
        <w:rPr>
          <w:rFonts w:ascii="Arial" w:eastAsia="Arial" w:hAnsi="Arial" w:cs="Arial"/>
          <w:b w:val="0"/>
          <w:i w:val="0"/>
          <w:color w:val="000000"/>
          <w:sz w:val="20"/>
          <w:u w:val="none"/>
        </w:rPr>
        <w:t xml:space="preserve"> includin</w:t>
      </w:r>
      <w:r>
        <w:rPr>
          <w:rFonts w:ascii="Arial" w:eastAsia="Arial" w:hAnsi="Arial" w:cs="Arial"/>
          <w:b w:val="0"/>
          <w:i w:val="0"/>
          <w:color w:val="000000"/>
          <w:sz w:val="20"/>
          <w:u w:val="none"/>
        </w:rPr>
        <w:t>g</w:t>
      </w:r>
      <w:r>
        <w:rPr>
          <w:rFonts w:ascii="Arial" w:eastAsia="Arial" w:hAnsi="Arial" w:cs="Arial"/>
          <w:b w:val="0"/>
          <w:i w:val="0"/>
          <w:color w:val="000000"/>
          <w:sz w:val="20"/>
          <w:u w:val="none"/>
        </w:rPr>
        <w:t xml:space="preserve"> the retirement o</w:t>
      </w:r>
      <w:r>
        <w:rPr>
          <w:rFonts w:ascii="Arial" w:eastAsia="Arial" w:hAnsi="Arial" w:cs="Arial"/>
          <w:b w:val="0"/>
          <w:i w:val="0"/>
          <w:color w:val="000000"/>
          <w:sz w:val="20"/>
          <w:u w:val="none"/>
        </w:rPr>
        <w:t xml:space="preserve">f sitting directors </w:t>
      </w:r>
      <w:r>
        <w:rPr>
          <w:rFonts w:ascii="Arial" w:eastAsia="Arial" w:hAnsi="Arial" w:cs="Arial"/>
          <w:b w:val="0"/>
          <w:i w:val="0"/>
          <w:color w:val="000000"/>
          <w:sz w:val="20"/>
          <w:u w:val="none"/>
        </w:rPr>
        <w:t>pursuant to the Board's recently adopted retirement policy.</w:t>
      </w:r>
      <w:r>
        <w:rPr>
          <w:rFonts w:ascii="Arial" w:eastAsia="Arial" w:hAnsi="Arial" w:cs="Arial"/>
          <w:b w:val="0"/>
          <w:i w:val="0"/>
          <w:color w:val="000000"/>
          <w:sz w:val="20"/>
          <w:u w:val="none"/>
        </w:rPr>
        <w:t xml:space="preserve"> The </w:t>
      </w:r>
      <w:r>
        <w:rPr>
          <w:rFonts w:ascii="Arial" w:eastAsia="Arial" w:hAnsi="Arial" w:cs="Arial"/>
          <w:b w:val="0"/>
          <w:i w:val="0"/>
          <w:color w:val="000000"/>
          <w:sz w:val="20"/>
          <w:u w:val="none"/>
        </w:rPr>
        <w:t xml:space="preserve">director </w:t>
      </w:r>
      <w:r>
        <w:rPr>
          <w:rFonts w:ascii="Arial" w:eastAsia="Arial" w:hAnsi="Arial" w:cs="Arial"/>
          <w:b w:val="0"/>
          <w:i w:val="0"/>
          <w:color w:val="000000"/>
          <w:sz w:val="20"/>
          <w:u w:val="none"/>
        </w:rPr>
        <w:t>candidate</w:t>
      </w:r>
      <w:r>
        <w:rPr>
          <w:rFonts w:ascii="Arial" w:eastAsia="Arial" w:hAnsi="Arial" w:cs="Arial"/>
          <w:b w:val="0"/>
          <w:i w:val="0"/>
          <w:color w:val="000000"/>
          <w:sz w:val="20"/>
          <w:u w:val="none"/>
        </w:rPr>
        <w:t xml:space="preserve"> portfolio </w:t>
      </w:r>
      <w:r>
        <w:rPr>
          <w:rFonts w:ascii="Arial" w:eastAsia="Arial" w:hAnsi="Arial" w:cs="Arial"/>
          <w:b w:val="0"/>
          <w:i w:val="0"/>
          <w:color w:val="000000"/>
          <w:sz w:val="20"/>
          <w:u w:val="none"/>
        </w:rPr>
        <w:t xml:space="preserve">will </w:t>
      </w:r>
      <w:r>
        <w:rPr>
          <w:rFonts w:ascii="Arial" w:eastAsia="Arial" w:hAnsi="Arial" w:cs="Arial"/>
          <w:b w:val="0"/>
          <w:i w:val="0"/>
          <w:color w:val="000000"/>
          <w:sz w:val="20"/>
          <w:u w:val="none"/>
        </w:rPr>
        <w:t>includ</w:t>
      </w:r>
      <w:r>
        <w:rPr>
          <w:rFonts w:ascii="Arial" w:eastAsia="Arial" w:hAnsi="Arial" w:cs="Arial"/>
          <w:b w:val="0"/>
          <w:i w:val="0"/>
          <w:color w:val="000000"/>
          <w:sz w:val="20"/>
          <w:u w:val="none"/>
        </w:rPr>
        <w:t>e, on a non-exclu</w:t>
      </w:r>
      <w:r>
        <w:rPr>
          <w:rFonts w:ascii="Arial" w:eastAsia="Arial" w:hAnsi="Arial" w:cs="Arial"/>
          <w:b w:val="0"/>
          <w:i w:val="0"/>
          <w:color w:val="000000"/>
          <w:sz w:val="20"/>
          <w:u w:val="none"/>
        </w:rPr>
        <w:t>sive</w:t>
      </w:r>
      <w:r>
        <w:rPr>
          <w:rFonts w:ascii="Arial" w:eastAsia="Arial" w:hAnsi="Arial" w:cs="Arial"/>
          <w:b w:val="0"/>
          <w:i w:val="0"/>
          <w:color w:val="000000"/>
          <w:sz w:val="20"/>
          <w:u w:val="none"/>
        </w:rPr>
        <w:t xml:space="preserve"> basis</w:t>
      </w:r>
      <w:r>
        <w:rPr>
          <w:rFonts w:ascii="Arial" w:eastAsia="Arial" w:hAnsi="Arial" w:cs="Arial"/>
          <w:b w:val="0"/>
          <w:i w:val="0"/>
          <w:color w:val="000000"/>
          <w:sz w:val="20"/>
          <w:u w:val="none"/>
        </w:rPr>
        <w:t>,</w:t>
      </w:r>
      <w:r>
        <w:rPr>
          <w:rFonts w:ascii="Arial" w:eastAsia="Arial" w:hAnsi="Arial" w:cs="Arial"/>
          <w:b w:val="0"/>
          <w:i w:val="0"/>
          <w:color w:val="000000"/>
          <w:sz w:val="20"/>
          <w:u w:val="none"/>
        </w:rPr>
        <w:t xml:space="preserve"> female and underrepresented minorit</w:t>
      </w:r>
      <w:r>
        <w:rPr>
          <w:rFonts w:ascii="Arial" w:eastAsia="Arial" w:hAnsi="Arial" w:cs="Arial"/>
          <w:b w:val="0"/>
          <w:i w:val="0"/>
          <w:color w:val="000000"/>
          <w:sz w:val="20"/>
          <w:u w:val="none"/>
        </w:rPr>
        <w:t xml:space="preserve">y </w:t>
      </w:r>
      <w:r>
        <w:rPr>
          <w:rFonts w:ascii="Arial" w:eastAsia="Arial" w:hAnsi="Arial" w:cs="Arial"/>
          <w:b w:val="0"/>
          <w:i w:val="0"/>
          <w:color w:val="000000"/>
          <w:sz w:val="20"/>
          <w:u w:val="none"/>
        </w:rPr>
        <w:t>candidates</w:t>
      </w:r>
      <w:r>
        <w:rPr>
          <w:rFonts w:ascii="Arial" w:eastAsia="Arial" w:hAnsi="Arial" w:cs="Arial"/>
          <w:b w:val="0"/>
          <w:i w:val="0"/>
          <w:color w:val="000000"/>
          <w:sz w:val="20"/>
          <w:u w:val="none"/>
        </w:rPr>
        <w:t>.</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68"/>
          <w:footerReference w:type="default" r:id="rId69"/>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bookmarkStart w:id="19" w:name="Section22"/>
      <w:bookmarkEnd w:id="19"/>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Evaluation and Nomination of Director Candidates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Primary responsibility for identifying and evaluating director candidates and for recommending the re-nomination of incumbent directors resides with the Nominating and Governance Committee, which consists entirely of independent directors under applicable SEC rules and Nasdaq listing standards. Our Board Chair also shares some responsibility for new director recruitment, including the responsibility of working with our CEO, Nominating and Governance Committee and the full Board to help identify and prioritize the specific skill sets, experience, and knowledge that director candidates must possess. The Nominating and Governance Committee, with input from our Board Chair, then establishes the criteria for director nominees based on these inputs, which are outlined under the subheadings, "Qualifications Required of All Directors" and "Key Qualifications and Experiences to be Represented on the Board" above.</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70"/>
          <w:footerReference w:type="default" r:id="rId71"/>
          <w:type w:val="continuous"/>
          <w:pgSz w:w="12240" w:h="15840"/>
          <w:pgMar w:top="855" w:right="990" w:bottom="855" w:left="990" w:header="180" w:footer="270"/>
          <w:cols w:space="708"/>
        </w:sectPr>
      </w:pPr>
    </w:p>
    <w:p>
      <w:pPr>
        <w:keepNext/>
        <w:keepLines w:val="0"/>
        <w:pageBreakBefore w:val="0"/>
        <w:widowControl/>
        <w:numPr>
          <w:ilvl w:val="0"/>
          <w:numId w:val="0"/>
        </w:numPr>
        <w:spacing w:before="200" w:after="60" w:line="288" w:lineRule="auto"/>
        <w:ind w:left="0" w:right="0" w:firstLine="0"/>
        <w:jc w:val="left"/>
        <w:outlineLvl w:val="9"/>
        <w:rPr>
          <w:rFonts w:ascii="Arial" w:eastAsia="Arial" w:hAnsi="Arial" w:cs="Arial"/>
          <w:b/>
          <w:i w:val="0"/>
          <w:color w:val="4495D1"/>
          <w:sz w:val="20"/>
          <w:u w:val="none"/>
        </w:rPr>
      </w:pPr>
      <w:bookmarkStart w:id="20" w:name="Section23"/>
      <w:bookmarkEnd w:id="20"/>
    </w:p>
    <w:p>
      <w:pPr>
        <w:keepNext/>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Nomination of New Candidates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Potential director candidates meeting the criteria established by the Nominating and Governance Committee and adopted by the full Board have primarily been identified through the periodic solicitation of recommendations from members of the Board and individuals known to the Board, the use of third-party search firms retained by the Nominating and Governance Committee, and shareholders</w:t>
      </w:r>
      <w:r>
        <w:rPr>
          <w:rFonts w:ascii="Arial" w:eastAsia="Arial" w:hAnsi="Arial" w:cs="Arial"/>
          <w:b w:val="0"/>
          <w:i w:val="0"/>
          <w:sz w:val="20"/>
        </w:rPr>
        <w:t xml:space="preserve">. The Nominating and Governance Committee is authorized, at the Company's expense, to retain search firms to identify potential director candidates, as well as other external advisors, including for purposes of performing background reviews of potential candidates. Search firms retained by the Nominating and Governance Committee are provided guidance as to the particular experience, skills, or other characteristics that the Board is then seeking. The Nominating and Governance Committee may delegate responsibility for day-to-day management and oversight of a search firm engagement to its Chair, any one or more of its members, the Board's Chair, and/or appropriate members of management with the Nominating and Governance Committee's oversight.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evaluation of new director candidates involves several steps performed on a rolling basis and not always taken in order. The Nominating and Governance Committee reviews and verifies the candidate's qualifications and background information and evaluates the candidate's attributes relative to the identified needs of the Board. If the Nominating and Governance Committee wishes to pursue a candidate further, it arranges candidate interviews with committee members and other members of the Board and certain executive officers to ensure that candidates not only possess the requisite skills and characteristics, but also the personality, leadership traits, work ethic, and independence of thought to contribute effectively as a member of the Board. After assessing the feedback, the Nominating and Governance Committee presents each selected candidate to the Board for consideration. The Board then nominates successful candidates for election to the Board at the Annual General Meeting. </w:t>
      </w:r>
      <w:r>
        <w:rPr>
          <w:rFonts w:ascii="Arial" w:eastAsia="Arial" w:hAnsi="Arial" w:cs="Arial"/>
          <w:b w:val="0"/>
          <w:i w:val="0"/>
          <w:sz w:val="20"/>
        </w:rPr>
        <w:t>Director candidates are principally identified and evaluated in anticipation of upcoming director elections and other potential or expected Board vacancies</w:t>
      </w:r>
      <w:r>
        <w:rPr>
          <w:rFonts w:ascii="Arial" w:eastAsia="Arial" w:hAnsi="Arial" w:cs="Arial"/>
          <w:b w:val="0"/>
          <w:i w:val="0"/>
          <w:sz w:val="20"/>
        </w:rPr>
        <w:t>. From time to time, the Board may create and fill vacancies in its membership which arise between annual meetings of shareholders using the process described above.</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72"/>
          <w:footerReference w:type="default" r:id="rId73"/>
          <w:type w:val="continuous"/>
          <w:pgSz w:w="12240" w:h="15840"/>
          <w:pgMar w:top="855" w:right="990" w:bottom="855" w:left="990" w:header="180" w:footer="270"/>
          <w:cols w:space="708"/>
        </w:sectPr>
      </w:pPr>
    </w:p>
    <w:p>
      <w:pPr>
        <w:keepNext w:val="0"/>
        <w:keepLines w:val="0"/>
        <w:pageBreakBefore w:val="0"/>
        <w:widowControl/>
        <w:numPr>
          <w:ilvl w:val="0"/>
          <w:numId w:val="0"/>
        </w:numPr>
        <w:spacing w:before="200" w:after="60" w:line="288" w:lineRule="auto"/>
        <w:ind w:left="0" w:right="0" w:firstLine="0"/>
        <w:jc w:val="left"/>
        <w:outlineLvl w:val="9"/>
        <w:rPr>
          <w:rFonts w:ascii="Arial" w:eastAsia="Arial" w:hAnsi="Arial" w:cs="Arial"/>
          <w:b/>
          <w:i w:val="0"/>
          <w:color w:val="4495D1"/>
          <w:sz w:val="20"/>
          <w:u w:val="none"/>
        </w:rPr>
      </w:pPr>
      <w:bookmarkStart w:id="21" w:name="Section24"/>
      <w:bookmarkEnd w:id="21"/>
    </w:p>
    <w:p>
      <w:pPr>
        <w:keepNext w:val="0"/>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Re-nomination of Incumbents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To ensure that the Board continues to evolve in a manner that serves the changing business and strategic needs of the Company, before recommending for re-nomination a slate of incumbent directors for an additional term, the Nominating and Governance Committee also evaluates each incumbent director’s overall service to the Company during the director’s term including the director’s level of participation and quality of performance, and whether the incumbent directors possess the requisite skills and perspective, both individually and collectively. This evaluation is based primarily on the results of the annual review it performs with the Board of the requisite skills and characteristics of Board members, the composition of the Board as a whole, and the results of the Board’s annual self-evaluation and individual director evaluations. The Nominating and Governance Committee considered and nominated the candidates proposed for election as directors at the Annual General Meeting, with the Board unanimously agreeing on the nominees.</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74"/>
          <w:footerReference w:type="default" r:id="rId75"/>
          <w:type w:val="continuous"/>
          <w:pgSz w:w="12240" w:h="15840"/>
          <w:pgMar w:top="855" w:right="990" w:bottom="855" w:left="990" w:header="180" w:footer="270"/>
          <w:cols w:space="708"/>
        </w:sectPr>
      </w:pPr>
    </w:p>
    <w:p>
      <w:pPr>
        <w:keepNext/>
        <w:keepLines w:val="0"/>
        <w:pageBreakBefore w:val="0"/>
        <w:widowControl/>
        <w:numPr>
          <w:ilvl w:val="0"/>
          <w:numId w:val="0"/>
        </w:numPr>
        <w:spacing w:before="200" w:after="60" w:line="288" w:lineRule="auto"/>
        <w:ind w:left="0" w:right="0" w:firstLine="0"/>
        <w:jc w:val="left"/>
        <w:outlineLvl w:val="9"/>
        <w:rPr>
          <w:rFonts w:ascii="Arial" w:eastAsia="Arial" w:hAnsi="Arial" w:cs="Arial"/>
          <w:b/>
          <w:i w:val="0"/>
          <w:color w:val="4495D1"/>
          <w:sz w:val="20"/>
          <w:u w:val="none"/>
        </w:rPr>
      </w:pPr>
      <w:bookmarkStart w:id="22" w:name="Section25"/>
      <w:bookmarkEnd w:id="22"/>
    </w:p>
    <w:p>
      <w:pPr>
        <w:keepNext/>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Shareholder Recommendations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In accordance with its charter, the Nominating and Governance Committee will consider director candidates submitted by shareholders. Shareholders may recommend candidates to serve as directors by submitting a written notice to the Nominating and Governance Commit</w:t>
      </w:r>
      <w:r>
        <w:rPr>
          <w:rFonts w:ascii="Arial" w:eastAsia="Arial" w:hAnsi="Arial" w:cs="Arial"/>
          <w:b w:val="0"/>
          <w:i w:val="0"/>
          <w:sz w:val="20"/>
        </w:rPr>
        <w:t xml:space="preserve">tee at </w:t>
      </w:r>
      <w:r>
        <w:rPr>
          <w:rFonts w:ascii="Arial" w:eastAsia="Arial" w:hAnsi="Arial" w:cs="Arial"/>
          <w:b w:val="0"/>
          <w:i w:val="0"/>
          <w:color w:val="000000"/>
          <w:sz w:val="20"/>
          <w:u w:val="none"/>
        </w:rPr>
        <w:t>Enstar Group Limited, P.O. Box HM 2267, A.S. Cooper Building, 4th Floor, 26 Reid Street, Hamilton, HM 11, Bermuda</w:t>
      </w:r>
      <w:r>
        <w:rPr>
          <w:rFonts w:ascii="Arial" w:eastAsia="Arial" w:hAnsi="Arial" w:cs="Arial"/>
          <w:b w:val="0"/>
          <w:i w:val="0"/>
          <w:sz w:val="20"/>
        </w:rPr>
        <w:t xml:space="preserve">. Shareholder recommendations must be accompanied by sufficient information to assess the candidate’s qualifications </w:t>
      </w:r>
      <w:r>
        <w:rPr>
          <w:rFonts w:ascii="Arial" w:eastAsia="Arial" w:hAnsi="Arial" w:cs="Arial"/>
          <w:b w:val="0"/>
          <w:i w:val="0"/>
          <w:sz w:val="20"/>
        </w:rPr>
        <w:t>and contain the candidate’s consent to serve as a director if elected. Shareholder nominees will be evaluated by the Nominating and Governance Committee in the same manner as nominees it selects itself.</w:t>
      </w:r>
    </w:p>
    <w:p>
      <w:pPr>
        <w:keepNext w:val="0"/>
        <w:keepLines w:val="0"/>
        <w:pageBreakBefore/>
        <w:widowControl/>
        <w:numPr>
          <w:ilvl w:val="0"/>
          <w:numId w:val="0"/>
        </w:numPr>
        <w:spacing w:before="0" w:after="120" w:line="300"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widowControl/>
        <w:numPr>
          <w:ilvl w:val="0"/>
          <w:numId w:val="0"/>
        </w:numPr>
        <w:spacing w:before="0" w:after="120" w:line="300" w:lineRule="auto"/>
        <w:ind w:left="0" w:right="0" w:firstLine="0"/>
        <w:jc w:val="both"/>
        <w:outlineLvl w:val="9"/>
        <w:sectPr>
          <w:headerReference w:type="default" r:id="rId76"/>
          <w:footerReference w:type="default" r:id="rId77"/>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4"/>
          <w:u w:val="none"/>
        </w:rPr>
      </w:pPr>
      <w:bookmarkStart w:id="23" w:name="Section26"/>
      <w:bookmarkEnd w:id="23"/>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OUR</w:t>
      </w:r>
      <w:r>
        <w:rPr>
          <w:rFonts w:ascii="Arial" w:eastAsia="Arial" w:hAnsi="Arial" w:cs="Arial"/>
          <w:b/>
          <w:i w:val="0"/>
          <w:color w:val="4495D1"/>
          <w:sz w:val="24"/>
          <w:u w:val="none"/>
        </w:rPr>
        <w:t xml:space="preserve"> </w:t>
      </w:r>
      <w:r>
        <w:rPr>
          <w:rFonts w:ascii="Arial" w:eastAsia="Arial" w:hAnsi="Arial" w:cs="Arial"/>
          <w:b/>
          <w:i w:val="0"/>
          <w:color w:val="4495D1"/>
          <w:sz w:val="24"/>
          <w:u w:val="none"/>
        </w:rPr>
        <w:t>DIRECTOR NOMINEES</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Each of our nominees are currently serving as directors. The Board believes that all of its directors have demonstrated professional integrity, ability and judgment, as well as strategic management and oversight abilities, and have each performed well in their respective time served as directors and contributed to the overall effectiveness of our Board.</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following matrix highlights the mix of key skills, qualities, attributes, and experiences of the nominees that, among other factors, led the Board and the Nominating and Governance Committee to recommend these nominees for election to the Board. The matrix is intended to depict notable qualifications and skills for each director in which they specifically declare expertise or leading experience in, and not having a mark does not mean that a particular director does not possess that qualification or skill. Nominees have developed competencies in these skills through education, direct experience, and oversight responsibilities. The demographic information presented below is based on voluntary self-identification by each nominee. Additional details on each nominee's experiences, qualifications, skills, and attributes are set forth in their biographies beginning on </w:t>
      </w:r>
      <w:r>
        <w:rPr>
          <w:rFonts w:ascii="Arial" w:eastAsia="Arial" w:hAnsi="Arial" w:cs="Arial"/>
          <w:b w:val="0"/>
          <w:i w:val="0"/>
          <w:sz w:val="20"/>
        </w:rPr>
        <w:t xml:space="preserve">page </w:t>
      </w:r>
      <w:r>
        <w:rPr>
          <w:rFonts w:ascii="Arial" w:eastAsia="Arial" w:hAnsi="Arial" w:cs="Arial"/>
          <w:b w:val="0"/>
          <w:i w:val="0"/>
          <w:color w:val="0000FF"/>
          <w:sz w:val="20"/>
          <w:u w:val="single"/>
        </w:rPr>
        <w:fldChar w:fldCharType="begin"/>
      </w:r>
      <w:r>
        <w:rPr>
          <w:rFonts w:ascii="Arial" w:eastAsia="Arial" w:hAnsi="Arial" w:cs="Arial"/>
          <w:b w:val="0"/>
          <w:i w:val="0"/>
          <w:color w:val="0000FF"/>
          <w:sz w:val="20"/>
          <w:u w:val="single"/>
        </w:rPr>
        <w:instrText xml:space="preserve"> PAGEREF </w:instrText>
      </w:r>
      <w:r>
        <w:rPr>
          <w:rFonts w:ascii="Arial" w:eastAsia="Arial" w:hAnsi="Arial" w:cs="Arial"/>
          <w:b w:val="0"/>
          <w:i w:val="0"/>
          <w:color w:val="0000FF"/>
          <w:sz w:val="20"/>
          <w:u w:val="single"/>
        </w:rPr>
        <w:instrText xml:space="preserve"> </w:instrText>
      </w:r>
      <w:r>
        <w:rPr>
          <w:rFonts w:ascii="Arial" w:eastAsia="Arial" w:hAnsi="Arial" w:cs="Arial"/>
          <w:b w:val="0"/>
          <w:i w:val="0"/>
          <w:color w:val="0000FF"/>
          <w:sz w:val="20"/>
          <w:u w:val="single"/>
        </w:rPr>
        <w:instrText>Section27</w:instrText>
      </w:r>
      <w:r>
        <w:rPr>
          <w:rFonts w:ascii="Arial" w:eastAsia="Arial" w:hAnsi="Arial" w:cs="Arial"/>
          <w:b w:val="0"/>
          <w:i w:val="0"/>
          <w:color w:val="0000FF"/>
          <w:sz w:val="20"/>
          <w:u w:val="single"/>
        </w:rPr>
        <w:instrText xml:space="preserve"> \h</w:instrText>
      </w:r>
      <w:r>
        <w:rPr>
          <w:rFonts w:ascii="Arial" w:eastAsia="Arial" w:hAnsi="Arial" w:cs="Arial"/>
          <w:b w:val="0"/>
          <w:i w:val="0"/>
          <w:color w:val="0000FF"/>
          <w:sz w:val="20"/>
          <w:u w:val="single"/>
        </w:rPr>
        <w:fldChar w:fldCharType="separate"/>
      </w:r>
      <w:r>
        <w:rPr>
          <w:rFonts w:ascii="Arial" w:eastAsia="Arial" w:hAnsi="Arial" w:cs="Arial"/>
          <w:b w:val="0"/>
          <w:i w:val="0"/>
          <w:color w:val="0000FF"/>
          <w:sz w:val="20"/>
          <w:u w:val="single"/>
        </w:rPr>
        <w:t>8</w:t>
      </w:r>
      <w:r>
        <w:rPr>
          <w:rFonts w:ascii="Arial" w:eastAsia="Arial" w:hAnsi="Arial" w:cs="Arial"/>
          <w:b w:val="0"/>
          <w:i w:val="0"/>
          <w:color w:val="0000FF"/>
          <w:sz w:val="20"/>
          <w:u w:val="single"/>
        </w:rPr>
        <w:fldChar w:fldCharType="end"/>
      </w:r>
      <w:r>
        <w:rPr>
          <w:rFonts w:ascii="Arial" w:eastAsia="Arial" w:hAnsi="Arial" w:cs="Arial"/>
          <w:b w:val="0"/>
          <w:i w:val="0"/>
          <w:sz w:val="20"/>
        </w:rPr>
        <w:t>. The categories listed under the "Skills and Experience" column in the matrix below are those key qualifications and experiences our Board believes should be represented on the Board and are summarized in the table immediately following the matrix together with how they are linked to our business. Further details regarding the independence of our directors including determinations of independence for each are set out fully under the section heading, "Independence of Directors" below.</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sectPr>
          <w:headerReference w:type="default" r:id="rId78"/>
          <w:footerReference w:type="default" r:id="rId79"/>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24" w:name="Section27"/>
      <w:bookmarkEnd w:id="24"/>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Director Skills and Demographic Matrix</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5"/>
        <w:gridCol w:w="3405"/>
        <w:gridCol w:w="555"/>
        <w:gridCol w:w="555"/>
        <w:gridCol w:w="555"/>
        <w:gridCol w:w="555"/>
        <w:gridCol w:w="555"/>
        <w:gridCol w:w="555"/>
        <w:gridCol w:w="555"/>
        <w:gridCol w:w="555"/>
        <w:gridCol w:w="555"/>
        <w:gridCol w:w="555"/>
        <w:gridCol w:w="555"/>
        <w:gridCol w:w="55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305"/>
        </w:trPr>
        <w:tc>
          <w:tcPr>
            <w:tcW w:w="3600" w:type="dxa"/>
            <w:gridSpan w:val="2"/>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88" w:lineRule="auto"/>
              <w:ind w:left="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Skills and Experience</w:t>
            </w:r>
          </w:p>
          <w:p>
            <w:pPr>
              <w:pageBreakBefore w:val="0"/>
              <w:numPr>
                <w:ilvl w:val="0"/>
                <w:numId w:val="0"/>
              </w:numPr>
              <w:spacing w:before="0" w:after="30" w:line="288" w:lineRule="auto"/>
              <w:ind w:left="0" w:right="0" w:firstLine="0"/>
              <w:jc w:val="left"/>
              <w:outlineLvl w:val="9"/>
              <w:rPr>
                <w:rFonts w:ascii="Arial" w:eastAsia="Arial" w:hAnsi="Arial" w:cs="Arial"/>
                <w:b/>
                <w:i w:val="0"/>
                <w:color w:val="4495D1"/>
                <w:sz w:val="2"/>
                <w:u w:val="none"/>
              </w:rPr>
            </w:pPr>
          </w:p>
        </w:tc>
        <w:tc>
          <w:tcPr>
            <w:tcW w:w="555" w:type="dxa"/>
            <w:tcBorders>
              <w:top w:val="nil"/>
              <w:left w:val="nil"/>
              <w:bottom w:val="single" w:sz="12" w:space="0" w:color="4494D1"/>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i w:val="0"/>
                <w:color w:val="4494D1"/>
                <w:sz w:val="18"/>
                <w:u w:val="none"/>
              </w:rPr>
            </w:pPr>
            <w:r>
              <w:pict>
                <v:shape id="_x0000_i1075" type="#_x0000_t75" style="width:37.5pt;height:65.63pt">
                  <v:imagedata r:id="rId80" o:title=""/>
                  <o:lock v:ext="edit" aspectratio="t"/>
                </v:shape>
              </w:pict>
            </w:r>
          </w:p>
        </w:tc>
        <w:tc>
          <w:tcPr>
            <w:tcW w:w="555" w:type="dxa"/>
            <w:tcBorders>
              <w:top w:val="nil"/>
              <w:left w:val="nil"/>
              <w:bottom w:val="single" w:sz="12" w:space="0" w:color="4494D1"/>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i w:val="0"/>
                <w:color w:val="4494D1"/>
                <w:sz w:val="18"/>
                <w:u w:val="none"/>
              </w:rPr>
            </w:pPr>
            <w:r>
              <w:pict>
                <v:shape id="_x0000_i1076" type="#_x0000_t75" style="width:37.5pt;height:65.63pt">
                  <v:imagedata r:id="rId81" o:title=""/>
                  <o:lock v:ext="edit" aspectratio="t"/>
                </v:shape>
              </w:pict>
            </w:r>
          </w:p>
        </w:tc>
        <w:tc>
          <w:tcPr>
            <w:tcW w:w="555" w:type="dxa"/>
            <w:tcBorders>
              <w:top w:val="nil"/>
              <w:left w:val="nil"/>
              <w:bottom w:val="single" w:sz="12" w:space="0" w:color="4494D1"/>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i w:val="0"/>
                <w:color w:val="4494D1"/>
                <w:sz w:val="18"/>
                <w:u w:val="none"/>
              </w:rPr>
            </w:pPr>
            <w:r>
              <w:pict>
                <v:shape id="_x0000_i1077" type="#_x0000_t75" style="width:37.5pt;height:65.63pt">
                  <v:imagedata r:id="rId82" o:title=""/>
                  <o:lock v:ext="edit" aspectratio="t"/>
                </v:shape>
              </w:pict>
            </w:r>
          </w:p>
        </w:tc>
        <w:tc>
          <w:tcPr>
            <w:tcW w:w="555" w:type="dxa"/>
            <w:tcBorders>
              <w:top w:val="nil"/>
              <w:left w:val="nil"/>
              <w:bottom w:val="single" w:sz="12" w:space="0" w:color="4494D1"/>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i w:val="0"/>
                <w:color w:val="4494D1"/>
                <w:sz w:val="18"/>
                <w:u w:val="none"/>
              </w:rPr>
            </w:pPr>
            <w:r>
              <w:pict>
                <v:shape id="_x0000_i1078" type="#_x0000_t75" style="width:37.5pt;height:65.63pt">
                  <v:imagedata r:id="rId83" o:title=""/>
                  <o:lock v:ext="edit" aspectratio="t"/>
                </v:shape>
              </w:pict>
            </w:r>
          </w:p>
        </w:tc>
        <w:tc>
          <w:tcPr>
            <w:tcW w:w="555" w:type="dxa"/>
            <w:tcBorders>
              <w:top w:val="nil"/>
              <w:left w:val="nil"/>
              <w:bottom w:val="single" w:sz="12" w:space="0" w:color="4494D1"/>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i w:val="0"/>
                <w:color w:val="4494D1"/>
                <w:sz w:val="18"/>
                <w:u w:val="none"/>
              </w:rPr>
            </w:pPr>
            <w:r>
              <w:pict>
                <v:shape id="_x0000_i1079" type="#_x0000_t75" style="width:37.5pt;height:65.63pt">
                  <v:imagedata r:id="rId84" o:title=""/>
                  <o:lock v:ext="edit" aspectratio="t"/>
                </v:shape>
              </w:pict>
            </w:r>
          </w:p>
        </w:tc>
        <w:tc>
          <w:tcPr>
            <w:tcW w:w="555" w:type="dxa"/>
            <w:tcBorders>
              <w:top w:val="nil"/>
              <w:left w:val="nil"/>
              <w:bottom w:val="single" w:sz="12" w:space="0" w:color="4494D1"/>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i w:val="0"/>
                <w:color w:val="4494D1"/>
                <w:sz w:val="18"/>
                <w:u w:val="none"/>
              </w:rPr>
            </w:pPr>
            <w:r>
              <w:pict>
                <v:shape id="_x0000_i1080" type="#_x0000_t75" style="width:37.5pt;height:65.63pt">
                  <v:imagedata r:id="rId85" o:title=""/>
                  <o:lock v:ext="edit" aspectratio="t"/>
                </v:shape>
              </w:pict>
            </w:r>
          </w:p>
        </w:tc>
        <w:tc>
          <w:tcPr>
            <w:tcW w:w="555" w:type="dxa"/>
            <w:tcBorders>
              <w:top w:val="nil"/>
              <w:left w:val="nil"/>
              <w:bottom w:val="single" w:sz="12" w:space="0" w:color="4494D1"/>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i w:val="0"/>
                <w:color w:val="4494D1"/>
                <w:sz w:val="18"/>
                <w:u w:val="none"/>
              </w:rPr>
            </w:pPr>
            <w:r>
              <w:pict>
                <v:shape id="_x0000_i1081" type="#_x0000_t75" style="width:37.5pt;height:65.63pt">
                  <v:imagedata r:id="rId86" o:title=""/>
                  <o:lock v:ext="edit" aspectratio="t"/>
                </v:shape>
              </w:pict>
            </w:r>
          </w:p>
        </w:tc>
        <w:tc>
          <w:tcPr>
            <w:tcW w:w="555" w:type="dxa"/>
            <w:tcBorders>
              <w:top w:val="nil"/>
              <w:left w:val="nil"/>
              <w:bottom w:val="single" w:sz="12" w:space="0" w:color="4494D1"/>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i w:val="0"/>
                <w:color w:val="4494D1"/>
                <w:sz w:val="18"/>
                <w:u w:val="none"/>
              </w:rPr>
            </w:pPr>
            <w:r>
              <w:pict>
                <v:shape id="_x0000_i1082" type="#_x0000_t75" style="width:37.5pt;height:65.63pt">
                  <v:imagedata r:id="rId87" o:title=""/>
                  <o:lock v:ext="edit" aspectratio="t"/>
                </v:shape>
              </w:pict>
            </w:r>
          </w:p>
        </w:tc>
        <w:tc>
          <w:tcPr>
            <w:tcW w:w="555" w:type="dxa"/>
            <w:tcBorders>
              <w:top w:val="nil"/>
              <w:left w:val="nil"/>
              <w:bottom w:val="single" w:sz="12" w:space="0" w:color="4494D1"/>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i w:val="0"/>
                <w:color w:val="4494D1"/>
                <w:sz w:val="18"/>
                <w:u w:val="none"/>
              </w:rPr>
            </w:pPr>
            <w:r>
              <w:pict>
                <v:shape id="_x0000_i1083" type="#_x0000_t75" style="width:37.5pt;height:65.63pt">
                  <v:imagedata r:id="rId88" o:title=""/>
                  <o:lock v:ext="edit" aspectratio="t"/>
                </v:shape>
              </w:pict>
            </w:r>
          </w:p>
        </w:tc>
        <w:tc>
          <w:tcPr>
            <w:tcW w:w="555" w:type="dxa"/>
            <w:tcBorders>
              <w:top w:val="nil"/>
              <w:left w:val="nil"/>
              <w:bottom w:val="single" w:sz="12" w:space="0" w:color="4494D1"/>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i w:val="0"/>
                <w:color w:val="4494D1"/>
                <w:sz w:val="18"/>
                <w:u w:val="none"/>
              </w:rPr>
            </w:pPr>
            <w:r>
              <w:pict>
                <v:shape id="_x0000_i1084" type="#_x0000_t75" style="width:37.5pt;height:65.63pt">
                  <v:imagedata r:id="rId89" o:title=""/>
                  <o:lock v:ext="edit" aspectratio="t"/>
                </v:shape>
              </w:pict>
            </w:r>
          </w:p>
        </w:tc>
        <w:tc>
          <w:tcPr>
            <w:tcW w:w="555" w:type="dxa"/>
            <w:tcBorders>
              <w:top w:val="nil"/>
              <w:left w:val="nil"/>
              <w:bottom w:val="single" w:sz="12" w:space="0" w:color="4494D1"/>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i w:val="0"/>
                <w:color w:val="4494D1"/>
                <w:sz w:val="18"/>
                <w:u w:val="none"/>
              </w:rPr>
            </w:pPr>
            <w:r>
              <w:pict>
                <v:shape id="_x0000_i1085" type="#_x0000_t75" style="width:37.5pt;height:65.63pt">
                  <v:imagedata r:id="rId90" o:title=""/>
                  <o:lock v:ext="edit" aspectratio="t"/>
                </v:shape>
              </w:pict>
            </w:r>
          </w:p>
        </w:tc>
        <w:tc>
          <w:tcPr>
            <w:tcW w:w="555" w:type="dxa"/>
            <w:tcBorders>
              <w:top w:val="nil"/>
              <w:left w:val="nil"/>
              <w:bottom w:val="single" w:sz="12" w:space="0" w:color="4494D1"/>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i w:val="0"/>
                <w:color w:val="4494D1"/>
                <w:sz w:val="18"/>
                <w:u w:val="none"/>
              </w:rPr>
            </w:pPr>
            <w:r>
              <w:pict>
                <v:shape id="_x0000_i1086" type="#_x0000_t75" style="width:37.5pt;height:65.63pt">
                  <v:imagedata r:id="rId91" o:title=""/>
                  <o:lock v:ext="edit" aspectratio="t"/>
                </v:shape>
              </w:pict>
            </w:r>
          </w:p>
        </w:tc>
      </w:tr>
      <w:tr>
        <w:tblPrEx>
          <w:tblW w:w="10260" w:type="dxa"/>
          <w:tblInd w:w="0" w:type="dxa"/>
          <w:tblLayout w:type="fixed"/>
          <w:tblCellMar>
            <w:left w:w="108" w:type="dxa"/>
            <w:right w:w="108" w:type="dxa"/>
          </w:tblCellMar>
        </w:tblPrEx>
        <w:trPr>
          <w:cantSplit/>
          <w:trHeight w:hRule="exact" w:val="435"/>
        </w:trPr>
        <w:tc>
          <w:tcPr>
            <w:tcW w:w="195" w:type="dxa"/>
            <w:tcBorders>
              <w:top w:val="nil"/>
              <w:left w:val="nil"/>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3405" w:type="dxa"/>
            <w:tcBorders>
              <w:top w:val="single" w:sz="12" w:space="0" w:color="4494D1"/>
              <w:left w:val="nil"/>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Extensive Insurance Industry Experience</w:t>
            </w:r>
          </w:p>
        </w:tc>
        <w:tc>
          <w:tcPr>
            <w:tcW w:w="555" w:type="dxa"/>
            <w:tcBorders>
              <w:top w:val="single" w:sz="12" w:space="0" w:color="4494D1"/>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87" type="#_x0000_t75" style="width:6.75pt;height:6.75pt;margin-top:0;margin-left:0;mso-position-horizontal:center;position:absolute;z-index:251684864">
                  <v:imagedata r:id="rId92" o:title=""/>
                  <o:lock v:ext="edit" aspectratio="t"/>
                  <w10:wrap type="square"/>
                </v:shape>
              </w:pict>
            </w:r>
          </w:p>
        </w:tc>
        <w:tc>
          <w:tcPr>
            <w:tcW w:w="555" w:type="dxa"/>
            <w:tcBorders>
              <w:top w:val="single" w:sz="12" w:space="0" w:color="4494D1"/>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12" w:space="0" w:color="4494D1"/>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12" w:space="0" w:color="4494D1"/>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88" type="#_x0000_t75" style="width:6.75pt;height:6.75pt;margin-top:0;margin-left:0;mso-position-horizontal:center;position:absolute;z-index:251685888">
                  <v:imagedata r:id="rId32" o:title=""/>
                  <o:lock v:ext="edit" aspectratio="t"/>
                  <w10:wrap type="square"/>
                </v:shape>
              </w:pict>
            </w:r>
          </w:p>
        </w:tc>
        <w:tc>
          <w:tcPr>
            <w:tcW w:w="555" w:type="dxa"/>
            <w:tcBorders>
              <w:top w:val="single" w:sz="12" w:space="0" w:color="4494D1"/>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89" type="#_x0000_t75" style="width:6.75pt;height:6.75pt;margin-top:0;margin-left:0;mso-position-horizontal:center;position:absolute;z-index:251686912">
                  <v:imagedata r:id="rId92" o:title=""/>
                  <o:lock v:ext="edit" aspectratio="t"/>
                  <w10:wrap type="square"/>
                </v:shape>
              </w:pict>
            </w:r>
          </w:p>
        </w:tc>
        <w:tc>
          <w:tcPr>
            <w:tcW w:w="555" w:type="dxa"/>
            <w:tcBorders>
              <w:top w:val="single" w:sz="12" w:space="0" w:color="4494D1"/>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90" type="#_x0000_t75" style="width:6.75pt;height:6.75pt;margin-top:0;margin-left:0;mso-position-horizontal:center;position:absolute;z-index:251687936">
                  <v:imagedata r:id="rId32" o:title=""/>
                  <o:lock v:ext="edit" aspectratio="t"/>
                  <w10:wrap type="square"/>
                </v:shape>
              </w:pict>
            </w:r>
          </w:p>
        </w:tc>
        <w:tc>
          <w:tcPr>
            <w:tcW w:w="555" w:type="dxa"/>
            <w:tcBorders>
              <w:top w:val="single" w:sz="12" w:space="0" w:color="4494D1"/>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91" type="#_x0000_t75" style="width:6.75pt;height:6.75pt;margin-top:0;margin-left:0;mso-position-horizontal:center;position:absolute;z-index:251688960">
                  <v:imagedata r:id="rId92" o:title=""/>
                  <o:lock v:ext="edit" aspectratio="t"/>
                  <w10:wrap type="square"/>
                </v:shape>
              </w:pict>
            </w:r>
          </w:p>
        </w:tc>
        <w:tc>
          <w:tcPr>
            <w:tcW w:w="555" w:type="dxa"/>
            <w:tcBorders>
              <w:top w:val="single" w:sz="12" w:space="0" w:color="4494D1"/>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92" type="#_x0000_t75" style="width:6.75pt;height:6.75pt;margin-top:0;margin-left:0;mso-position-horizontal:center;position:absolute;z-index:251689984">
                  <v:imagedata r:id="rId32" o:title=""/>
                  <o:lock v:ext="edit" aspectratio="t"/>
                  <w10:wrap type="square"/>
                </v:shape>
              </w:pict>
            </w:r>
          </w:p>
        </w:tc>
        <w:tc>
          <w:tcPr>
            <w:tcW w:w="555" w:type="dxa"/>
            <w:tcBorders>
              <w:top w:val="single" w:sz="12" w:space="0" w:color="4494D1"/>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93" type="#_x0000_t75" style="width:6.75pt;height:6.75pt;margin-top:0;margin-left:0;mso-position-horizontal:center;position:absolute;z-index:251691008">
                  <v:imagedata r:id="rId92" o:title=""/>
                  <o:lock v:ext="edit" aspectratio="t"/>
                  <w10:wrap type="square"/>
                </v:shape>
              </w:pict>
            </w:r>
          </w:p>
        </w:tc>
        <w:tc>
          <w:tcPr>
            <w:tcW w:w="555" w:type="dxa"/>
            <w:tcBorders>
              <w:top w:val="single" w:sz="12" w:space="0" w:color="4494D1"/>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94" type="#_x0000_t75" style="width:6.75pt;height:6.75pt;margin-top:0;margin-left:0;mso-position-horizontal:center;position:absolute;z-index:251692032">
                  <v:imagedata r:id="rId32" o:title=""/>
                  <o:lock v:ext="edit" aspectratio="t"/>
                  <w10:wrap type="square"/>
                </v:shape>
              </w:pict>
            </w:r>
          </w:p>
        </w:tc>
        <w:tc>
          <w:tcPr>
            <w:tcW w:w="555" w:type="dxa"/>
            <w:tcBorders>
              <w:top w:val="single" w:sz="12" w:space="0" w:color="4494D1"/>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95" type="#_x0000_t75" style="width:6.75pt;height:6.75pt;margin-top:0;margin-left:0;mso-position-horizontal:center;position:absolute;z-index:251693056">
                  <v:imagedata r:id="rId92" o:title=""/>
                  <o:lock v:ext="edit" aspectratio="t"/>
                  <w10:wrap type="square"/>
                </v:shape>
              </w:pict>
            </w:r>
          </w:p>
        </w:tc>
        <w:tc>
          <w:tcPr>
            <w:tcW w:w="555" w:type="dxa"/>
            <w:tcBorders>
              <w:top w:val="single" w:sz="12" w:space="0" w:color="4494D1"/>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435"/>
        </w:trPr>
        <w:tc>
          <w:tcPr>
            <w:tcW w:w="195" w:type="dxa"/>
            <w:tcBorders>
              <w:top w:val="single" w:sz="8" w:space="0" w:color="DBDBDB"/>
              <w:left w:val="nil"/>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3405" w:type="dxa"/>
            <w:tcBorders>
              <w:top w:val="single" w:sz="8" w:space="0" w:color="DBDBDB"/>
              <w:left w:val="nil"/>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Risk Management</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96" type="#_x0000_t75" style="width:6.75pt;height:6.75pt;margin-top:0;margin-left:0;mso-position-horizontal:center;position:absolute;z-index:251694080">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97" type="#_x0000_t75" style="width:6.75pt;height:6.75pt;margin-top:0;margin-left:0;mso-position-horizontal:center;position:absolute;z-index:251695104">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98" type="#_x0000_t75" style="width:6.75pt;height:6.75pt;margin-top:0;margin-left:0;mso-position-horizontal:center;position:absolute;z-index:251696128">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099" type="#_x0000_t75" style="width:6.75pt;height:6.75pt;margin-top:0;margin-left:0;mso-position-horizontal:center;position:absolute;z-index:251697152">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00" type="#_x0000_t75" style="width:6.75pt;height:6.75pt;margin-top:0;margin-left:0;mso-position-horizontal:center;position:absolute;z-index:251698176">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01" type="#_x0000_t75" style="width:6.75pt;height:6.75pt;margin-top:0;margin-left:0;mso-position-horizontal:center;position:absolute;z-index:251699200">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02" type="#_x0000_t75" style="width:6.75pt;height:6.75pt;margin-top:0;margin-left:0;mso-position-horizontal:center;position:absolute;z-index:251700224">
                  <v:imagedata r:id="rId32" o:title=""/>
                  <o:lock v:ext="edit" aspectratio="t"/>
                  <w10:wrap type="square"/>
                </v:shape>
              </w:pict>
            </w:r>
          </w:p>
        </w:tc>
      </w:tr>
      <w:tr>
        <w:tblPrEx>
          <w:tblW w:w="10260" w:type="dxa"/>
          <w:tblInd w:w="0" w:type="dxa"/>
          <w:tblLayout w:type="fixed"/>
          <w:tblCellMar>
            <w:left w:w="108" w:type="dxa"/>
            <w:right w:w="108" w:type="dxa"/>
          </w:tblCellMar>
        </w:tblPrEx>
        <w:trPr>
          <w:cantSplit/>
          <w:trHeight w:hRule="exact" w:val="435"/>
        </w:trPr>
        <w:tc>
          <w:tcPr>
            <w:tcW w:w="195" w:type="dxa"/>
            <w:tcBorders>
              <w:top w:val="single" w:sz="8" w:space="0" w:color="DBDBDB"/>
              <w:left w:val="nil"/>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3405" w:type="dxa"/>
            <w:tcBorders>
              <w:top w:val="single" w:sz="8" w:space="0" w:color="DBDBDB"/>
              <w:left w:val="nil"/>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Finance and Accounting</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03" type="#_x0000_t75" style="width:6.75pt;height:6.75pt;margin-top:0;margin-left:0;mso-position-horizontal:center;position:absolute;z-index:251701248">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04" type="#_x0000_t75" style="width:6.75pt;height:6.75pt;margin-top:0;margin-left:0;mso-position-horizontal:center;position:absolute;z-index:251702272">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05" type="#_x0000_t75" style="width:6.75pt;height:6.75pt;margin-top:0;margin-left:0;mso-position-horizontal:center;position:absolute;z-index:251703296">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06" type="#_x0000_t75" style="width:6.75pt;height:6.75pt;margin-top:0;margin-left:0;mso-position-horizontal:center;position:absolute;z-index:251704320">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07" type="#_x0000_t75" style="width:6.75pt;height:6.75pt;margin-top:0;margin-left:0;mso-position-horizontal:center;position:absolute;z-index:251705344">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08" type="#_x0000_t75" style="width:6.75pt;height:6.75pt;margin-top:0;margin-left:0;mso-position-horizontal:center;position:absolute;z-index:251706368">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09" type="#_x0000_t75" style="width:6.75pt;height:6.75pt;margin-top:0;margin-left:0;mso-position-horizontal:center;position:absolute;z-index:251707392">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10" type="#_x0000_t75" style="width:6.75pt;height:6.75pt;margin-top:0;margin-left:0;mso-position-horizontal:center;position:absolute;z-index:251708416">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11" type="#_x0000_t75" style="width:6.75pt;height:6.75pt;margin-top:0;margin-left:0;mso-position-horizontal:center;position:absolute;z-index:251709440">
                  <v:imagedata r:id="rId32" o:title=""/>
                  <o:lock v:ext="edit" aspectratio="t"/>
                  <w10:wrap type="square"/>
                </v:shape>
              </w:pict>
            </w:r>
          </w:p>
        </w:tc>
      </w:tr>
      <w:tr>
        <w:tblPrEx>
          <w:tblW w:w="10260" w:type="dxa"/>
          <w:tblInd w:w="0" w:type="dxa"/>
          <w:tblLayout w:type="fixed"/>
          <w:tblCellMar>
            <w:left w:w="108" w:type="dxa"/>
            <w:right w:w="108" w:type="dxa"/>
          </w:tblCellMar>
        </w:tblPrEx>
        <w:trPr>
          <w:cantSplit/>
          <w:trHeight w:hRule="exact" w:val="435"/>
        </w:trPr>
        <w:tc>
          <w:tcPr>
            <w:tcW w:w="195" w:type="dxa"/>
            <w:tcBorders>
              <w:top w:val="single" w:sz="8" w:space="0" w:color="DBDBDB"/>
              <w:left w:val="nil"/>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3405" w:type="dxa"/>
            <w:tcBorders>
              <w:top w:val="single" w:sz="8" w:space="0" w:color="DBDBDB"/>
              <w:left w:val="nil"/>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Investment</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12" type="#_x0000_t75" style="width:6.75pt;height:6.75pt;margin-top:0;margin-left:0;mso-position-horizontal:center;position:absolute;z-index:251710464">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13" type="#_x0000_t75" style="width:6.75pt;height:6.75pt;margin-top:0;margin-left:0;mso-position-horizontal:center;position:absolute;z-index:251711488">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14" type="#_x0000_t75" style="width:6.75pt;height:6.75pt;margin-top:0;margin-left:0;mso-position-horizontal:center;position:absolute;z-index:251712512">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15" type="#_x0000_t75" style="width:6.75pt;height:6.75pt;margin-top:0;margin-left:0;mso-position-horizontal:center;position:absolute;z-index:251713536">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16" type="#_x0000_t75" style="width:6.75pt;height:6.75pt;margin-top:0;margin-left:0;mso-position-horizontal:center;position:absolute;z-index:251714560">
                  <v:imagedata r:id="rId32" o:title=""/>
                  <o:lock v:ext="edit" aspectratio="t"/>
                  <w10:wrap type="square"/>
                </v:shape>
              </w:pict>
            </w:r>
          </w:p>
        </w:tc>
      </w:tr>
      <w:tr>
        <w:tblPrEx>
          <w:tblW w:w="10260" w:type="dxa"/>
          <w:tblInd w:w="0" w:type="dxa"/>
          <w:tblLayout w:type="fixed"/>
          <w:tblCellMar>
            <w:left w:w="108" w:type="dxa"/>
            <w:right w:w="108" w:type="dxa"/>
          </w:tblCellMar>
        </w:tblPrEx>
        <w:trPr>
          <w:cantSplit/>
          <w:trHeight w:hRule="exact" w:val="435"/>
        </w:trPr>
        <w:tc>
          <w:tcPr>
            <w:tcW w:w="195" w:type="dxa"/>
            <w:tcBorders>
              <w:top w:val="single" w:sz="8" w:space="0" w:color="DBDBDB"/>
              <w:left w:val="nil"/>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3405" w:type="dxa"/>
            <w:tcBorders>
              <w:top w:val="single" w:sz="8" w:space="0" w:color="DBDBDB"/>
              <w:left w:val="nil"/>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Strategy</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17" type="#_x0000_t75" style="width:6.75pt;height:6.75pt;margin-top:0;margin-left:0;mso-position-horizontal:center;position:absolute;z-index:251715584">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18" type="#_x0000_t75" style="width:6.75pt;height:6.75pt;margin-top:0;margin-left:0;mso-position-horizontal:center;position:absolute;z-index:251716608">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19" type="#_x0000_t75" style="width:6.75pt;height:6.75pt;margin-top:0;margin-left:0;mso-position-horizontal:center;position:absolute;z-index:251717632">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20" type="#_x0000_t75" style="width:6.75pt;height:6.75pt;margin-top:0;margin-left:0;mso-position-horizontal:center;position:absolute;z-index:251718656">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21" type="#_x0000_t75" style="width:6.75pt;height:6.75pt;margin-top:0;margin-left:0;mso-position-horizontal:center;position:absolute;z-index:251719680">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22" type="#_x0000_t75" style="width:6.75pt;height:6.75pt;margin-top:0;margin-left:0;mso-position-horizontal:center;position:absolute;z-index:251720704">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23" type="#_x0000_t75" style="width:6.75pt;height:6.75pt;margin-top:0;margin-left:0;mso-position-horizontal:center;position:absolute;z-index:251721728">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435"/>
        </w:trPr>
        <w:tc>
          <w:tcPr>
            <w:tcW w:w="195" w:type="dxa"/>
            <w:tcBorders>
              <w:top w:val="single" w:sz="8" w:space="0" w:color="DBDBDB"/>
              <w:left w:val="nil"/>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3405" w:type="dxa"/>
            <w:tcBorders>
              <w:top w:val="single" w:sz="8" w:space="0" w:color="DBDBDB"/>
              <w:left w:val="nil"/>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Corporate Governance</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24" type="#_x0000_t75" style="width:6.75pt;height:6.75pt;margin-top:0;margin-left:0;mso-position-horizontal:center;position:absolute;z-index:251722752">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25" type="#_x0000_t75" style="width:6.75pt;height:6.75pt;margin-top:0;margin-left:0;mso-position-horizontal:center;position:absolute;z-index:251723776">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26" type="#_x0000_t75" style="width:6.75pt;height:6.75pt;margin-top:0;margin-left:0;mso-position-horizontal:center;position:absolute;z-index:251724800">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27" type="#_x0000_t75" style="width:6.75pt;height:6.75pt;margin-top:0;margin-left:0;mso-position-horizontal:center;position:absolute;z-index:251725824">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28" type="#_x0000_t75" style="width:6.75pt;height:6.75pt;margin-top:0;margin-left:0;mso-position-horizontal:center;position:absolute;z-index:251726848">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29" type="#_x0000_t75" style="width:6.75pt;height:6.75pt;margin-top:0;margin-left:0;mso-position-horizontal:center;position:absolute;z-index:251727872">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30" type="#_x0000_t75" style="width:6.75pt;height:6.75pt;margin-top:0;margin-left:0;mso-position-horizontal:center;position:absolute;z-index:251728896">
                  <v:imagedata r:id="rId32" o:title=""/>
                  <o:lock v:ext="edit" aspectratio="t"/>
                  <w10:wrap type="square"/>
                </v:shape>
              </w:pict>
            </w:r>
          </w:p>
        </w:tc>
      </w:tr>
      <w:tr>
        <w:tblPrEx>
          <w:tblW w:w="10260" w:type="dxa"/>
          <w:tblInd w:w="0" w:type="dxa"/>
          <w:tblLayout w:type="fixed"/>
          <w:tblCellMar>
            <w:left w:w="108" w:type="dxa"/>
            <w:right w:w="108" w:type="dxa"/>
          </w:tblCellMar>
        </w:tblPrEx>
        <w:trPr>
          <w:cantSplit/>
          <w:trHeight w:hRule="exact" w:val="435"/>
        </w:trPr>
        <w:tc>
          <w:tcPr>
            <w:tcW w:w="195" w:type="dxa"/>
            <w:tcBorders>
              <w:top w:val="single" w:sz="8" w:space="0" w:color="DBDBDB"/>
              <w:left w:val="nil"/>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3405" w:type="dxa"/>
            <w:tcBorders>
              <w:top w:val="single" w:sz="8" w:space="0" w:color="DBDBDB"/>
              <w:left w:val="nil"/>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Regulatory and Government</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31" type="#_x0000_t75" style="width:6.75pt;height:6.75pt;margin-top:0;margin-left:0;mso-position-horizontal:center;position:absolute;z-index:251729920">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32" type="#_x0000_t75" style="width:6.75pt;height:6.75pt;margin-top:0;margin-left:0;mso-position-horizontal:center;position:absolute;z-index:251730944">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33" type="#_x0000_t75" style="width:6.75pt;height:6.75pt;margin-top:0;margin-left:0;mso-position-horizontal:center;position:absolute;z-index:251731968">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34" type="#_x0000_t75" style="width:6.75pt;height:6.75pt;margin-top:0;margin-left:0;mso-position-horizontal:center;position:absolute;z-index:251732992">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35" type="#_x0000_t75" style="width:6.75pt;height:6.75pt;margin-top:0;margin-left:0;mso-position-horizontal:center;position:absolute;z-index:251734016">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36" type="#_x0000_t75" style="width:6.75pt;height:6.75pt;margin-top:0;margin-left:0;mso-position-horizontal:center;position:absolute;z-index:251735040">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435"/>
        </w:trPr>
        <w:tc>
          <w:tcPr>
            <w:tcW w:w="195" w:type="dxa"/>
            <w:tcBorders>
              <w:top w:val="single" w:sz="8" w:space="0" w:color="DBDBDB"/>
              <w:left w:val="nil"/>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3405" w:type="dxa"/>
            <w:tcBorders>
              <w:top w:val="single" w:sz="8" w:space="0" w:color="DBDBDB"/>
              <w:left w:val="nil"/>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Business Operations and Technology</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37" type="#_x0000_t75" style="width:6.75pt;height:6.75pt;margin-top:0;margin-left:0;mso-position-horizontal:center;position:absolute;z-index:251736064">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38" type="#_x0000_t75" style="width:6.75pt;height:6.75pt;margin-top:0;margin-left:0;mso-position-horizontal:center;position:absolute;z-index:251737088">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39" type="#_x0000_t75" style="width:6.75pt;height:6.75pt;margin-top:0;margin-left:0;mso-position-horizontal:center;position:absolute;z-index:251738112">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40" type="#_x0000_t75" style="width:6.75pt;height:6.75pt;margin-top:0;margin-left:0;mso-position-horizontal:center;position:absolute;z-index:251739136">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435"/>
        </w:trPr>
        <w:tc>
          <w:tcPr>
            <w:tcW w:w="195" w:type="dxa"/>
            <w:tcBorders>
              <w:top w:val="single" w:sz="8" w:space="0" w:color="DBDBDB"/>
              <w:left w:val="nil"/>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3405" w:type="dxa"/>
            <w:tcBorders>
              <w:top w:val="single" w:sz="8" w:space="0" w:color="DBDBDB"/>
              <w:left w:val="nil"/>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Human Capital Management</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41" type="#_x0000_t75" style="width:6.75pt;height:6.75pt;margin-top:0;margin-left:0;mso-position-horizontal:center;position:absolute;z-index:251740160">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42" type="#_x0000_t75" style="width:6.75pt;height:6.75pt;margin-top:0;margin-left:0;mso-position-horizontal:center;position:absolute;z-index:251741184">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43" type="#_x0000_t75" style="width:6.75pt;height:6.75pt;margin-top:0;margin-left:0;mso-position-horizontal:center;position:absolute;z-index:251742208">
                  <v:imagedata r:id="rId32" o:title=""/>
                  <o:lock v:ext="edit" aspectratio="t"/>
                  <w10:wrap type="square"/>
                </v:shape>
              </w:pict>
            </w:r>
          </w:p>
        </w:tc>
      </w:tr>
      <w:tr>
        <w:tblPrEx>
          <w:tblW w:w="10260" w:type="dxa"/>
          <w:tblInd w:w="0" w:type="dxa"/>
          <w:tblLayout w:type="fixed"/>
          <w:tblCellMar>
            <w:left w:w="108" w:type="dxa"/>
            <w:right w:w="108" w:type="dxa"/>
          </w:tblCellMar>
        </w:tblPrEx>
        <w:trPr>
          <w:cantSplit/>
          <w:trHeight w:hRule="exact" w:val="435"/>
        </w:trPr>
        <w:tc>
          <w:tcPr>
            <w:tcW w:w="10260" w:type="dxa"/>
            <w:gridSpan w:val="14"/>
            <w:tcBorders>
              <w:top w:val="nil"/>
              <w:left w:val="nil"/>
              <w:bottom w:val="single" w:sz="8" w:space="0" w:color="DBDBDB"/>
              <w:right w:val="nil"/>
            </w:tcBorders>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i w:val="0"/>
                <w:color w:val="4495D1"/>
                <w:sz w:val="18"/>
                <w:u w:val="none"/>
              </w:rPr>
              <w:t>Tenure and Independence</w:t>
            </w:r>
          </w:p>
        </w:tc>
      </w:tr>
      <w:tr>
        <w:tblPrEx>
          <w:tblW w:w="10260" w:type="dxa"/>
          <w:tblInd w:w="0" w:type="dxa"/>
          <w:tblLayout w:type="fixed"/>
          <w:tblCellMar>
            <w:left w:w="108" w:type="dxa"/>
            <w:right w:w="108" w:type="dxa"/>
          </w:tblCellMar>
        </w:tblPrEx>
        <w:trPr>
          <w:cantSplit/>
          <w:trHeight w:hRule="exact" w:val="435"/>
        </w:trPr>
        <w:tc>
          <w:tcPr>
            <w:tcW w:w="195" w:type="dxa"/>
            <w:tcBorders>
              <w:top w:val="nil"/>
              <w:left w:val="nil"/>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3405" w:type="dxa"/>
            <w:tcBorders>
              <w:top w:val="single" w:sz="8" w:space="0" w:color="DBDBDB"/>
              <w:left w:val="nil"/>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Tenure (years)</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color w:val="4494D1"/>
                <w:sz w:val="18"/>
                <w:u w:val="none"/>
              </w:rPr>
            </w:pPr>
            <w:r>
              <w:rPr>
                <w:rFonts w:ascii="Arial" w:eastAsia="Arial" w:hAnsi="Arial" w:cs="Arial"/>
                <w:b w:val="0"/>
                <w:i w:val="0"/>
                <w:color w:val="4494D1"/>
                <w:sz w:val="18"/>
                <w:u w:val="none"/>
              </w:rPr>
              <w:t>9</w:t>
            </w:r>
          </w:p>
        </w:tc>
        <w:tc>
          <w:tcPr>
            <w:tcW w:w="555" w:type="dxa"/>
            <w:tcBorders>
              <w:top w:val="single" w:sz="8" w:space="0" w:color="DBDBDB"/>
              <w:left w:val="single" w:sz="8" w:space="0" w:color="DBDBDB"/>
              <w:bottom w:val="single" w:sz="8" w:space="0" w:color="DBDBDB"/>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color w:val="4494D1"/>
                <w:sz w:val="18"/>
                <w:u w:val="none"/>
              </w:rPr>
            </w:pPr>
            <w:r>
              <w:rPr>
                <w:rFonts w:ascii="Arial" w:eastAsia="Arial" w:hAnsi="Arial" w:cs="Arial"/>
                <w:b w:val="0"/>
                <w:i w:val="0"/>
                <w:color w:val="4494D1"/>
                <w:sz w:val="18"/>
                <w:u w:val="none"/>
              </w:rPr>
              <w:t>3</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color w:val="4494D1"/>
                <w:sz w:val="18"/>
                <w:u w:val="none"/>
              </w:rPr>
            </w:pPr>
            <w:r>
              <w:rPr>
                <w:rFonts w:ascii="Arial" w:eastAsia="Arial" w:hAnsi="Arial" w:cs="Arial"/>
                <w:b w:val="0"/>
                <w:i w:val="0"/>
                <w:color w:val="4494D1"/>
                <w:sz w:val="18"/>
                <w:u w:val="none"/>
              </w:rPr>
              <w:t>17</w:t>
            </w:r>
          </w:p>
        </w:tc>
        <w:tc>
          <w:tcPr>
            <w:tcW w:w="555" w:type="dxa"/>
            <w:tcBorders>
              <w:top w:val="single" w:sz="8" w:space="0" w:color="DBDBDB"/>
              <w:left w:val="single" w:sz="8" w:space="0" w:color="DBDBDB"/>
              <w:bottom w:val="single" w:sz="8" w:space="0" w:color="DBDBDB"/>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color w:val="4494D1"/>
                <w:sz w:val="18"/>
                <w:u w:val="none"/>
              </w:rPr>
            </w:pPr>
            <w:r>
              <w:rPr>
                <w:rFonts w:ascii="Arial" w:eastAsia="Arial" w:hAnsi="Arial" w:cs="Arial"/>
                <w:b w:val="0"/>
                <w:i w:val="0"/>
                <w:color w:val="4494D1"/>
                <w:sz w:val="18"/>
                <w:u w:val="none"/>
              </w:rPr>
              <w:t>10</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color w:val="4494D1"/>
                <w:sz w:val="18"/>
                <w:u w:val="none"/>
              </w:rPr>
            </w:pPr>
            <w:r>
              <w:rPr>
                <w:rFonts w:ascii="Arial" w:eastAsia="Arial" w:hAnsi="Arial" w:cs="Arial"/>
                <w:b w:val="0"/>
                <w:i w:val="0"/>
                <w:color w:val="4494D1"/>
                <w:sz w:val="18"/>
                <w:u w:val="none"/>
              </w:rPr>
              <w:t>4</w:t>
            </w:r>
          </w:p>
        </w:tc>
        <w:tc>
          <w:tcPr>
            <w:tcW w:w="555" w:type="dxa"/>
            <w:tcBorders>
              <w:top w:val="single" w:sz="8" w:space="0" w:color="DBDBDB"/>
              <w:left w:val="single" w:sz="8" w:space="0" w:color="DBDBDB"/>
              <w:bottom w:val="single" w:sz="8" w:space="0" w:color="DBDBDB"/>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color w:val="4494D1"/>
                <w:sz w:val="18"/>
                <w:u w:val="none"/>
              </w:rPr>
            </w:pPr>
            <w:r>
              <w:rPr>
                <w:rFonts w:ascii="Arial" w:eastAsia="Arial" w:hAnsi="Arial" w:cs="Arial"/>
                <w:b w:val="0"/>
                <w:i w:val="0"/>
                <w:color w:val="4494D1"/>
                <w:sz w:val="18"/>
                <w:u w:val="none"/>
              </w:rPr>
              <w:t>9</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color w:val="4494D1"/>
                <w:sz w:val="18"/>
                <w:u w:val="none"/>
              </w:rPr>
            </w:pPr>
            <w:r>
              <w:rPr>
                <w:rFonts w:ascii="Arial" w:eastAsia="Arial" w:hAnsi="Arial" w:cs="Arial"/>
                <w:b w:val="0"/>
                <w:i w:val="0"/>
                <w:color w:val="4494D1"/>
                <w:sz w:val="18"/>
                <w:u w:val="none"/>
              </w:rPr>
              <w:t>2</w:t>
            </w:r>
          </w:p>
        </w:tc>
        <w:tc>
          <w:tcPr>
            <w:tcW w:w="555" w:type="dxa"/>
            <w:tcBorders>
              <w:top w:val="single" w:sz="8" w:space="0" w:color="DBDBDB"/>
              <w:left w:val="single" w:sz="8" w:space="0" w:color="DBDBDB"/>
              <w:bottom w:val="single" w:sz="8" w:space="0" w:color="DBDBDB"/>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color w:val="4494D1"/>
                <w:sz w:val="18"/>
                <w:u w:val="none"/>
              </w:rPr>
            </w:pPr>
            <w:r>
              <w:rPr>
                <w:rFonts w:ascii="Arial" w:eastAsia="Arial" w:hAnsi="Arial" w:cs="Arial"/>
                <w:b w:val="0"/>
                <w:i w:val="0"/>
                <w:color w:val="4494D1"/>
                <w:sz w:val="18"/>
                <w:u w:val="none"/>
              </w:rPr>
              <w:t>5</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color w:val="4494D1"/>
                <w:sz w:val="18"/>
                <w:u w:val="none"/>
              </w:rPr>
            </w:pPr>
            <w:r>
              <w:rPr>
                <w:rFonts w:ascii="Arial" w:eastAsia="Arial" w:hAnsi="Arial" w:cs="Arial"/>
                <w:b w:val="0"/>
                <w:i w:val="0"/>
                <w:color w:val="4494D1"/>
                <w:sz w:val="18"/>
                <w:u w:val="none"/>
              </w:rPr>
              <w:t>22</w:t>
            </w:r>
          </w:p>
        </w:tc>
        <w:tc>
          <w:tcPr>
            <w:tcW w:w="555" w:type="dxa"/>
            <w:tcBorders>
              <w:top w:val="single" w:sz="8" w:space="0" w:color="DBDBDB"/>
              <w:left w:val="single" w:sz="8" w:space="0" w:color="DBDBDB"/>
              <w:bottom w:val="single" w:sz="8" w:space="0" w:color="DBDBDB"/>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color w:val="4494D1"/>
                <w:sz w:val="18"/>
                <w:u w:val="none"/>
              </w:rPr>
            </w:pPr>
            <w:r>
              <w:rPr>
                <w:rFonts w:ascii="Arial" w:eastAsia="Arial" w:hAnsi="Arial" w:cs="Arial"/>
                <w:b w:val="0"/>
                <w:i w:val="0"/>
                <w:color w:val="4494D1"/>
                <w:sz w:val="18"/>
                <w:u w:val="none"/>
              </w:rPr>
              <w:t>9</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color w:val="4494D1"/>
                <w:sz w:val="18"/>
                <w:u w:val="none"/>
              </w:rPr>
            </w:pPr>
            <w:r>
              <w:rPr>
                <w:rFonts w:ascii="Arial" w:eastAsia="Arial" w:hAnsi="Arial" w:cs="Arial"/>
                <w:b w:val="0"/>
                <w:i w:val="0"/>
                <w:color w:val="4494D1"/>
                <w:sz w:val="18"/>
                <w:u w:val="none"/>
              </w:rPr>
              <w:t>22</w:t>
            </w:r>
          </w:p>
        </w:tc>
        <w:tc>
          <w:tcPr>
            <w:tcW w:w="555" w:type="dxa"/>
            <w:tcBorders>
              <w:top w:val="single" w:sz="8" w:space="0" w:color="DBDBDB"/>
              <w:left w:val="single" w:sz="8" w:space="0" w:color="DBDBDB"/>
              <w:bottom w:val="single" w:sz="8" w:space="0" w:color="DBDBDB"/>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color w:val="4494D1"/>
                <w:sz w:val="18"/>
                <w:u w:val="none"/>
              </w:rPr>
            </w:pPr>
            <w:r>
              <w:rPr>
                <w:rFonts w:ascii="Arial" w:eastAsia="Arial" w:hAnsi="Arial" w:cs="Arial"/>
                <w:b w:val="0"/>
                <w:i w:val="0"/>
                <w:color w:val="4494D1"/>
                <w:sz w:val="18"/>
                <w:u w:val="none"/>
              </w:rPr>
              <w:t>9</w:t>
            </w:r>
          </w:p>
        </w:tc>
      </w:tr>
      <w:tr>
        <w:tblPrEx>
          <w:tblW w:w="10260" w:type="dxa"/>
          <w:tblInd w:w="0" w:type="dxa"/>
          <w:tblLayout w:type="fixed"/>
          <w:tblCellMar>
            <w:left w:w="108" w:type="dxa"/>
            <w:right w:w="108" w:type="dxa"/>
          </w:tblCellMar>
        </w:tblPrEx>
        <w:trPr>
          <w:cantSplit/>
          <w:trHeight w:hRule="exact" w:val="435"/>
        </w:trPr>
        <w:tc>
          <w:tcPr>
            <w:tcW w:w="195" w:type="dxa"/>
            <w:tcBorders>
              <w:top w:val="single" w:sz="8" w:space="0" w:color="DBDBDB"/>
              <w:left w:val="nil"/>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3405" w:type="dxa"/>
            <w:tcBorders>
              <w:top w:val="single" w:sz="8" w:space="0" w:color="DBDBDB"/>
              <w:left w:val="nil"/>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Independence</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44" type="#_x0000_t75" style="width:6.75pt;height:6.75pt;margin-top:0;margin-left:0;mso-position-horizontal:center;position:absolute;z-index:251743232">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45" type="#_x0000_t75" style="width:6.75pt;height:6.75pt;margin-top:0;margin-left:0;mso-position-horizontal:center;position:absolute;z-index:251744256">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46" type="#_x0000_t75" style="width:6.75pt;height:6.75pt;margin-top:0;margin-left:0;mso-position-horizontal:center;position:absolute;z-index:251745280">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47" type="#_x0000_t75" style="width:6.75pt;height:6.75pt;margin-top:0;margin-left:0;mso-position-horizontal:center;position:absolute;z-index:251746304">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48" type="#_x0000_t75" style="width:6.75pt;height:6.75pt;margin-top:0;margin-left:0;mso-position-horizontal:center;position:absolute;z-index:251747328">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49" type="#_x0000_t75" style="width:6.75pt;height:6.75pt;margin-top:0;margin-left:0;mso-position-horizontal:center;position:absolute;z-index:251748352">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50" type="#_x0000_t75" style="width:6.75pt;height:6.75pt;margin-top:0;margin-left:0;mso-position-horizontal:center;position:absolute;z-index:251749376">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51" type="#_x0000_t75" style="width:6.75pt;height:6.75pt;margin-top:0;margin-left:0;mso-position-horizontal:center;position:absolute;z-index:251750400">
                  <v:imagedata r:id="rId32" o:title=""/>
                  <o:lock v:ext="edit" aspectratio="t"/>
                  <w10:wrap type="square"/>
                </v:shape>
              </w:pict>
            </w:r>
          </w:p>
        </w:tc>
      </w:tr>
      <w:tr>
        <w:tblPrEx>
          <w:tblW w:w="10260" w:type="dxa"/>
          <w:tblInd w:w="0" w:type="dxa"/>
          <w:tblLayout w:type="fixed"/>
          <w:tblCellMar>
            <w:left w:w="108" w:type="dxa"/>
            <w:right w:w="108" w:type="dxa"/>
          </w:tblCellMar>
        </w:tblPrEx>
        <w:trPr>
          <w:cantSplit/>
          <w:trHeight w:hRule="exact" w:val="435"/>
        </w:trPr>
        <w:tc>
          <w:tcPr>
            <w:tcW w:w="10260" w:type="dxa"/>
            <w:gridSpan w:val="14"/>
            <w:tcBorders>
              <w:top w:val="nil"/>
              <w:left w:val="nil"/>
              <w:bottom w:val="single" w:sz="8" w:space="0" w:color="DBDBDB"/>
              <w:right w:val="nil"/>
            </w:tcBorders>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i w:val="0"/>
                <w:color w:val="4495D1"/>
                <w:sz w:val="18"/>
                <w:u w:val="none"/>
              </w:rPr>
              <w:t>Demographics</w:t>
            </w:r>
          </w:p>
        </w:tc>
      </w:tr>
      <w:tr>
        <w:tblPrEx>
          <w:tblW w:w="10260" w:type="dxa"/>
          <w:tblInd w:w="0" w:type="dxa"/>
          <w:tblLayout w:type="fixed"/>
          <w:tblCellMar>
            <w:left w:w="108" w:type="dxa"/>
            <w:right w:w="108" w:type="dxa"/>
          </w:tblCellMar>
        </w:tblPrEx>
        <w:trPr>
          <w:cantSplit/>
          <w:trHeight w:hRule="exact" w:val="435"/>
        </w:trPr>
        <w:tc>
          <w:tcPr>
            <w:tcW w:w="195" w:type="dxa"/>
            <w:tcBorders>
              <w:top w:val="nil"/>
              <w:left w:val="nil"/>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3405" w:type="dxa"/>
            <w:tcBorders>
              <w:top w:val="single" w:sz="8" w:space="0" w:color="DBDBDB"/>
              <w:left w:val="nil"/>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Age (years)</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77</w:t>
            </w:r>
          </w:p>
        </w:tc>
        <w:tc>
          <w:tcPr>
            <w:tcW w:w="555" w:type="dxa"/>
            <w:tcBorders>
              <w:top w:val="single" w:sz="8" w:space="0" w:color="DBDBDB"/>
              <w:left w:val="single" w:sz="8" w:space="0" w:color="DBDBDB"/>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67</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75</w:t>
            </w:r>
          </w:p>
        </w:tc>
        <w:tc>
          <w:tcPr>
            <w:tcW w:w="555" w:type="dxa"/>
            <w:tcBorders>
              <w:top w:val="single" w:sz="8" w:space="0" w:color="DBDBDB"/>
              <w:left w:val="single" w:sz="8" w:space="0" w:color="DBDBDB"/>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57</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64</w:t>
            </w:r>
          </w:p>
        </w:tc>
        <w:tc>
          <w:tcPr>
            <w:tcW w:w="555" w:type="dxa"/>
            <w:tcBorders>
              <w:top w:val="single" w:sz="8" w:space="0" w:color="DBDBDB"/>
              <w:left w:val="single" w:sz="8" w:space="0" w:color="DBDBDB"/>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68</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50</w:t>
            </w:r>
          </w:p>
        </w:tc>
        <w:tc>
          <w:tcPr>
            <w:tcW w:w="555" w:type="dxa"/>
            <w:tcBorders>
              <w:top w:val="single" w:sz="8" w:space="0" w:color="DBDBDB"/>
              <w:left w:val="single" w:sz="8" w:space="0" w:color="DBDBDB"/>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75</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66</w:t>
            </w:r>
          </w:p>
        </w:tc>
        <w:tc>
          <w:tcPr>
            <w:tcW w:w="555" w:type="dxa"/>
            <w:tcBorders>
              <w:top w:val="single" w:sz="8" w:space="0" w:color="DBDBDB"/>
              <w:left w:val="single" w:sz="8" w:space="0" w:color="DBDBDB"/>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63</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63</w:t>
            </w:r>
          </w:p>
        </w:tc>
        <w:tc>
          <w:tcPr>
            <w:tcW w:w="555" w:type="dxa"/>
            <w:tcBorders>
              <w:top w:val="single" w:sz="8" w:space="0" w:color="DBDBDB"/>
              <w:left w:val="single" w:sz="8" w:space="0" w:color="DBDBDB"/>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58</w:t>
            </w:r>
          </w:p>
        </w:tc>
      </w:tr>
      <w:tr>
        <w:tblPrEx>
          <w:tblW w:w="10260" w:type="dxa"/>
          <w:tblInd w:w="0" w:type="dxa"/>
          <w:tblLayout w:type="fixed"/>
          <w:tblCellMar>
            <w:left w:w="108" w:type="dxa"/>
            <w:right w:w="108" w:type="dxa"/>
          </w:tblCellMar>
        </w:tblPrEx>
        <w:trPr>
          <w:cantSplit/>
          <w:trHeight w:hRule="exact" w:val="435"/>
        </w:trPr>
        <w:tc>
          <w:tcPr>
            <w:tcW w:w="195" w:type="dxa"/>
            <w:tcBorders>
              <w:top w:val="single" w:sz="8" w:space="0" w:color="DBDBDB"/>
              <w:left w:val="nil"/>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3405" w:type="dxa"/>
            <w:tcBorders>
              <w:top w:val="single" w:sz="8" w:space="0" w:color="DBDBDB"/>
              <w:left w:val="nil"/>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Gender Identity</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M</w:t>
            </w:r>
          </w:p>
        </w:tc>
        <w:tc>
          <w:tcPr>
            <w:tcW w:w="555" w:type="dxa"/>
            <w:tcBorders>
              <w:top w:val="single" w:sz="8" w:space="0" w:color="DBDBDB"/>
              <w:left w:val="single" w:sz="8" w:space="0" w:color="DBDBDB"/>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F</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M</w:t>
            </w:r>
          </w:p>
        </w:tc>
        <w:tc>
          <w:tcPr>
            <w:tcW w:w="555" w:type="dxa"/>
            <w:tcBorders>
              <w:top w:val="single" w:sz="8" w:space="0" w:color="DBDBDB"/>
              <w:left w:val="single" w:sz="8" w:space="0" w:color="DBDBDB"/>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M</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F</w:t>
            </w:r>
          </w:p>
        </w:tc>
        <w:tc>
          <w:tcPr>
            <w:tcW w:w="555" w:type="dxa"/>
            <w:tcBorders>
              <w:top w:val="single" w:sz="8" w:space="0" w:color="DBDBDB"/>
              <w:left w:val="single" w:sz="8" w:space="0" w:color="DBDBDB"/>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M</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F</w:t>
            </w:r>
          </w:p>
        </w:tc>
        <w:tc>
          <w:tcPr>
            <w:tcW w:w="555" w:type="dxa"/>
            <w:tcBorders>
              <w:top w:val="single" w:sz="8" w:space="0" w:color="DBDBDB"/>
              <w:left w:val="single" w:sz="8" w:space="0" w:color="DBDBDB"/>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M</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M</w:t>
            </w:r>
          </w:p>
        </w:tc>
        <w:tc>
          <w:tcPr>
            <w:tcW w:w="555" w:type="dxa"/>
            <w:tcBorders>
              <w:top w:val="single" w:sz="8" w:space="0" w:color="DBDBDB"/>
              <w:left w:val="single" w:sz="8" w:space="0" w:color="DBDBDB"/>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M</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M</w:t>
            </w:r>
          </w:p>
        </w:tc>
        <w:tc>
          <w:tcPr>
            <w:tcW w:w="555" w:type="dxa"/>
            <w:tcBorders>
              <w:top w:val="single" w:sz="8" w:space="0" w:color="DBDBDB"/>
              <w:left w:val="single" w:sz="8" w:space="0" w:color="DBDBDB"/>
              <w:bottom w:val="single" w:sz="8" w:space="0" w:color="DBDBDB"/>
              <w:right w:val="nil"/>
            </w:tcBorders>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val="0"/>
                <w:i w:val="0"/>
                <w:color w:val="4494D1"/>
                <w:sz w:val="18"/>
                <w:u w:val="none"/>
              </w:rPr>
              <w:t>M</w:t>
            </w:r>
          </w:p>
        </w:tc>
      </w:tr>
      <w:tr>
        <w:tblPrEx>
          <w:tblW w:w="10260" w:type="dxa"/>
          <w:tblInd w:w="0" w:type="dxa"/>
          <w:tblLayout w:type="fixed"/>
          <w:tblCellMar>
            <w:left w:w="108" w:type="dxa"/>
            <w:right w:w="108" w:type="dxa"/>
          </w:tblCellMar>
        </w:tblPrEx>
        <w:trPr>
          <w:cantSplit/>
          <w:trHeight w:hRule="exact" w:val="435"/>
        </w:trPr>
        <w:tc>
          <w:tcPr>
            <w:tcW w:w="195" w:type="dxa"/>
            <w:tcBorders>
              <w:top w:val="single" w:sz="8" w:space="0" w:color="DBDBDB"/>
              <w:left w:val="nil"/>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3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18"/>
                <w:u w:val="none"/>
              </w:rPr>
              <w:t>African American or Black</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435"/>
        </w:trPr>
        <w:tc>
          <w:tcPr>
            <w:tcW w:w="195" w:type="dxa"/>
            <w:tcBorders>
              <w:top w:val="single" w:sz="8" w:space="0" w:color="DBDBDB"/>
              <w:left w:val="nil"/>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3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18"/>
                <w:u w:val="none"/>
              </w:rPr>
              <w:t>Alaskan Native or American Indian</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435"/>
        </w:trPr>
        <w:tc>
          <w:tcPr>
            <w:tcW w:w="195" w:type="dxa"/>
            <w:tcBorders>
              <w:top w:val="single" w:sz="8" w:space="0" w:color="DBDBDB"/>
              <w:left w:val="nil"/>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3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18"/>
                <w:u w:val="none"/>
              </w:rPr>
              <w:t>Asian</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52" type="#_x0000_t75" style="width:6.75pt;height:6.75pt;margin-top:0;margin-left:0;mso-position-horizontal:center;position:absolute;z-index:251751424">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435"/>
        </w:trPr>
        <w:tc>
          <w:tcPr>
            <w:tcW w:w="195" w:type="dxa"/>
            <w:tcBorders>
              <w:top w:val="single" w:sz="8" w:space="0" w:color="DBDBDB"/>
              <w:left w:val="nil"/>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3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18"/>
                <w:u w:val="none"/>
              </w:rPr>
              <w:t>Hispanic or Latinx</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435"/>
        </w:trPr>
        <w:tc>
          <w:tcPr>
            <w:tcW w:w="195" w:type="dxa"/>
            <w:tcBorders>
              <w:top w:val="single" w:sz="8" w:space="0" w:color="DBDBDB"/>
              <w:left w:val="nil"/>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3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18"/>
                <w:u w:val="none"/>
              </w:rPr>
              <w:t>Native Hawaiian or Pacific Islander</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435"/>
        </w:trPr>
        <w:tc>
          <w:tcPr>
            <w:tcW w:w="195" w:type="dxa"/>
            <w:tcBorders>
              <w:top w:val="single" w:sz="8" w:space="0" w:color="DBDBDB"/>
              <w:left w:val="nil"/>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3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18"/>
                <w:u w:val="none"/>
              </w:rPr>
              <w:t>White</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53" type="#_x0000_t75" style="width:6.75pt;height:6.75pt;margin-top:0;margin-left:0;mso-position-horizontal:center;position:absolute;z-index:251752448">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54" type="#_x0000_t75" style="width:6.75pt;height:6.75pt;margin-top:0;margin-left:0;mso-position-horizontal:center;position:absolute;z-index:251753472">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55" type="#_x0000_t75" style="width:6.75pt;height:6.75pt;margin-top:0;margin-left:0;mso-position-horizontal:center;position:absolute;z-index:251754496">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56" type="#_x0000_t75" style="width:6.75pt;height:6.75pt;margin-top:0;margin-left:0;mso-position-horizontal:center;position:absolute;z-index:251755520">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57" type="#_x0000_t75" style="width:6.75pt;height:6.75pt;margin-top:0;margin-left:0;mso-position-horizontal:center;position:absolute;z-index:251756544">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58" type="#_x0000_t75" style="width:6.75pt;height:6.75pt;margin-top:0;margin-left:0;mso-position-horizontal:center;position:absolute;z-index:251757568">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59" type="#_x0000_t75" style="width:6.75pt;height:6.75pt;margin-top:0;margin-left:0;mso-position-horizontal:center;position:absolute;z-index:251758592">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60" type="#_x0000_t75" style="width:6.75pt;height:6.75pt;margin-top:0;margin-left:0;mso-position-horizontal:center;position:absolute;z-index:251759616">
                  <v:imagedata r:id="rId3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61" type="#_x0000_t75" style="width:6.75pt;height:6.75pt;margin-top:0;margin-left:0;mso-position-horizontal:center;position:absolute;z-index:251760640">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62" type="#_x0000_t75" style="width:6.75pt;height:6.75pt;margin-top:0;margin-left:0;mso-position-horizontal:center;position:absolute;z-index:251761664">
                  <v:imagedata r:id="rId92" o:title=""/>
                  <o:lock v:ext="edit" aspectratio="t"/>
                  <w10:wrap type="square"/>
                </v:shape>
              </w:pict>
            </w:r>
          </w:p>
        </w:tc>
        <w:tc>
          <w:tcPr>
            <w:tcW w:w="555" w:type="dxa"/>
            <w:tcBorders>
              <w:top w:val="single" w:sz="8" w:space="0" w:color="DBDBDB"/>
              <w:left w:val="single" w:sz="8" w:space="0" w:color="DBDBDB"/>
              <w:bottom w:val="single" w:sz="8"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8"/>
                <w:u w:val="none"/>
              </w:rPr>
            </w:pPr>
          </w:p>
          <w:p>
            <w:pPr>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5D1"/>
                <w:sz w:val="18"/>
                <w:u w:val="none"/>
              </w:rPr>
            </w:pPr>
            <w:r>
              <w:pict>
                <v:shape id="_x0000_s1163" type="#_x0000_t75" style="width:6.75pt;height:6.75pt;margin-top:0;margin-left:0;mso-position-horizontal:center;position:absolute;z-index:251762688">
                  <v:imagedata r:id="rId32" o:title=""/>
                  <o:lock v:ext="edit" aspectratio="t"/>
                  <w10:wrap type="square"/>
                </v:shape>
              </w:pict>
            </w:r>
          </w:p>
        </w:tc>
      </w:tr>
      <w:tr>
        <w:tblPrEx>
          <w:tblW w:w="10260" w:type="dxa"/>
          <w:tblInd w:w="0" w:type="dxa"/>
          <w:tblLayout w:type="fixed"/>
          <w:tblCellMar>
            <w:left w:w="108" w:type="dxa"/>
            <w:right w:w="108" w:type="dxa"/>
          </w:tblCellMar>
        </w:tblPrEx>
        <w:trPr>
          <w:cantSplit/>
          <w:trHeight w:hRule="exact" w:val="435"/>
        </w:trPr>
        <w:tc>
          <w:tcPr>
            <w:tcW w:w="195" w:type="dxa"/>
            <w:tcBorders>
              <w:top w:val="single" w:sz="8" w:space="0" w:color="DBDBDB"/>
              <w:left w:val="nil"/>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3405" w:type="dxa"/>
            <w:tcBorders>
              <w:top w:val="single" w:sz="8" w:space="0" w:color="DBDBDB"/>
              <w:left w:val="nil"/>
              <w:bottom w:val="single" w:sz="8" w:space="0" w:color="DBDBDB"/>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18"/>
                <w:u w:val="none"/>
              </w:rPr>
              <w:t>Two or More Races or Ethnicities</w:t>
            </w: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shd w:val="clear" w:color="auto" w:fill="DBDBDB"/>
            <w:tcMar>
              <w:top w:w="0" w:type="dxa"/>
              <w:left w:w="0" w:type="dxa"/>
              <w:bottom w:w="0" w:type="dxa"/>
              <w:right w:w="0" w:type="dxa"/>
            </w:tcMar>
            <w:vAlign w:val="bottom"/>
          </w:tcPr>
          <w:p>
            <w:pPr>
              <w:keepNext/>
              <w:pageBreakBefore w:val="0"/>
              <w:spacing w:before="0" w:after="0"/>
            </w:pPr>
          </w:p>
        </w:tc>
        <w:tc>
          <w:tcPr>
            <w:tcW w:w="555" w:type="dxa"/>
            <w:tcBorders>
              <w:top w:val="single" w:sz="8" w:space="0" w:color="DBDBDB"/>
              <w:left w:val="single" w:sz="8" w:space="0" w:color="DBDBDB"/>
              <w:bottom w:val="single" w:sz="8" w:space="0" w:color="DBDBDB"/>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435"/>
        </w:trPr>
        <w:tc>
          <w:tcPr>
            <w:tcW w:w="195" w:type="dxa"/>
            <w:tcBorders>
              <w:top w:val="single" w:sz="8" w:space="0" w:color="DBDBDB"/>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3405" w:type="dxa"/>
            <w:tcBorders>
              <w:top w:val="single" w:sz="8" w:space="0" w:color="DBDBDB"/>
              <w:left w:val="nil"/>
              <w:bottom w:val="single" w:sz="12" w:space="0" w:color="4494D1"/>
              <w:right w:val="nil"/>
            </w:tcBorders>
            <w:shd w:val="clear" w:color="auto" w:fill="FFFFFF"/>
            <w:tcMar>
              <w:top w:w="0" w:type="dxa"/>
              <w:left w:w="53" w:type="dxa"/>
              <w:bottom w:w="0" w:type="dxa"/>
              <w:right w:w="53" w:type="dxa"/>
            </w:tcMar>
            <w:vAlign w:val="center"/>
          </w:tcPr>
          <w:p>
            <w:pPr>
              <w:pageBreakBefore w:val="0"/>
              <w:spacing w:before="0" w:after="0" w:line="288" w:lineRule="auto"/>
              <w:ind w:left="90"/>
              <w:jc w:val="left"/>
            </w:pPr>
            <w:r>
              <w:rPr>
                <w:rFonts w:ascii="Arial" w:eastAsia="Arial" w:hAnsi="Arial" w:cs="Arial"/>
                <w:b w:val="0"/>
                <w:i w:val="0"/>
                <w:color w:val="000000"/>
                <w:sz w:val="18"/>
                <w:u w:val="none"/>
              </w:rPr>
              <w:t>LGBTQ+</w:t>
            </w:r>
          </w:p>
        </w:tc>
        <w:tc>
          <w:tcPr>
            <w:tcW w:w="555" w:type="dxa"/>
            <w:tcBorders>
              <w:top w:val="single" w:sz="8" w:space="0" w:color="DBDBDB"/>
              <w:left w:val="single" w:sz="8" w:space="0" w:color="DBDBDB"/>
              <w:bottom w:val="single" w:sz="12" w:space="0" w:color="4494D1"/>
              <w:right w:val="nil"/>
            </w:tcBorders>
            <w:shd w:val="clear" w:color="auto" w:fill="DBDBDB"/>
            <w:tcMar>
              <w:top w:w="0" w:type="dxa"/>
              <w:left w:w="0" w:type="dxa"/>
              <w:bottom w:w="0" w:type="dxa"/>
              <w:right w:w="0" w:type="dxa"/>
            </w:tcMar>
            <w:vAlign w:val="bottom"/>
          </w:tcPr>
          <w:p>
            <w:pPr>
              <w:pageBreakBefore w:val="0"/>
              <w:spacing w:before="0" w:after="0"/>
            </w:pPr>
          </w:p>
        </w:tc>
        <w:tc>
          <w:tcPr>
            <w:tcW w:w="555" w:type="dxa"/>
            <w:tcBorders>
              <w:top w:val="single" w:sz="8" w:space="0" w:color="DBDBDB"/>
              <w:left w:val="single" w:sz="8" w:space="0" w:color="DBDBDB"/>
              <w:bottom w:val="single" w:sz="12" w:space="0" w:color="4494D1"/>
              <w:right w:val="nil"/>
            </w:tcBorders>
            <w:tcMar>
              <w:top w:w="0" w:type="dxa"/>
              <w:left w:w="0" w:type="dxa"/>
              <w:bottom w:w="0" w:type="dxa"/>
              <w:right w:w="0" w:type="dxa"/>
            </w:tcMar>
            <w:vAlign w:val="bottom"/>
          </w:tcPr>
          <w:p>
            <w:pPr>
              <w:pageBreakBefore w:val="0"/>
              <w:spacing w:before="0" w:after="0"/>
            </w:pPr>
          </w:p>
        </w:tc>
        <w:tc>
          <w:tcPr>
            <w:tcW w:w="555" w:type="dxa"/>
            <w:tcBorders>
              <w:top w:val="single" w:sz="8" w:space="0" w:color="DBDBDB"/>
              <w:left w:val="single" w:sz="8" w:space="0" w:color="DBDBDB"/>
              <w:bottom w:val="single" w:sz="12" w:space="0" w:color="4494D1"/>
              <w:right w:val="nil"/>
            </w:tcBorders>
            <w:shd w:val="clear" w:color="auto" w:fill="DBDBDB"/>
            <w:tcMar>
              <w:top w:w="0" w:type="dxa"/>
              <w:left w:w="0" w:type="dxa"/>
              <w:bottom w:w="0" w:type="dxa"/>
              <w:right w:w="0" w:type="dxa"/>
            </w:tcMar>
            <w:vAlign w:val="bottom"/>
          </w:tcPr>
          <w:p>
            <w:pPr>
              <w:pageBreakBefore w:val="0"/>
              <w:spacing w:before="0" w:after="0"/>
            </w:pPr>
          </w:p>
        </w:tc>
        <w:tc>
          <w:tcPr>
            <w:tcW w:w="555" w:type="dxa"/>
            <w:tcBorders>
              <w:top w:val="single" w:sz="8" w:space="0" w:color="DBDBDB"/>
              <w:left w:val="single" w:sz="8" w:space="0" w:color="DBDBDB"/>
              <w:bottom w:val="single" w:sz="12" w:space="0" w:color="4494D1"/>
              <w:right w:val="nil"/>
            </w:tcBorders>
            <w:tcMar>
              <w:top w:w="0" w:type="dxa"/>
              <w:left w:w="0" w:type="dxa"/>
              <w:bottom w:w="0" w:type="dxa"/>
              <w:right w:w="0" w:type="dxa"/>
            </w:tcMar>
            <w:vAlign w:val="bottom"/>
          </w:tcPr>
          <w:p>
            <w:pPr>
              <w:pageBreakBefore w:val="0"/>
              <w:spacing w:before="0" w:after="0"/>
            </w:pPr>
          </w:p>
        </w:tc>
        <w:tc>
          <w:tcPr>
            <w:tcW w:w="555" w:type="dxa"/>
            <w:tcBorders>
              <w:top w:val="single" w:sz="8" w:space="0" w:color="DBDBDB"/>
              <w:left w:val="single" w:sz="8" w:space="0" w:color="DBDBDB"/>
              <w:bottom w:val="single" w:sz="12" w:space="0" w:color="4494D1"/>
              <w:right w:val="nil"/>
            </w:tcBorders>
            <w:shd w:val="clear" w:color="auto" w:fill="DBDBDB"/>
            <w:tcMar>
              <w:top w:w="0" w:type="dxa"/>
              <w:left w:w="0" w:type="dxa"/>
              <w:bottom w:w="0" w:type="dxa"/>
              <w:right w:w="0" w:type="dxa"/>
            </w:tcMar>
            <w:vAlign w:val="bottom"/>
          </w:tcPr>
          <w:p>
            <w:pPr>
              <w:pageBreakBefore w:val="0"/>
              <w:spacing w:before="0" w:after="0"/>
            </w:pPr>
          </w:p>
        </w:tc>
        <w:tc>
          <w:tcPr>
            <w:tcW w:w="555" w:type="dxa"/>
            <w:tcBorders>
              <w:top w:val="single" w:sz="8" w:space="0" w:color="DBDBDB"/>
              <w:left w:val="single" w:sz="8" w:space="0" w:color="DBDBDB"/>
              <w:bottom w:val="single" w:sz="12" w:space="0" w:color="4494D1"/>
              <w:right w:val="nil"/>
            </w:tcBorders>
            <w:tcMar>
              <w:top w:w="0" w:type="dxa"/>
              <w:left w:w="0" w:type="dxa"/>
              <w:bottom w:w="0" w:type="dxa"/>
              <w:right w:w="0" w:type="dxa"/>
            </w:tcMar>
            <w:vAlign w:val="bottom"/>
          </w:tcPr>
          <w:p>
            <w:pPr>
              <w:pageBreakBefore w:val="0"/>
              <w:spacing w:before="0" w:after="0"/>
            </w:pPr>
          </w:p>
        </w:tc>
        <w:tc>
          <w:tcPr>
            <w:tcW w:w="555" w:type="dxa"/>
            <w:tcBorders>
              <w:top w:val="single" w:sz="8" w:space="0" w:color="DBDBDB"/>
              <w:left w:val="single" w:sz="8" w:space="0" w:color="DBDBDB"/>
              <w:bottom w:val="single" w:sz="12" w:space="0" w:color="4494D1"/>
              <w:right w:val="nil"/>
            </w:tcBorders>
            <w:shd w:val="clear" w:color="auto" w:fill="DBDBDB"/>
            <w:tcMar>
              <w:top w:w="0" w:type="dxa"/>
              <w:left w:w="0" w:type="dxa"/>
              <w:bottom w:w="0" w:type="dxa"/>
              <w:right w:w="0" w:type="dxa"/>
            </w:tcMar>
            <w:vAlign w:val="bottom"/>
          </w:tcPr>
          <w:p>
            <w:pPr>
              <w:pageBreakBefore w:val="0"/>
              <w:spacing w:before="0" w:after="0"/>
            </w:pPr>
          </w:p>
        </w:tc>
        <w:tc>
          <w:tcPr>
            <w:tcW w:w="555" w:type="dxa"/>
            <w:tcBorders>
              <w:top w:val="single" w:sz="8" w:space="0" w:color="DBDBDB"/>
              <w:left w:val="single" w:sz="8" w:space="0" w:color="DBDBDB"/>
              <w:bottom w:val="single" w:sz="12" w:space="0" w:color="4494D1"/>
              <w:right w:val="nil"/>
            </w:tcBorders>
            <w:tcMar>
              <w:top w:w="0" w:type="dxa"/>
              <w:left w:w="0" w:type="dxa"/>
              <w:bottom w:w="0" w:type="dxa"/>
              <w:right w:w="0" w:type="dxa"/>
            </w:tcMar>
            <w:vAlign w:val="bottom"/>
          </w:tcPr>
          <w:p>
            <w:pPr>
              <w:pageBreakBefore w:val="0"/>
              <w:spacing w:before="0" w:after="0"/>
            </w:pPr>
          </w:p>
        </w:tc>
        <w:tc>
          <w:tcPr>
            <w:tcW w:w="555" w:type="dxa"/>
            <w:tcBorders>
              <w:top w:val="single" w:sz="8" w:space="0" w:color="DBDBDB"/>
              <w:left w:val="single" w:sz="8" w:space="0" w:color="DBDBDB"/>
              <w:bottom w:val="single" w:sz="12" w:space="0" w:color="4494D1"/>
              <w:right w:val="nil"/>
            </w:tcBorders>
            <w:shd w:val="clear" w:color="auto" w:fill="DBDBDB"/>
            <w:tcMar>
              <w:top w:w="0" w:type="dxa"/>
              <w:left w:w="0" w:type="dxa"/>
              <w:bottom w:w="0" w:type="dxa"/>
              <w:right w:w="0" w:type="dxa"/>
            </w:tcMar>
            <w:vAlign w:val="bottom"/>
          </w:tcPr>
          <w:p>
            <w:pPr>
              <w:pageBreakBefore w:val="0"/>
              <w:spacing w:before="0" w:after="0"/>
            </w:pPr>
          </w:p>
        </w:tc>
        <w:tc>
          <w:tcPr>
            <w:tcW w:w="555" w:type="dxa"/>
            <w:tcBorders>
              <w:top w:val="single" w:sz="8" w:space="0" w:color="DBDBDB"/>
              <w:left w:val="single" w:sz="8" w:space="0" w:color="DBDBDB"/>
              <w:bottom w:val="single" w:sz="12" w:space="0" w:color="4494D1"/>
              <w:right w:val="nil"/>
            </w:tcBorders>
            <w:tcMar>
              <w:top w:w="0" w:type="dxa"/>
              <w:left w:w="0" w:type="dxa"/>
              <w:bottom w:w="0" w:type="dxa"/>
              <w:right w:w="0" w:type="dxa"/>
            </w:tcMar>
            <w:vAlign w:val="bottom"/>
          </w:tcPr>
          <w:p>
            <w:pPr>
              <w:pageBreakBefore w:val="0"/>
              <w:spacing w:before="0" w:after="0"/>
            </w:pPr>
          </w:p>
        </w:tc>
        <w:tc>
          <w:tcPr>
            <w:tcW w:w="555" w:type="dxa"/>
            <w:tcBorders>
              <w:top w:val="single" w:sz="8" w:space="0" w:color="DBDBDB"/>
              <w:left w:val="single" w:sz="8" w:space="0" w:color="DBDBDB"/>
              <w:bottom w:val="single" w:sz="12" w:space="0" w:color="4494D1"/>
              <w:right w:val="nil"/>
            </w:tcBorders>
            <w:shd w:val="clear" w:color="auto" w:fill="DBDBDB"/>
            <w:tcMar>
              <w:top w:w="0" w:type="dxa"/>
              <w:left w:w="0" w:type="dxa"/>
              <w:bottom w:w="0" w:type="dxa"/>
              <w:right w:w="0" w:type="dxa"/>
            </w:tcMar>
            <w:vAlign w:val="bottom"/>
          </w:tcPr>
          <w:p>
            <w:pPr>
              <w:pageBreakBefore w:val="0"/>
              <w:spacing w:before="0" w:after="0"/>
            </w:pPr>
          </w:p>
        </w:tc>
        <w:tc>
          <w:tcPr>
            <w:tcW w:w="555" w:type="dxa"/>
            <w:tcBorders>
              <w:top w:val="single" w:sz="8" w:space="0" w:color="DBDBDB"/>
              <w:left w:val="single" w:sz="8" w:space="0" w:color="DBDBDB"/>
              <w:bottom w:val="single" w:sz="12" w:space="0" w:color="4494D1"/>
              <w:right w:val="nil"/>
            </w:tcBorders>
            <w:tcMar>
              <w:top w:w="0" w:type="dxa"/>
              <w:left w:w="0" w:type="dxa"/>
              <w:bottom w:w="0" w:type="dxa"/>
              <w:right w:w="0" w:type="dxa"/>
            </w:tcMar>
            <w:vAlign w:val="bottom"/>
          </w:tcPr>
          <w:p>
            <w:pPr>
              <w:pageBreakBefore w:val="0"/>
              <w:spacing w:before="0" w:after="0"/>
            </w:pPr>
          </w:p>
        </w:tc>
      </w:tr>
    </w:tbl>
    <w:p>
      <w:pPr>
        <w:keepNext/>
        <w:keepLines w:val="0"/>
        <w:pageBreakBefore w:val="0"/>
        <w:widowControl/>
        <w:numPr>
          <w:ilvl w:val="0"/>
          <w:numId w:val="0"/>
        </w:numPr>
        <w:spacing w:before="120" w:after="60" w:line="288" w:lineRule="auto"/>
        <w:ind w:left="0" w:right="0" w:firstLine="0"/>
        <w:jc w:val="both"/>
        <w:outlineLvl w:val="9"/>
        <w:rPr>
          <w:rFonts w:ascii="Arial" w:eastAsia="Arial" w:hAnsi="Arial" w:cs="Arial"/>
          <w:b/>
          <w:i w:val="0"/>
          <w:color w:val="171449"/>
          <w:sz w:val="24"/>
          <w:u w:val="none"/>
        </w:rPr>
      </w:pP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60"/>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080"/>
          <w:jc w:val="left"/>
        </w:trPr>
        <w:tc>
          <w:tcPr>
            <w:tcW w:w="10260" w:type="dxa"/>
            <w:tcBorders>
              <w:top w:val="single" w:sz="12" w:space="0" w:color="4494D1"/>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0" w:line="336" w:lineRule="auto"/>
              <w:ind w:left="0" w:right="0" w:firstLine="90"/>
              <w:jc w:val="both"/>
              <w:outlineLvl w:val="9"/>
              <w:rPr>
                <w:rFonts w:ascii="Arial" w:eastAsia="Arial" w:hAnsi="Arial" w:cs="Arial"/>
                <w:b/>
                <w:i w:val="0"/>
                <w:color w:val="4494D1"/>
                <w:sz w:val="18"/>
                <w:u w:val="none"/>
              </w:rPr>
            </w:pPr>
            <w:r>
              <w:rPr>
                <w:rFonts w:ascii="Arial" w:eastAsia="Arial" w:hAnsi="Arial" w:cs="Arial"/>
                <w:b/>
                <w:i w:val="0"/>
                <w:color w:val="4494D1"/>
                <w:sz w:val="18"/>
                <w:u w:val="none"/>
              </w:rPr>
              <w:t>Extensive Insurance Industry Experience</w:t>
            </w:r>
          </w:p>
          <w:p>
            <w:pPr>
              <w:pageBreakBefore w:val="0"/>
              <w:numPr>
                <w:ilvl w:val="0"/>
                <w:numId w:val="0"/>
              </w:numPr>
              <w:spacing w:before="0" w:after="0" w:line="300" w:lineRule="auto"/>
              <w:ind w:left="90" w:right="90" w:firstLine="0"/>
              <w:jc w:val="both"/>
              <w:outlineLvl w:val="9"/>
              <w:rPr>
                <w:rFonts w:ascii="Arial" w:eastAsia="Arial" w:hAnsi="Arial" w:cs="Arial"/>
                <w:b w:val="0"/>
                <w:i w:val="0"/>
                <w:sz w:val="18"/>
              </w:rPr>
            </w:pPr>
            <w:r>
              <w:rPr>
                <w:rFonts w:ascii="Arial" w:eastAsia="Arial" w:hAnsi="Arial" w:cs="Arial"/>
                <w:b/>
                <w:i w:val="0"/>
                <w:sz w:val="18"/>
              </w:rPr>
              <w:t xml:space="preserve">Extensive experience within the insurance industry including in executive, director or other leadership roles at major insurance institutions. </w:t>
            </w:r>
            <w:r>
              <w:rPr>
                <w:rFonts w:ascii="Arial" w:eastAsia="Arial" w:hAnsi="Arial" w:cs="Arial"/>
                <w:b w:val="0"/>
                <w:i w:val="0"/>
                <w:sz w:val="18"/>
              </w:rPr>
              <w:t>Our Board believes representation of this experience is important as our business is a specialized global enterprise operating within a complex and highly regulated industry.</w:t>
            </w:r>
          </w:p>
        </w:tc>
      </w:tr>
      <w:tr>
        <w:tblPrEx>
          <w:tblW w:w="10260" w:type="dxa"/>
          <w:jc w:val="left"/>
          <w:tblInd w:w="0" w:type="dxa"/>
          <w:tblLayout w:type="fixed"/>
          <w:tblCellMar>
            <w:left w:w="108" w:type="dxa"/>
            <w:right w:w="108" w:type="dxa"/>
          </w:tblCellMar>
        </w:tblPrEx>
        <w:trPr>
          <w:cantSplit/>
          <w:trHeight w:hRule="exact" w:val="1305"/>
          <w:jc w:val="left"/>
        </w:trPr>
        <w:tc>
          <w:tcPr>
            <w:tcW w:w="10260" w:type="dxa"/>
            <w:tcBorders>
              <w:top w:val="nil"/>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0" w:line="336" w:lineRule="auto"/>
              <w:ind w:left="0" w:right="0" w:firstLine="90"/>
              <w:jc w:val="both"/>
              <w:outlineLvl w:val="9"/>
              <w:rPr>
                <w:rFonts w:ascii="Arial" w:eastAsia="Arial" w:hAnsi="Arial" w:cs="Arial"/>
                <w:b/>
                <w:i w:val="0"/>
                <w:color w:val="4494D1"/>
                <w:sz w:val="18"/>
                <w:u w:val="none"/>
              </w:rPr>
            </w:pPr>
            <w:r>
              <w:rPr>
                <w:rFonts w:ascii="Arial" w:eastAsia="Arial" w:hAnsi="Arial" w:cs="Arial"/>
                <w:b/>
                <w:i w:val="0"/>
                <w:color w:val="4494D1"/>
                <w:sz w:val="18"/>
                <w:u w:val="none"/>
              </w:rPr>
              <w:t>Risk Management</w:t>
            </w:r>
          </w:p>
          <w:p>
            <w:pPr>
              <w:pageBreakBefore w:val="0"/>
              <w:numPr>
                <w:ilvl w:val="0"/>
                <w:numId w:val="0"/>
              </w:numPr>
              <w:spacing w:before="0" w:after="0" w:line="300" w:lineRule="auto"/>
              <w:ind w:left="90" w:right="90" w:firstLine="0"/>
              <w:jc w:val="both"/>
              <w:outlineLvl w:val="9"/>
              <w:rPr>
                <w:rFonts w:ascii="Arial" w:eastAsia="Arial" w:hAnsi="Arial" w:cs="Arial"/>
                <w:b w:val="0"/>
                <w:i w:val="0"/>
                <w:sz w:val="18"/>
              </w:rPr>
            </w:pPr>
            <w:r>
              <w:rPr>
                <w:rFonts w:ascii="Arial" w:eastAsia="Arial" w:hAnsi="Arial" w:cs="Arial"/>
                <w:b/>
                <w:i w:val="0"/>
                <w:sz w:val="18"/>
              </w:rPr>
              <w:t xml:space="preserve">Experience related to establishing risk appetite levels and risk management processes for operations, acquisitions, underwriting, and investment portfolios. </w:t>
            </w:r>
            <w:r>
              <w:rPr>
                <w:rFonts w:ascii="Arial" w:eastAsia="Arial" w:hAnsi="Arial" w:cs="Arial"/>
                <w:b w:val="0"/>
                <w:i w:val="0"/>
                <w:sz w:val="18"/>
              </w:rPr>
              <w:t>Our Board believes representation of this skill is important as the Board is responsible for overseeing the various risks facing the Company and ensuring that appropriate policies and procedures are in place to effectively manage risk.</w:t>
            </w:r>
          </w:p>
        </w:tc>
      </w:tr>
      <w:tr>
        <w:tblPrEx>
          <w:tblW w:w="10260" w:type="dxa"/>
          <w:jc w:val="left"/>
          <w:tblInd w:w="0" w:type="dxa"/>
          <w:tblLayout w:type="fixed"/>
          <w:tblCellMar>
            <w:left w:w="108" w:type="dxa"/>
            <w:right w:w="108" w:type="dxa"/>
          </w:tblCellMar>
        </w:tblPrEx>
        <w:trPr>
          <w:cantSplit/>
          <w:trHeight w:hRule="exact" w:val="1335"/>
          <w:jc w:val="left"/>
        </w:trPr>
        <w:tc>
          <w:tcPr>
            <w:tcW w:w="10260" w:type="dxa"/>
            <w:tcBorders>
              <w:top w:val="nil"/>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0" w:line="336" w:lineRule="auto"/>
              <w:ind w:left="0" w:right="0" w:firstLine="90"/>
              <w:jc w:val="both"/>
              <w:outlineLvl w:val="9"/>
              <w:rPr>
                <w:rFonts w:ascii="Arial" w:eastAsia="Arial" w:hAnsi="Arial" w:cs="Arial"/>
                <w:b/>
                <w:i w:val="0"/>
                <w:color w:val="4494D1"/>
                <w:sz w:val="18"/>
                <w:u w:val="none"/>
              </w:rPr>
            </w:pPr>
            <w:r>
              <w:rPr>
                <w:rFonts w:ascii="Arial" w:eastAsia="Arial" w:hAnsi="Arial" w:cs="Arial"/>
                <w:b/>
                <w:i w:val="0"/>
                <w:color w:val="4494D1"/>
                <w:sz w:val="18"/>
                <w:u w:val="none"/>
              </w:rPr>
              <w:t>Finance and Accounting</w:t>
            </w:r>
          </w:p>
          <w:p>
            <w:pPr>
              <w:pageBreakBefore w:val="0"/>
              <w:numPr>
                <w:ilvl w:val="0"/>
                <w:numId w:val="0"/>
              </w:numPr>
              <w:spacing w:before="0" w:after="0" w:line="300" w:lineRule="auto"/>
              <w:ind w:left="90" w:right="90" w:firstLine="0"/>
              <w:jc w:val="both"/>
              <w:outlineLvl w:val="9"/>
              <w:rPr>
                <w:rFonts w:ascii="Arial" w:eastAsia="Arial" w:hAnsi="Arial" w:cs="Arial"/>
                <w:b w:val="0"/>
                <w:i w:val="0"/>
                <w:sz w:val="18"/>
              </w:rPr>
            </w:pPr>
            <w:r>
              <w:rPr>
                <w:rFonts w:ascii="Arial" w:eastAsia="Arial" w:hAnsi="Arial" w:cs="Arial"/>
                <w:b/>
                <w:i w:val="0"/>
                <w:sz w:val="18"/>
              </w:rPr>
              <w:t xml:space="preserve">Experience related to developing and understanding finance and capital management needs in line with corporate strategies, as well as financial reporting, audit and actuarial-related expertise. </w:t>
            </w:r>
            <w:r>
              <w:rPr>
                <w:rFonts w:ascii="Arial" w:eastAsia="Arial" w:hAnsi="Arial" w:cs="Arial"/>
                <w:b w:val="0"/>
                <w:i w:val="0"/>
                <w:sz w:val="18"/>
              </w:rPr>
              <w:t>Our Board believes representation of this skill is important as the Company’s business is multifaceted and involves complex financial and insurance transactions in many countries subject to various regulatory prudential standards.</w:t>
            </w:r>
          </w:p>
        </w:tc>
      </w:tr>
      <w:tr>
        <w:tblPrEx>
          <w:tblW w:w="10260" w:type="dxa"/>
          <w:jc w:val="left"/>
          <w:tblInd w:w="0" w:type="dxa"/>
          <w:tblLayout w:type="fixed"/>
          <w:tblCellMar>
            <w:left w:w="108" w:type="dxa"/>
            <w:right w:w="108" w:type="dxa"/>
          </w:tblCellMar>
        </w:tblPrEx>
        <w:trPr>
          <w:cantSplit/>
          <w:trHeight w:hRule="exact" w:val="1095"/>
          <w:jc w:val="left"/>
        </w:trPr>
        <w:tc>
          <w:tcPr>
            <w:tcW w:w="10260" w:type="dxa"/>
            <w:tcBorders>
              <w:top w:val="nil"/>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0" w:line="336" w:lineRule="auto"/>
              <w:ind w:left="0" w:right="0" w:firstLine="90"/>
              <w:jc w:val="both"/>
              <w:outlineLvl w:val="9"/>
              <w:rPr>
                <w:rFonts w:ascii="Arial" w:eastAsia="Arial" w:hAnsi="Arial" w:cs="Arial"/>
                <w:b/>
                <w:i w:val="0"/>
                <w:color w:val="4494D1"/>
                <w:sz w:val="18"/>
                <w:u w:val="none"/>
              </w:rPr>
            </w:pPr>
            <w:r>
              <w:rPr>
                <w:rFonts w:ascii="Arial" w:eastAsia="Arial" w:hAnsi="Arial" w:cs="Arial"/>
                <w:b/>
                <w:i w:val="0"/>
                <w:color w:val="4494D1"/>
                <w:sz w:val="18"/>
                <w:u w:val="none"/>
              </w:rPr>
              <w:t>Investment</w:t>
            </w:r>
          </w:p>
          <w:p>
            <w:pPr>
              <w:pageBreakBefore w:val="0"/>
              <w:numPr>
                <w:ilvl w:val="0"/>
                <w:numId w:val="0"/>
              </w:numPr>
              <w:spacing w:before="0" w:after="0" w:line="300" w:lineRule="auto"/>
              <w:ind w:left="90" w:right="90" w:firstLine="0"/>
              <w:jc w:val="both"/>
              <w:outlineLvl w:val="9"/>
              <w:rPr>
                <w:rFonts w:ascii="Arial" w:eastAsia="Arial" w:hAnsi="Arial" w:cs="Arial"/>
                <w:b w:val="0"/>
                <w:i w:val="0"/>
                <w:sz w:val="18"/>
              </w:rPr>
            </w:pPr>
            <w:r>
              <w:rPr>
                <w:rFonts w:ascii="Arial" w:eastAsia="Arial" w:hAnsi="Arial" w:cs="Arial"/>
                <w:b/>
                <w:i w:val="0"/>
                <w:sz w:val="18"/>
              </w:rPr>
              <w:t>Expertise related to assessing large and complex investment portfolios and determining investment strategies in line with delineated risk appetites.</w:t>
            </w:r>
            <w:r>
              <w:rPr>
                <w:rFonts w:ascii="Arial" w:eastAsia="Arial" w:hAnsi="Arial" w:cs="Arial"/>
                <w:b/>
                <w:i w:val="0"/>
                <w:color w:val="4494D1"/>
                <w:sz w:val="18"/>
                <w:u w:val="none"/>
              </w:rPr>
              <w:t xml:space="preserve"> </w:t>
            </w:r>
            <w:r>
              <w:rPr>
                <w:rFonts w:ascii="Arial" w:eastAsia="Arial" w:hAnsi="Arial" w:cs="Arial"/>
                <w:b w:val="0"/>
                <w:i w:val="0"/>
                <w:sz w:val="18"/>
              </w:rPr>
              <w:t>Our Board believes representation of this skill is important as the Company’s investment portfolio continues to grow in size and complexity, with investable assets totaling $1</w:t>
            </w:r>
            <w:r>
              <w:rPr>
                <w:rFonts w:ascii="Arial" w:eastAsia="Arial" w:hAnsi="Arial" w:cs="Arial"/>
                <w:b w:val="0"/>
                <w:i w:val="0"/>
                <w:sz w:val="18"/>
              </w:rPr>
              <w:t>8</w:t>
            </w:r>
            <w:r>
              <w:rPr>
                <w:rFonts w:ascii="Arial" w:eastAsia="Arial" w:hAnsi="Arial" w:cs="Arial"/>
                <w:b w:val="0"/>
                <w:i w:val="0"/>
                <w:sz w:val="18"/>
              </w:rPr>
              <w:t>.5 billion as of December 31, 202</w:t>
            </w:r>
            <w:r>
              <w:rPr>
                <w:rFonts w:ascii="Arial" w:eastAsia="Arial" w:hAnsi="Arial" w:cs="Arial"/>
                <w:b w:val="0"/>
                <w:i w:val="0"/>
                <w:sz w:val="18"/>
              </w:rPr>
              <w:t>3</w:t>
            </w:r>
            <w:r>
              <w:rPr>
                <w:rFonts w:ascii="Arial" w:eastAsia="Arial" w:hAnsi="Arial" w:cs="Arial"/>
                <w:b w:val="0"/>
                <w:i w:val="0"/>
                <w:sz w:val="18"/>
              </w:rPr>
              <w:t>.</w:t>
            </w:r>
          </w:p>
        </w:tc>
      </w:tr>
      <w:tr>
        <w:tblPrEx>
          <w:tblW w:w="10260" w:type="dxa"/>
          <w:jc w:val="left"/>
          <w:tblInd w:w="0" w:type="dxa"/>
          <w:tblLayout w:type="fixed"/>
          <w:tblCellMar>
            <w:left w:w="108" w:type="dxa"/>
            <w:right w:w="108" w:type="dxa"/>
          </w:tblCellMar>
        </w:tblPrEx>
        <w:trPr>
          <w:cantSplit/>
          <w:trHeight w:hRule="exact" w:val="1320"/>
          <w:jc w:val="left"/>
        </w:trPr>
        <w:tc>
          <w:tcPr>
            <w:tcW w:w="10260" w:type="dxa"/>
            <w:tcBorders>
              <w:top w:val="nil"/>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0" w:line="336" w:lineRule="auto"/>
              <w:ind w:left="0" w:right="0" w:firstLine="90"/>
              <w:jc w:val="both"/>
              <w:outlineLvl w:val="9"/>
              <w:rPr>
                <w:rFonts w:ascii="Arial" w:eastAsia="Arial" w:hAnsi="Arial" w:cs="Arial"/>
                <w:b/>
                <w:i w:val="0"/>
                <w:color w:val="4494D1"/>
                <w:sz w:val="18"/>
                <w:u w:val="none"/>
              </w:rPr>
            </w:pPr>
            <w:r>
              <w:rPr>
                <w:rFonts w:ascii="Arial" w:eastAsia="Arial" w:hAnsi="Arial" w:cs="Arial"/>
                <w:b/>
                <w:i w:val="0"/>
                <w:color w:val="4494D1"/>
                <w:sz w:val="18"/>
                <w:u w:val="none"/>
              </w:rPr>
              <w:t>Strategy</w:t>
            </w:r>
          </w:p>
          <w:p>
            <w:pPr>
              <w:pageBreakBefore w:val="0"/>
              <w:numPr>
                <w:ilvl w:val="0"/>
                <w:numId w:val="0"/>
              </w:numPr>
              <w:spacing w:before="0" w:after="0" w:line="300" w:lineRule="auto"/>
              <w:ind w:left="90" w:right="90" w:firstLine="0"/>
              <w:jc w:val="both"/>
              <w:outlineLvl w:val="9"/>
              <w:rPr>
                <w:rFonts w:ascii="Arial" w:eastAsia="Arial" w:hAnsi="Arial" w:cs="Arial"/>
                <w:b w:val="0"/>
                <w:i w:val="0"/>
                <w:sz w:val="18"/>
              </w:rPr>
            </w:pPr>
            <w:r>
              <w:rPr>
                <w:rFonts w:ascii="Arial" w:eastAsia="Arial" w:hAnsi="Arial" w:cs="Arial"/>
                <w:b/>
                <w:i w:val="0"/>
                <w:sz w:val="18"/>
              </w:rPr>
              <w:t xml:space="preserve">Experience challenging management on setting and/or adjusting business strategies, including acquisitions, divestitures, operations, and investments. </w:t>
            </w:r>
            <w:r>
              <w:rPr>
                <w:rFonts w:ascii="Arial" w:eastAsia="Arial" w:hAnsi="Arial" w:cs="Arial"/>
                <w:b w:val="0"/>
                <w:i w:val="0"/>
                <w:sz w:val="18"/>
              </w:rPr>
              <w:t>Our Board believes representation of this skill is important as the Company’s long-term success is dependent on setting and executing a responsible corporate strategy and the continuous review of strategic transactions.</w:t>
            </w:r>
          </w:p>
        </w:tc>
      </w:tr>
      <w:tr>
        <w:tblPrEx>
          <w:tblW w:w="10260" w:type="dxa"/>
          <w:jc w:val="left"/>
          <w:tblInd w:w="0" w:type="dxa"/>
          <w:tblLayout w:type="fixed"/>
          <w:tblCellMar>
            <w:left w:w="108" w:type="dxa"/>
            <w:right w:w="108" w:type="dxa"/>
          </w:tblCellMar>
        </w:tblPrEx>
        <w:trPr>
          <w:cantSplit/>
          <w:trHeight w:hRule="exact" w:val="1575"/>
          <w:jc w:val="left"/>
        </w:trPr>
        <w:tc>
          <w:tcPr>
            <w:tcW w:w="10260" w:type="dxa"/>
            <w:tcBorders>
              <w:top w:val="nil"/>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0" w:line="336" w:lineRule="auto"/>
              <w:ind w:left="0" w:right="0" w:firstLine="90"/>
              <w:jc w:val="both"/>
              <w:outlineLvl w:val="9"/>
              <w:rPr>
                <w:rFonts w:ascii="Arial" w:eastAsia="Arial" w:hAnsi="Arial" w:cs="Arial"/>
                <w:b/>
                <w:i w:val="0"/>
                <w:color w:val="4494D1"/>
                <w:sz w:val="18"/>
                <w:u w:val="none"/>
              </w:rPr>
            </w:pPr>
            <w:r>
              <w:rPr>
                <w:rFonts w:ascii="Arial" w:eastAsia="Arial" w:hAnsi="Arial" w:cs="Arial"/>
                <w:b/>
                <w:i w:val="0"/>
                <w:color w:val="4494D1"/>
                <w:sz w:val="18"/>
                <w:u w:val="none"/>
              </w:rPr>
              <w:t>Corporate Governance</w:t>
            </w:r>
          </w:p>
          <w:p>
            <w:pPr>
              <w:pageBreakBefore w:val="0"/>
              <w:numPr>
                <w:ilvl w:val="0"/>
                <w:numId w:val="0"/>
              </w:numPr>
              <w:spacing w:before="0" w:after="0" w:line="300" w:lineRule="auto"/>
              <w:ind w:left="90" w:right="90" w:firstLine="0"/>
              <w:jc w:val="both"/>
              <w:outlineLvl w:val="9"/>
              <w:rPr>
                <w:rFonts w:ascii="Arial" w:eastAsia="Arial" w:hAnsi="Arial" w:cs="Arial"/>
                <w:b w:val="0"/>
                <w:i w:val="0"/>
                <w:sz w:val="18"/>
              </w:rPr>
            </w:pPr>
            <w:r>
              <w:rPr>
                <w:rFonts w:ascii="Arial" w:eastAsia="Arial" w:hAnsi="Arial" w:cs="Arial"/>
                <w:b/>
                <w:i w:val="0"/>
                <w:sz w:val="18"/>
              </w:rPr>
              <w:t xml:space="preserve">A practical understanding of developing and championing governance procedures and protections that drive Board and management accountability and protection of shareholder interests, including ESG knowledge and advocacy. </w:t>
            </w:r>
            <w:r>
              <w:rPr>
                <w:rFonts w:ascii="Arial" w:eastAsia="Arial" w:hAnsi="Arial" w:cs="Arial"/>
                <w:b w:val="0"/>
                <w:i w:val="0"/>
                <w:sz w:val="18"/>
              </w:rPr>
              <w:t>Our Board believes representation of this skill is important as the size, nature and complexity of the Company's business presents both opportunities and challenges to advancing our sustainability initiatives, and requires an appropriately designed corporate governance framework to protect the interests of the Company's stakeholders.</w:t>
            </w:r>
          </w:p>
        </w:tc>
      </w:tr>
      <w:tr>
        <w:tblPrEx>
          <w:tblW w:w="10260" w:type="dxa"/>
          <w:jc w:val="left"/>
          <w:tblInd w:w="0" w:type="dxa"/>
          <w:tblLayout w:type="fixed"/>
          <w:tblCellMar>
            <w:left w:w="108" w:type="dxa"/>
            <w:right w:w="108" w:type="dxa"/>
          </w:tblCellMar>
        </w:tblPrEx>
        <w:trPr>
          <w:cantSplit/>
          <w:trHeight w:hRule="exact" w:val="1320"/>
          <w:jc w:val="left"/>
        </w:trPr>
        <w:tc>
          <w:tcPr>
            <w:tcW w:w="10260" w:type="dxa"/>
            <w:tcBorders>
              <w:top w:val="nil"/>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0" w:line="336" w:lineRule="auto"/>
              <w:ind w:left="0" w:right="0" w:firstLine="90"/>
              <w:jc w:val="both"/>
              <w:outlineLvl w:val="9"/>
              <w:rPr>
                <w:rFonts w:ascii="Arial" w:eastAsia="Arial" w:hAnsi="Arial" w:cs="Arial"/>
                <w:b/>
                <w:i w:val="0"/>
                <w:color w:val="4494D1"/>
                <w:sz w:val="18"/>
                <w:u w:val="none"/>
              </w:rPr>
            </w:pPr>
            <w:r>
              <w:rPr>
                <w:rFonts w:ascii="Arial" w:eastAsia="Arial" w:hAnsi="Arial" w:cs="Arial"/>
                <w:b/>
                <w:i w:val="0"/>
                <w:color w:val="4494D1"/>
                <w:sz w:val="18"/>
                <w:u w:val="none"/>
              </w:rPr>
              <w:t>Regulatory and Government</w:t>
            </w:r>
          </w:p>
          <w:p>
            <w:pPr>
              <w:pageBreakBefore w:val="0"/>
              <w:numPr>
                <w:ilvl w:val="0"/>
                <w:numId w:val="0"/>
              </w:numPr>
              <w:spacing w:before="0" w:after="0" w:line="300" w:lineRule="auto"/>
              <w:ind w:left="90" w:right="90" w:firstLine="0"/>
              <w:jc w:val="both"/>
              <w:outlineLvl w:val="9"/>
              <w:rPr>
                <w:rFonts w:ascii="Arial" w:eastAsia="Arial" w:hAnsi="Arial" w:cs="Arial"/>
                <w:b w:val="0"/>
                <w:i w:val="0"/>
                <w:sz w:val="18"/>
              </w:rPr>
            </w:pPr>
            <w:r>
              <w:rPr>
                <w:rFonts w:ascii="Arial" w:eastAsia="Arial" w:hAnsi="Arial" w:cs="Arial"/>
                <w:b/>
                <w:i w:val="0"/>
                <w:sz w:val="18"/>
              </w:rPr>
              <w:t xml:space="preserve">A deep understanding of the highly regulated environment in which we operate, and the ever-changing regulations and requirements that govern our operations and shape our future strategies. </w:t>
            </w:r>
            <w:r>
              <w:rPr>
                <w:rFonts w:ascii="Arial" w:eastAsia="Arial" w:hAnsi="Arial" w:cs="Arial"/>
                <w:b w:val="0"/>
                <w:i w:val="0"/>
                <w:sz w:val="18"/>
              </w:rPr>
              <w:t>Our Board believes representation of this skill is important as the Company’s business requires compliance with a variety of regulatory requirements across a number of countries and the ability to maintain relationships with various governmental entities and regulators.</w:t>
            </w:r>
          </w:p>
        </w:tc>
      </w:tr>
      <w:tr>
        <w:tblPrEx>
          <w:tblW w:w="10260" w:type="dxa"/>
          <w:jc w:val="left"/>
          <w:tblInd w:w="0" w:type="dxa"/>
          <w:tblLayout w:type="fixed"/>
          <w:tblCellMar>
            <w:left w:w="108" w:type="dxa"/>
            <w:right w:w="108" w:type="dxa"/>
          </w:tblCellMar>
        </w:tblPrEx>
        <w:trPr>
          <w:cantSplit/>
          <w:trHeight w:hRule="exact" w:val="1545"/>
          <w:jc w:val="left"/>
        </w:trPr>
        <w:tc>
          <w:tcPr>
            <w:tcW w:w="10260" w:type="dxa"/>
            <w:tcBorders>
              <w:top w:val="nil"/>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0" w:line="336" w:lineRule="auto"/>
              <w:ind w:left="0" w:right="0" w:firstLine="90"/>
              <w:jc w:val="both"/>
              <w:outlineLvl w:val="9"/>
              <w:rPr>
                <w:rFonts w:ascii="Arial" w:eastAsia="Arial" w:hAnsi="Arial" w:cs="Arial"/>
                <w:b/>
                <w:i w:val="0"/>
                <w:color w:val="4494D1"/>
                <w:sz w:val="18"/>
                <w:u w:val="none"/>
              </w:rPr>
            </w:pPr>
            <w:r>
              <w:rPr>
                <w:rFonts w:ascii="Arial" w:eastAsia="Arial" w:hAnsi="Arial" w:cs="Arial"/>
                <w:b/>
                <w:i w:val="0"/>
                <w:color w:val="4494D1"/>
                <w:sz w:val="18"/>
                <w:u w:val="none"/>
              </w:rPr>
              <w:t>Business Operations and Technology</w:t>
            </w:r>
          </w:p>
          <w:p>
            <w:pPr>
              <w:pageBreakBefore w:val="0"/>
              <w:numPr>
                <w:ilvl w:val="0"/>
                <w:numId w:val="0"/>
              </w:numPr>
              <w:spacing w:before="0" w:after="0" w:line="300" w:lineRule="auto"/>
              <w:ind w:left="90" w:right="90" w:firstLine="0"/>
              <w:jc w:val="both"/>
              <w:outlineLvl w:val="9"/>
              <w:rPr>
                <w:rFonts w:ascii="Arial" w:eastAsia="Arial" w:hAnsi="Arial" w:cs="Arial"/>
                <w:b w:val="0"/>
                <w:i w:val="0"/>
                <w:sz w:val="18"/>
              </w:rPr>
            </w:pPr>
            <w:r>
              <w:rPr>
                <w:rFonts w:ascii="Arial" w:eastAsia="Arial" w:hAnsi="Arial" w:cs="Arial"/>
                <w:b/>
                <w:i w:val="0"/>
                <w:sz w:val="18"/>
              </w:rPr>
              <w:t xml:space="preserve">A practical understanding of developing, implementing, and assessing business operations, processes, information systems, technology and associated risks, including information security and cybersecurity. </w:t>
            </w:r>
            <w:r>
              <w:rPr>
                <w:rFonts w:ascii="Arial" w:eastAsia="Arial" w:hAnsi="Arial" w:cs="Arial"/>
                <w:b w:val="0"/>
                <w:i w:val="0"/>
                <w:sz w:val="18"/>
              </w:rPr>
              <w:t>Our Board believes representation of this skill is important as the Company's scale and complexity requires aligning many areas of our operations, including integration of new businesses, technology, and human resources, while remaining innovative and adaptable in an increasingly digital society.</w:t>
            </w:r>
          </w:p>
        </w:tc>
      </w:tr>
      <w:tr>
        <w:tblPrEx>
          <w:tblW w:w="10260" w:type="dxa"/>
          <w:jc w:val="left"/>
          <w:tblInd w:w="0" w:type="dxa"/>
          <w:tblLayout w:type="fixed"/>
          <w:tblCellMar>
            <w:left w:w="108" w:type="dxa"/>
            <w:right w:w="108" w:type="dxa"/>
          </w:tblCellMar>
        </w:tblPrEx>
        <w:trPr>
          <w:cantSplit/>
          <w:trHeight w:hRule="exact" w:val="975"/>
          <w:jc w:val="left"/>
        </w:trPr>
        <w:tc>
          <w:tcPr>
            <w:tcW w:w="10260" w:type="dxa"/>
            <w:tcBorders>
              <w:top w:val="nil"/>
              <w:left w:val="nil"/>
              <w:bottom w:val="single" w:sz="12" w:space="0" w:color="4494D1"/>
              <w:right w:val="nil"/>
            </w:tcBorders>
            <w:tcMar>
              <w:top w:w="0" w:type="dxa"/>
              <w:left w:w="53" w:type="dxa"/>
              <w:bottom w:w="0" w:type="dxa"/>
              <w:right w:w="53" w:type="dxa"/>
            </w:tcMar>
            <w:vAlign w:val="center"/>
          </w:tcPr>
          <w:p>
            <w:pPr>
              <w:pageBreakBefore w:val="0"/>
              <w:numPr>
                <w:ilvl w:val="0"/>
                <w:numId w:val="0"/>
              </w:numPr>
              <w:spacing w:before="0" w:after="0" w:line="336" w:lineRule="auto"/>
              <w:ind w:left="0" w:right="0" w:firstLine="90"/>
              <w:jc w:val="both"/>
              <w:outlineLvl w:val="9"/>
              <w:rPr>
                <w:rFonts w:ascii="Arial" w:eastAsia="Arial" w:hAnsi="Arial" w:cs="Arial"/>
                <w:b/>
                <w:i w:val="0"/>
                <w:color w:val="4494D1"/>
                <w:sz w:val="18"/>
                <w:u w:val="none"/>
              </w:rPr>
            </w:pPr>
            <w:r>
              <w:rPr>
                <w:rFonts w:ascii="Arial" w:eastAsia="Arial" w:hAnsi="Arial" w:cs="Arial"/>
                <w:b/>
                <w:i w:val="0"/>
                <w:color w:val="4494D1"/>
                <w:sz w:val="18"/>
                <w:u w:val="none"/>
              </w:rPr>
              <w:t>Human Capital Management</w:t>
            </w:r>
          </w:p>
          <w:p>
            <w:pPr>
              <w:pageBreakBefore w:val="0"/>
              <w:numPr>
                <w:ilvl w:val="0"/>
                <w:numId w:val="0"/>
              </w:numPr>
              <w:spacing w:before="0" w:after="0" w:line="300" w:lineRule="auto"/>
              <w:ind w:left="90" w:right="90" w:firstLine="0"/>
              <w:jc w:val="both"/>
              <w:outlineLvl w:val="9"/>
              <w:rPr>
                <w:rFonts w:ascii="Arial" w:eastAsia="Arial" w:hAnsi="Arial" w:cs="Arial"/>
                <w:b w:val="0"/>
                <w:i w:val="0"/>
                <w:sz w:val="18"/>
              </w:rPr>
            </w:pPr>
            <w:r>
              <w:rPr>
                <w:rFonts w:ascii="Arial" w:eastAsia="Arial" w:hAnsi="Arial" w:cs="Arial"/>
                <w:b/>
                <w:i w:val="0"/>
                <w:sz w:val="18"/>
              </w:rPr>
              <w:t xml:space="preserve">Experience managing a large and/or global workforce and recruiting and retaining talent. </w:t>
            </w:r>
            <w:r>
              <w:rPr>
                <w:rFonts w:ascii="Arial" w:eastAsia="Arial" w:hAnsi="Arial" w:cs="Arial"/>
                <w:b w:val="0"/>
                <w:i w:val="0"/>
                <w:sz w:val="18"/>
              </w:rPr>
              <w:t>Our Board believes representation of this skill is important as the Company's</w:t>
            </w:r>
            <w:r>
              <w:rPr>
                <w:rFonts w:ascii="Arial" w:eastAsia="Arial" w:hAnsi="Arial" w:cs="Arial"/>
                <w:b/>
                <w:i w:val="0"/>
                <w:sz w:val="18"/>
              </w:rPr>
              <w:t xml:space="preserve"> </w:t>
            </w:r>
            <w:r>
              <w:rPr>
                <w:rFonts w:ascii="Arial" w:eastAsia="Arial" w:hAnsi="Arial" w:cs="Arial"/>
                <w:b w:val="0"/>
                <w:i w:val="0"/>
                <w:sz w:val="18"/>
              </w:rPr>
              <w:t>global workforce represents one of our key resources.</w:t>
            </w:r>
          </w:p>
        </w:tc>
      </w:tr>
    </w:tbl>
    <w:p>
      <w:pPr>
        <w:keepNext/>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
          <w:u w:val="none"/>
        </w:rPr>
      </w:pPr>
    </w:p>
    <w:p>
      <w:pPr>
        <w:keepNext/>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
          <w:u w:val="none"/>
        </w:rPr>
        <w:sectPr>
          <w:headerReference w:type="default" r:id="rId93"/>
          <w:footerReference w:type="default" r:id="rId94"/>
          <w:pgSz w:w="12240" w:h="15840"/>
          <w:pgMar w:top="855" w:right="990" w:bottom="855" w:left="990" w:header="270" w:footer="270"/>
          <w:cols w:space="708"/>
        </w:sectPr>
      </w:pPr>
    </w:p>
    <w:p>
      <w:pPr>
        <w:keepNext w:val="0"/>
        <w:keepLines w:val="0"/>
        <w:pageBreakBefore w:val="0"/>
        <w:widowControl/>
        <w:numPr>
          <w:ilvl w:val="0"/>
          <w:numId w:val="0"/>
        </w:numPr>
        <w:spacing w:before="0" w:after="120" w:line="288" w:lineRule="auto"/>
        <w:ind w:left="0" w:right="0" w:firstLine="0"/>
        <w:jc w:val="left"/>
        <w:outlineLvl w:val="9"/>
        <w:rPr>
          <w:rFonts w:ascii="Arial" w:eastAsia="Arial" w:hAnsi="Arial" w:cs="Arial"/>
          <w:b/>
          <w:i w:val="0"/>
          <w:color w:val="171449"/>
          <w:sz w:val="24"/>
          <w:u w:val="none"/>
        </w:rPr>
      </w:pPr>
      <w:bookmarkStart w:id="25" w:name="Section28"/>
      <w:bookmarkEnd w:id="25"/>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30"/>
          <w:u w:val="none"/>
        </w:rPr>
      </w:pPr>
      <w:r>
        <w:rPr>
          <w:rFonts w:ascii="Arial" w:eastAsia="Arial" w:hAnsi="Arial" w:cs="Arial"/>
          <w:b/>
          <w:i w:val="0"/>
          <w:color w:val="171449"/>
          <w:sz w:val="24"/>
          <w:u w:val="none"/>
        </w:rPr>
        <w:t>Biographies of Director Nominees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Below is biographical information about our director nominees describing each director nominee's qualifications and relevant experience. The biographies include key qualifications, skills, and attributes most relevant to the decision to nominate candidates to serve on the Board. This information is current as of the date of this proxy statement and has been confirmed by each of the director nominees for inclusion in this proxy statement.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205"/>
        <w:gridCol w:w="805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65"/>
          <w:jc w:val="left"/>
        </w:trPr>
        <w:tc>
          <w:tcPr>
            <w:tcW w:w="22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05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200"/>
          <w:jc w:val="left"/>
        </w:trPr>
        <w:tc>
          <w:tcPr>
            <w:tcW w:w="2205" w:type="dxa"/>
            <w:vMerge w:val="restart"/>
            <w:tcBorders>
              <w:top w:val="nil"/>
              <w:left w:val="nil"/>
              <w:bottom w:val="nil"/>
              <w:right w:val="single" w:sz="12" w:space="0" w:color="4494D1"/>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hanging="90"/>
              <w:jc w:val="center"/>
              <w:outlineLvl w:val="9"/>
              <w:rPr>
                <w:rFonts w:ascii="Arial" w:eastAsia="Arial" w:hAnsi="Arial" w:cs="Arial"/>
                <w:b w:val="0"/>
                <w:i w:val="0"/>
                <w:sz w:val="16"/>
              </w:rPr>
            </w:pPr>
            <w:r>
              <w:pict>
                <v:shape id="_x0000_i1164" type="#_x0000_t75" style="width:107.9pt;height:124.5pt">
                  <v:imagedata r:id="rId46" o:title=""/>
                  <o:lock v:ext="edit" aspectratio="t"/>
                </v:shape>
              </w:pict>
            </w:r>
          </w:p>
        </w:tc>
        <w:tc>
          <w:tcPr>
            <w:tcW w:w="805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40" w:line="288" w:lineRule="auto"/>
              <w:ind w:left="180" w:right="0" w:firstLine="0"/>
              <w:jc w:val="left"/>
              <w:outlineLvl w:val="9"/>
              <w:rPr>
                <w:rFonts w:ascii="Arial" w:eastAsia="Arial" w:hAnsi="Arial" w:cs="Arial"/>
                <w:b/>
                <w:i w:val="0"/>
                <w:sz w:val="28"/>
              </w:rPr>
            </w:pPr>
            <w:r>
              <w:rPr>
                <w:rFonts w:ascii="Arial" w:eastAsia="Arial" w:hAnsi="Arial" w:cs="Arial"/>
                <w:b/>
                <w:i w:val="0"/>
                <w:color w:val="002060"/>
                <w:sz w:val="28"/>
                <w:u w:val="none"/>
              </w:rPr>
              <w:t>B. Frederick Becker</w:t>
            </w:r>
            <w:r>
              <w:rPr>
                <w:rFonts w:ascii="Arial" w:eastAsia="Arial" w:hAnsi="Arial" w:cs="Arial"/>
                <w:b/>
                <w:i w:val="0"/>
                <w:sz w:val="28"/>
              </w:rPr>
              <w:t xml:space="preserve">    </w:t>
            </w:r>
            <w:r>
              <w:rPr>
                <w:rFonts w:ascii="Arial" w:eastAsia="Arial" w:hAnsi="Arial" w:cs="Arial"/>
                <w:b w:val="0"/>
                <w:i w:val="0"/>
                <w:sz w:val="18"/>
              </w:rPr>
              <w:t>Independent</w:t>
            </w:r>
          </w:p>
          <w:p>
            <w:pPr>
              <w:pageBreakBefore w:val="0"/>
              <w:numPr>
                <w:ilvl w:val="0"/>
                <w:numId w:val="0"/>
              </w:numPr>
              <w:spacing w:before="40" w:after="40" w:line="288" w:lineRule="auto"/>
              <w:ind w:left="180" w:right="0" w:firstLine="0"/>
              <w:jc w:val="left"/>
              <w:outlineLvl w:val="9"/>
              <w:rPr>
                <w:rFonts w:ascii="Arial" w:eastAsia="Arial" w:hAnsi="Arial" w:cs="Arial"/>
                <w:b/>
                <w:i w:val="0"/>
                <w:color w:val="4495D1"/>
                <w:sz w:val="18"/>
                <w:u w:val="none"/>
              </w:rPr>
            </w:pPr>
          </w:p>
          <w:p>
            <w:pPr>
              <w:pageBreakBefore w:val="0"/>
              <w:numPr>
                <w:ilvl w:val="0"/>
                <w:numId w:val="0"/>
              </w:numPr>
              <w:spacing w:before="10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Biographical Information</w:t>
            </w:r>
          </w:p>
          <w:p>
            <w:pPr>
              <w:pageBreakBefore w:val="0"/>
              <w:numPr>
                <w:ilvl w:val="0"/>
                <w:numId w:val="0"/>
              </w:numPr>
              <w:spacing w:before="40" w:after="40" w:line="288" w:lineRule="auto"/>
              <w:ind w:left="180" w:right="0" w:firstLine="0"/>
              <w:jc w:val="both"/>
              <w:outlineLvl w:val="9"/>
              <w:rPr>
                <w:rFonts w:ascii="Arial" w:eastAsia="Arial" w:hAnsi="Arial" w:cs="Arial"/>
                <w:b w:val="0"/>
                <w:i w:val="0"/>
                <w:sz w:val="18"/>
              </w:rPr>
            </w:pPr>
            <w:r>
              <w:rPr>
                <w:rFonts w:ascii="Arial" w:eastAsia="Arial" w:hAnsi="Arial" w:cs="Arial"/>
                <w:b w:val="0"/>
                <w:i w:val="0"/>
                <w:color w:val="000000"/>
                <w:sz w:val="18"/>
                <w:u w:val="none"/>
              </w:rPr>
              <w:t>B. Frederick Becker</w:t>
            </w:r>
            <w:r>
              <w:rPr>
                <w:rFonts w:ascii="Arial" w:eastAsia="Arial" w:hAnsi="Arial" w:cs="Arial"/>
                <w:b w:val="0"/>
                <w:i w:val="0"/>
                <w:sz w:val="18"/>
              </w:rPr>
              <w:t xml:space="preserve"> has </w:t>
            </w:r>
            <w:r>
              <w:rPr>
                <w:rFonts w:ascii="Arial" w:eastAsia="Arial" w:hAnsi="Arial" w:cs="Arial"/>
                <w:b w:val="0"/>
                <w:i w:val="0"/>
                <w:sz w:val="18"/>
              </w:rPr>
              <w:t xml:space="preserve">over </w:t>
            </w:r>
            <w:r>
              <w:rPr>
                <w:rFonts w:ascii="Arial" w:eastAsia="Arial" w:hAnsi="Arial" w:cs="Arial"/>
                <w:b w:val="0"/>
                <w:i w:val="0"/>
                <w:sz w:val="18"/>
              </w:rPr>
              <w:t>4</w:t>
            </w:r>
            <w:r>
              <w:rPr>
                <w:rFonts w:ascii="Arial" w:eastAsia="Arial" w:hAnsi="Arial" w:cs="Arial"/>
                <w:b w:val="0"/>
                <w:i w:val="0"/>
                <w:sz w:val="18"/>
              </w:rPr>
              <w:t>5</w:t>
            </w:r>
            <w:r>
              <w:rPr>
                <w:rFonts w:ascii="Arial" w:eastAsia="Arial" w:hAnsi="Arial" w:cs="Arial"/>
                <w:b w:val="0"/>
                <w:i w:val="0"/>
                <w:sz w:val="18"/>
              </w:rPr>
              <w:t xml:space="preserve"> years of experience in the insurance and healthcare industries. He served as Chairman of Clarity Group, Inc., a company he co-founded more than 18 years ago that specialized as a healthcare professional liability and risk management service provider until it was sold in early 2020. Prior to co-founding Clarity Group, Inc., he served as Chairman and Chief Executive Officer of MMI Companies, Inc. from 1985 until its sale to The St. Paul Companies in 2000. Mr. Becker has previously served as President and CEO of Ideal Mutual and McDonough Caperton Employee Benefits, Inc., and also served as State Compensation Commissioner for the State of West Virginia. He began his career as a practicing attorney.</w:t>
            </w:r>
          </w:p>
          <w:p>
            <w:pPr>
              <w:pageBreakBefore w:val="0"/>
              <w:numPr>
                <w:ilvl w:val="0"/>
                <w:numId w:val="0"/>
              </w:numPr>
              <w:spacing w:before="100" w:after="40" w:line="288" w:lineRule="auto"/>
              <w:ind w:left="180" w:right="0" w:firstLine="0"/>
              <w:jc w:val="left"/>
              <w:outlineLvl w:val="9"/>
              <w:rPr>
                <w:rFonts w:ascii="Arial" w:eastAsia="Arial" w:hAnsi="Arial" w:cs="Arial"/>
                <w:b/>
                <w:i w:val="0"/>
                <w:sz w:val="18"/>
              </w:rPr>
            </w:pPr>
            <w:r>
              <w:rPr>
                <w:rFonts w:ascii="Arial" w:eastAsia="Arial" w:hAnsi="Arial" w:cs="Arial"/>
                <w:b/>
                <w:i w:val="0"/>
                <w:color w:val="4495D1"/>
                <w:sz w:val="18"/>
                <w:u w:val="none"/>
              </w:rPr>
              <w:t xml:space="preserve">Skills and Qualifications </w:t>
            </w:r>
          </w:p>
          <w:p>
            <w:pPr>
              <w:pageBreakBefore w:val="0"/>
              <w:numPr>
                <w:ilvl w:val="0"/>
                <w:numId w:val="0"/>
              </w:numPr>
              <w:spacing w:before="40" w:after="40" w:line="288" w:lineRule="auto"/>
              <w:ind w:left="180" w:right="0" w:firstLine="0"/>
              <w:jc w:val="left"/>
              <w:outlineLvl w:val="9"/>
              <w:rPr>
                <w:rFonts w:ascii="Arial" w:eastAsia="Arial" w:hAnsi="Arial" w:cs="Arial"/>
                <w:b w:val="0"/>
                <w:i/>
                <w:sz w:val="18"/>
              </w:rPr>
            </w:pPr>
            <w:r>
              <w:rPr>
                <w:rFonts w:ascii="Arial" w:eastAsia="Arial" w:hAnsi="Arial" w:cs="Arial"/>
                <w:b w:val="0"/>
                <w:i/>
                <w:sz w:val="18"/>
              </w:rPr>
              <w:t xml:space="preserve">Compensation, governance, and risk management experience; industry knowledge. </w:t>
            </w:r>
          </w:p>
          <w:p>
            <w:pPr>
              <w:pageBreakBefore w:val="0"/>
              <w:numPr>
                <w:ilvl w:val="0"/>
                <w:numId w:val="0"/>
              </w:numPr>
              <w:spacing w:before="40" w:after="30" w:line="288" w:lineRule="auto"/>
              <w:ind w:left="180" w:right="0" w:firstLine="0"/>
              <w:jc w:val="both"/>
              <w:outlineLvl w:val="9"/>
              <w:rPr>
                <w:rFonts w:ascii="Arial" w:eastAsia="Arial" w:hAnsi="Arial" w:cs="Arial"/>
                <w:b w:val="0"/>
                <w:i w:val="0"/>
                <w:sz w:val="18"/>
              </w:rPr>
            </w:pPr>
            <w:r>
              <w:rPr>
                <w:rFonts w:ascii="Arial" w:eastAsia="Arial" w:hAnsi="Arial" w:cs="Arial"/>
                <w:b w:val="0"/>
                <w:i w:val="0"/>
                <w:sz w:val="18"/>
              </w:rPr>
              <w:t>Mr. Becker has over 4</w:t>
            </w:r>
            <w:r>
              <w:rPr>
                <w:rFonts w:ascii="Arial" w:eastAsia="Arial" w:hAnsi="Arial" w:cs="Arial"/>
                <w:b w:val="0"/>
                <w:i w:val="0"/>
                <w:sz w:val="18"/>
              </w:rPr>
              <w:t>5</w:t>
            </w:r>
            <w:r>
              <w:rPr>
                <w:rFonts w:ascii="Arial" w:eastAsia="Arial" w:hAnsi="Arial" w:cs="Arial"/>
                <w:b w:val="0"/>
                <w:i w:val="0"/>
                <w:sz w:val="18"/>
              </w:rPr>
              <w:t xml:space="preserve"> years of experience within the insurance and healthcare industries. The Board also values Mr. Becker’s corporate governance experience, which he has gained from serving on many other boards over the years. In addition, his previous work on compensation matters makes him well-suited to serve as Chairman of our Human Resources and Compensation Committee.  He has an extensive background in risk management, which enhances our risk oversight and monitoring capabilities.</w:t>
            </w:r>
          </w:p>
        </w:tc>
      </w:tr>
      <w:tr>
        <w:tblPrEx>
          <w:tblW w:w="10260" w:type="dxa"/>
          <w:jc w:val="left"/>
          <w:tblInd w:w="0" w:type="dxa"/>
          <w:tblLayout w:type="fixed"/>
          <w:tblCellMar>
            <w:left w:w="108" w:type="dxa"/>
            <w:right w:w="108" w:type="dxa"/>
          </w:tblCellMar>
        </w:tblPrEx>
        <w:trPr>
          <w:cantSplit/>
          <w:trHeight w:hRule="exact" w:val="1200"/>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105"/>
          <w:jc w:val="left"/>
        </w:trPr>
        <w:tc>
          <w:tcPr>
            <w:tcW w:w="2205" w:type="dxa"/>
            <w:tcBorders>
              <w:top w:val="nil"/>
              <w:left w:val="nil"/>
              <w:bottom w:val="nil"/>
              <w:right w:val="single" w:sz="12" w:space="0" w:color="4494D1"/>
            </w:tcBorders>
            <w:tcMar>
              <w:top w:w="0" w:type="dxa"/>
              <w:left w:w="0" w:type="dxa"/>
              <w:bottom w:w="0" w:type="dxa"/>
              <w:right w:w="0" w:type="dxa"/>
            </w:tcMar>
            <w:vAlign w:val="bottom"/>
          </w:tcPr>
          <w:p>
            <w:pPr>
              <w:keepNext/>
              <w:pageBreakBefore w:val="0"/>
              <w:spacing w:before="0" w:after="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315"/>
          <w:jc w:val="left"/>
        </w:trPr>
        <w:tc>
          <w:tcPr>
            <w:tcW w:w="2205" w:type="dxa"/>
            <w:vMerge w:val="restart"/>
            <w:tcBorders>
              <w:top w:val="nil"/>
              <w:left w:val="nil"/>
              <w:bottom w:val="nil"/>
              <w:right w:val="single" w:sz="12" w:space="0" w:color="4494D1"/>
            </w:tcBorders>
            <w:tcMar>
              <w:top w:w="0" w:type="dxa"/>
              <w:left w:w="53" w:type="dxa"/>
              <w:bottom w:w="0" w:type="dxa"/>
              <w:right w:w="53" w:type="dxa"/>
            </w:tcMar>
            <w:vAlign w:val="top"/>
          </w:tcPr>
          <w:p>
            <w:pPr>
              <w:keepNext/>
              <w:pageBreakBefore w:val="0"/>
              <w:numPr>
                <w:ilvl w:val="0"/>
                <w:numId w:val="0"/>
              </w:numPr>
              <w:spacing w:before="53" w:after="100" w:line="240" w:lineRule="auto"/>
              <w:ind w:left="-43" w:right="0" w:firstLine="0"/>
              <w:jc w:val="left"/>
              <w:outlineLvl w:val="9"/>
              <w:rPr>
                <w:rFonts w:ascii="Arial" w:eastAsia="Arial" w:hAnsi="Arial" w:cs="Arial"/>
                <w:b/>
                <w:i w:val="0"/>
                <w:sz w:val="16"/>
              </w:rPr>
            </w:pPr>
            <w:r>
              <w:rPr>
                <w:rFonts w:ascii="Arial" w:eastAsia="Arial" w:hAnsi="Arial" w:cs="Arial"/>
                <w:b/>
                <w:i w:val="0"/>
                <w:sz w:val="16"/>
              </w:rPr>
              <w:t>Director Since:</w:t>
            </w:r>
            <w:r>
              <w:rPr>
                <w:rFonts w:ascii="Arial" w:eastAsia="Arial" w:hAnsi="Arial" w:cs="Arial"/>
                <w:b w:val="0"/>
                <w:i w:val="0"/>
                <w:sz w:val="16"/>
              </w:rPr>
              <w:t xml:space="preserve"> </w:t>
            </w:r>
            <w:r>
              <w:rPr>
                <w:rFonts w:ascii="Arial" w:eastAsia="Arial" w:hAnsi="Arial" w:cs="Arial"/>
                <w:b w:val="0"/>
                <w:i w:val="0"/>
                <w:color w:val="000000"/>
                <w:sz w:val="16"/>
                <w:u w:val="none"/>
              </w:rPr>
              <w:t>2015</w:t>
            </w:r>
          </w:p>
          <w:p>
            <w:pPr>
              <w:pageBreakBefore w:val="0"/>
              <w:numPr>
                <w:ilvl w:val="0"/>
                <w:numId w:val="0"/>
              </w:numPr>
              <w:spacing w:before="100" w:after="100" w:line="240" w:lineRule="auto"/>
              <w:ind w:left="-43" w:right="0" w:firstLine="0"/>
              <w:jc w:val="left"/>
              <w:outlineLvl w:val="9"/>
              <w:rPr>
                <w:rFonts w:ascii="Arial" w:eastAsia="Arial" w:hAnsi="Arial" w:cs="Arial"/>
                <w:b/>
                <w:i w:val="0"/>
                <w:sz w:val="16"/>
              </w:rPr>
            </w:pPr>
            <w:r>
              <w:rPr>
                <w:rFonts w:ascii="Arial" w:eastAsia="Arial" w:hAnsi="Arial" w:cs="Arial"/>
                <w:b/>
                <w:i w:val="0"/>
                <w:sz w:val="16"/>
              </w:rPr>
              <w:t>Age:</w:t>
            </w:r>
            <w:r>
              <w:rPr>
                <w:rFonts w:ascii="Arial" w:eastAsia="Arial" w:hAnsi="Arial" w:cs="Arial"/>
                <w:b w:val="0"/>
                <w:i w:val="0"/>
                <w:sz w:val="16"/>
              </w:rPr>
              <w:t xml:space="preserve"> </w:t>
            </w:r>
            <w:r>
              <w:rPr>
                <w:rFonts w:ascii="Arial" w:eastAsia="Arial" w:hAnsi="Arial" w:cs="Arial"/>
                <w:b w:val="0"/>
                <w:i w:val="0"/>
                <w:color w:val="000000"/>
                <w:sz w:val="16"/>
                <w:u w:val="none"/>
              </w:rPr>
              <w:t>77</w:t>
            </w:r>
          </w:p>
          <w:p>
            <w:pPr>
              <w:pageBreakBefore w:val="0"/>
              <w:numPr>
                <w:ilvl w:val="0"/>
                <w:numId w:val="0"/>
              </w:numPr>
              <w:spacing w:before="0" w:after="0" w:line="288" w:lineRule="auto"/>
              <w:ind w:left="-43" w:right="0" w:firstLine="0"/>
              <w:jc w:val="left"/>
              <w:outlineLvl w:val="9"/>
              <w:rPr>
                <w:rFonts w:ascii="Arial" w:eastAsia="Arial" w:hAnsi="Arial" w:cs="Arial"/>
                <w:b/>
                <w:i w:val="0"/>
                <w:sz w:val="16"/>
              </w:rPr>
            </w:pPr>
            <w:r>
              <w:rPr>
                <w:rFonts w:ascii="Arial" w:eastAsia="Arial" w:hAnsi="Arial" w:cs="Arial"/>
                <w:b/>
                <w:i w:val="0"/>
                <w:sz w:val="16"/>
              </w:rPr>
              <w:t>Enstar Committees: </w:t>
            </w:r>
          </w:p>
          <w:p>
            <w:pPr>
              <w:pageBreakBefore w:val="0"/>
              <w:numPr>
                <w:ilvl w:val="0"/>
                <w:numId w:val="0"/>
              </w:numPr>
              <w:spacing w:before="0" w:after="100" w:line="288" w:lineRule="auto"/>
              <w:ind w:left="-43"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 xml:space="preserve">Audit </w:t>
            </w:r>
            <w:r>
              <w:rPr>
                <w:rFonts w:ascii="Webdings" w:eastAsia="Webdings" w:hAnsi="Webdings" w:cs="Webdings"/>
                <w:b w:val="0"/>
                <w:i w:val="0"/>
                <w:color w:val="000000"/>
                <w:sz w:val="16"/>
                <w:u w:val="none"/>
              </w:rPr>
              <w:t xml:space="preserve">| </w:t>
            </w:r>
            <w:r>
              <w:rPr>
                <w:rFonts w:ascii="Arial" w:eastAsia="Arial" w:hAnsi="Arial" w:cs="Arial"/>
                <w:b w:val="0"/>
                <w:i w:val="0"/>
                <w:color w:val="000000"/>
                <w:sz w:val="16"/>
                <w:u w:val="none"/>
              </w:rPr>
              <w:t xml:space="preserve">Human Resources and Compensation (Chair) </w:t>
            </w:r>
            <w:r>
              <w:rPr>
                <w:rFonts w:ascii="Webdings" w:eastAsia="Webdings" w:hAnsi="Webdings" w:cs="Webdings"/>
                <w:b w:val="0"/>
                <w:i w:val="0"/>
                <w:color w:val="000000"/>
                <w:sz w:val="16"/>
                <w:u w:val="none"/>
              </w:rPr>
              <w:t xml:space="preserve">| </w:t>
            </w:r>
            <w:r>
              <w:rPr>
                <w:rFonts w:ascii="Arial" w:eastAsia="Arial" w:hAnsi="Arial" w:cs="Arial"/>
                <w:b w:val="0"/>
                <w:i w:val="0"/>
                <w:color w:val="000000"/>
                <w:sz w:val="16"/>
                <w:u w:val="none"/>
              </w:rPr>
              <w:t>Nominating and Governance (Chair)</w:t>
            </w:r>
          </w:p>
          <w:p>
            <w:pPr>
              <w:pageBreakBefore w:val="0"/>
              <w:numPr>
                <w:ilvl w:val="0"/>
                <w:numId w:val="0"/>
              </w:numPr>
              <w:spacing w:before="0" w:after="0" w:line="288" w:lineRule="auto"/>
              <w:ind w:left="-43" w:right="0" w:firstLine="0"/>
              <w:jc w:val="left"/>
              <w:outlineLvl w:val="9"/>
              <w:rPr>
                <w:rFonts w:ascii="Arial" w:eastAsia="Arial" w:hAnsi="Arial" w:cs="Arial"/>
                <w:b/>
                <w:i w:val="0"/>
                <w:sz w:val="16"/>
              </w:rPr>
            </w:pPr>
            <w:r>
              <w:rPr>
                <w:rFonts w:ascii="Arial" w:eastAsia="Arial" w:hAnsi="Arial" w:cs="Arial"/>
                <w:b/>
                <w:i w:val="0"/>
                <w:sz w:val="16"/>
              </w:rPr>
              <w:t>Residency and Citizenship:</w:t>
            </w:r>
          </w:p>
          <w:p>
            <w:pPr>
              <w:pageBreakBefore w:val="0"/>
              <w:numPr>
                <w:ilvl w:val="0"/>
                <w:numId w:val="0"/>
              </w:numPr>
              <w:spacing w:before="0" w:after="30" w:line="288" w:lineRule="auto"/>
              <w:ind w:left="-43"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 xml:space="preserve">US resident </w:t>
            </w:r>
            <w:r>
              <w:rPr>
                <w:rFonts w:ascii="Webdings" w:eastAsia="Webdings" w:hAnsi="Webdings" w:cs="Webdings"/>
                <w:b w:val="0"/>
                <w:i w:val="0"/>
                <w:color w:val="000000"/>
                <w:sz w:val="16"/>
                <w:u w:val="none"/>
              </w:rPr>
              <w:t>|</w:t>
            </w:r>
            <w:r>
              <w:rPr>
                <w:rFonts w:ascii="Arial" w:eastAsia="Arial" w:hAnsi="Arial" w:cs="Arial"/>
                <w:b w:val="0"/>
                <w:i w:val="0"/>
                <w:color w:val="000000"/>
                <w:sz w:val="16"/>
                <w:u w:val="none"/>
              </w:rPr>
              <w:t xml:space="preserve"> US citizen</w:t>
            </w: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0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0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600"/>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19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80"/>
          <w:jc w:val="left"/>
        </w:trPr>
        <w:tc>
          <w:tcPr>
            <w:tcW w:w="2205" w:type="dxa"/>
            <w:vMerge/>
            <w:tcBorders>
              <w:top w:val="nil"/>
              <w:left w:val="nil"/>
              <w:bottom w:val="nil"/>
              <w:right w:val="single" w:sz="12" w:space="0" w:color="4494D1"/>
            </w:tcBorders>
          </w:tcPr>
          <w:p>
            <w:pPr>
              <w:pageBreakBefore w:val="0"/>
            </w:pPr>
          </w:p>
        </w:tc>
        <w:tc>
          <w:tcPr>
            <w:tcW w:w="8055" w:type="dxa"/>
            <w:vMerge/>
            <w:tcBorders>
              <w:top w:val="nil"/>
              <w:left w:val="nil"/>
              <w:bottom w:val="nil"/>
              <w:right w:val="nil"/>
            </w:tcBorders>
          </w:tcPr>
          <w:p>
            <w:pPr>
              <w:pageBreakBefore w:val="0"/>
            </w:pPr>
          </w:p>
        </w:tc>
      </w:tr>
    </w:tbl>
    <w:p>
      <w:pPr>
        <w:keepNext w:val="0"/>
        <w:keepLines w:val="0"/>
        <w:pageBreakBefore w:val="0"/>
        <w:widowControl/>
        <w:numPr>
          <w:ilvl w:val="0"/>
          <w:numId w:val="0"/>
        </w:numPr>
        <w:spacing w:before="120" w:after="120" w:line="288" w:lineRule="auto"/>
        <w:ind w:left="0" w:right="0" w:firstLine="0"/>
        <w:jc w:val="left"/>
        <w:outlineLvl w:val="9"/>
        <w:rPr>
          <w:rFonts w:ascii="Times New Roman" w:eastAsia="Times New Roman" w:hAnsi="Times New Roman" w:cs="Times New Roman"/>
          <w:b w:val="0"/>
          <w:i w:val="0"/>
          <w:color w:val="FF0090"/>
          <w:sz w:val="20"/>
          <w:u w:val="none"/>
        </w:rPr>
      </w:pP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205"/>
        <w:gridCol w:w="805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65"/>
          <w:jc w:val="left"/>
        </w:trPr>
        <w:tc>
          <w:tcPr>
            <w:tcW w:w="22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05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65"/>
          <w:jc w:val="left"/>
        </w:trPr>
        <w:tc>
          <w:tcPr>
            <w:tcW w:w="220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hanging="450"/>
              <w:jc w:val="center"/>
              <w:outlineLvl w:val="9"/>
              <w:rPr>
                <w:rFonts w:ascii="Arial" w:eastAsia="Arial" w:hAnsi="Arial" w:cs="Arial"/>
                <w:b w:val="0"/>
                <w:i w:val="0"/>
                <w:sz w:val="16"/>
              </w:rPr>
            </w:pPr>
            <w:r>
              <w:pict>
                <v:shape id="_x0000_i1165" type="#_x0000_t75" style="width:112pt;height:120pt">
                  <v:imagedata r:id="rId47" o:title=""/>
                  <o:lock v:ext="edit" aspectratio="t"/>
                </v:shape>
              </w:pict>
            </w:r>
          </w:p>
        </w:tc>
        <w:tc>
          <w:tcPr>
            <w:tcW w:w="8055" w:type="dxa"/>
            <w:vMerge w:val="restart"/>
            <w:tcBorders>
              <w:top w:val="nil"/>
              <w:left w:val="single" w:sz="12" w:space="0" w:color="4494D1"/>
              <w:bottom w:val="nil"/>
              <w:right w:val="nil"/>
            </w:tcBorders>
            <w:tcMar>
              <w:top w:w="0" w:type="dxa"/>
              <w:left w:w="53" w:type="dxa"/>
              <w:bottom w:w="0" w:type="dxa"/>
              <w:right w:w="53" w:type="dxa"/>
            </w:tcMar>
            <w:vAlign w:val="top"/>
          </w:tcPr>
          <w:p>
            <w:pPr>
              <w:keepNext/>
              <w:pageBreakBefore w:val="0"/>
              <w:numPr>
                <w:ilvl w:val="0"/>
                <w:numId w:val="0"/>
              </w:numPr>
              <w:spacing w:before="53" w:after="40" w:line="288" w:lineRule="auto"/>
              <w:ind w:left="180" w:right="0" w:firstLine="0"/>
              <w:jc w:val="left"/>
              <w:outlineLvl w:val="9"/>
              <w:rPr>
                <w:rFonts w:ascii="Arial" w:eastAsia="Arial" w:hAnsi="Arial" w:cs="Arial"/>
                <w:b/>
                <w:i w:val="0"/>
                <w:color w:val="002060"/>
                <w:sz w:val="28"/>
                <w:u w:val="none"/>
              </w:rPr>
            </w:pPr>
            <w:r>
              <w:rPr>
                <w:rFonts w:ascii="Arial" w:eastAsia="Arial" w:hAnsi="Arial" w:cs="Arial"/>
                <w:b/>
                <w:i w:val="0"/>
                <w:color w:val="002060"/>
                <w:sz w:val="28"/>
                <w:u w:val="none"/>
              </w:rPr>
              <w:t>Sharon A. Beesley</w:t>
            </w:r>
            <w:r>
              <w:rPr>
                <w:rFonts w:ascii="Arial" w:eastAsia="Arial" w:hAnsi="Arial" w:cs="Arial"/>
                <w:b/>
                <w:i w:val="0"/>
                <w:color w:val="002060"/>
                <w:sz w:val="28"/>
                <w:u w:val="none"/>
              </w:rPr>
              <w:t xml:space="preserve">    </w:t>
            </w:r>
            <w:r>
              <w:rPr>
                <w:rFonts w:ascii="Arial" w:eastAsia="Arial" w:hAnsi="Arial" w:cs="Arial"/>
                <w:b w:val="0"/>
                <w:i w:val="0"/>
                <w:sz w:val="18"/>
              </w:rPr>
              <w:t>Independent</w:t>
            </w:r>
          </w:p>
          <w:p>
            <w:pPr>
              <w:pageBreakBefore w:val="0"/>
              <w:numPr>
                <w:ilvl w:val="0"/>
                <w:numId w:val="0"/>
              </w:numPr>
              <w:spacing w:before="40" w:after="40" w:line="288" w:lineRule="auto"/>
              <w:ind w:left="180" w:right="0" w:firstLine="0"/>
              <w:jc w:val="left"/>
              <w:outlineLvl w:val="9"/>
              <w:rPr>
                <w:rFonts w:ascii="Arial" w:eastAsia="Arial" w:hAnsi="Arial" w:cs="Arial"/>
                <w:b/>
                <w:i w:val="0"/>
                <w:color w:val="4495D1"/>
                <w:sz w:val="18"/>
                <w:u w:val="none"/>
              </w:rPr>
            </w:pPr>
          </w:p>
          <w:p>
            <w:pPr>
              <w:pageBreakBefore w:val="0"/>
              <w:numPr>
                <w:ilvl w:val="0"/>
                <w:numId w:val="0"/>
              </w:numPr>
              <w:spacing w:before="4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Biographical Information</w:t>
            </w:r>
          </w:p>
          <w:p>
            <w:pPr>
              <w:pageBreakBefore w:val="0"/>
              <w:numPr>
                <w:ilvl w:val="0"/>
                <w:numId w:val="0"/>
              </w:numPr>
              <w:spacing w:before="0" w:after="60" w:line="288" w:lineRule="auto"/>
              <w:ind w:left="180" w:right="0" w:firstLine="0"/>
              <w:jc w:val="both"/>
              <w:outlineLvl w:val="9"/>
              <w:rPr>
                <w:rFonts w:ascii="Arial" w:eastAsia="Arial" w:hAnsi="Arial" w:cs="Arial"/>
                <w:b w:val="0"/>
                <w:i w:val="0"/>
                <w:sz w:val="18"/>
              </w:rPr>
            </w:pPr>
            <w:r>
              <w:rPr>
                <w:rFonts w:ascii="Arial" w:eastAsia="Arial" w:hAnsi="Arial" w:cs="Arial"/>
                <w:b w:val="0"/>
                <w:i w:val="0"/>
                <w:color w:val="000000"/>
                <w:sz w:val="18"/>
                <w:u w:val="none"/>
              </w:rPr>
              <w:t>Sharon A. Beesley</w:t>
            </w:r>
            <w:r>
              <w:rPr>
                <w:rFonts w:ascii="Arial" w:eastAsia="Arial" w:hAnsi="Arial" w:cs="Arial"/>
                <w:b w:val="0"/>
                <w:i w:val="0"/>
                <w:sz w:val="18"/>
              </w:rPr>
              <w:t xml:space="preserve"> currently serves as the </w:t>
            </w:r>
            <w:r>
              <w:rPr>
                <w:rFonts w:ascii="Arial" w:eastAsia="Arial" w:hAnsi="Arial" w:cs="Arial"/>
                <w:b w:val="0"/>
                <w:i w:val="0"/>
                <w:sz w:val="18"/>
              </w:rPr>
              <w:t>Managing Part</w:t>
            </w:r>
            <w:r>
              <w:rPr>
                <w:rFonts w:ascii="Arial" w:eastAsia="Arial" w:hAnsi="Arial" w:cs="Arial"/>
                <w:b w:val="0"/>
                <w:i w:val="0"/>
                <w:sz w:val="18"/>
              </w:rPr>
              <w:t>ner</w:t>
            </w:r>
            <w:r>
              <w:rPr>
                <w:rFonts w:ascii="Arial" w:eastAsia="Arial" w:hAnsi="Arial" w:cs="Arial"/>
                <w:b w:val="0"/>
                <w:i w:val="0"/>
                <w:sz w:val="18"/>
              </w:rPr>
              <w:t xml:space="preserve"> of BeesMont Law Limited, a Bermuda-based commercial law firm, which she established in 2008. She also serves as Chief Executive Officer of BeesMont Consultancy Limited, a Bermuda-based consultancy business, a position she has held since 2000</w:t>
            </w:r>
            <w:r>
              <w:rPr>
                <w:rFonts w:ascii="Arial" w:eastAsia="Arial" w:hAnsi="Arial" w:cs="Arial"/>
                <w:b w:val="0"/>
                <w:i w:val="0"/>
                <w:sz w:val="18"/>
              </w:rPr>
              <w:t>, and as Chair of Aester Limited, a Bermuda regulated corporate services provider</w:t>
            </w:r>
            <w:r>
              <w:rPr>
                <w:rFonts w:ascii="Arial" w:eastAsia="Arial" w:hAnsi="Arial" w:cs="Arial"/>
                <w:b w:val="0"/>
                <w:i w:val="0"/>
                <w:sz w:val="18"/>
              </w:rPr>
              <w:t>. Ms. Beesley previously served as a Director on the Board of the Bermuda Monetary Authority from 2016 to 2021. Prior to 2000, Ms. Beesley was engaged in private legal practice in Bermuda and other international jurisdictions.</w:t>
            </w:r>
          </w:p>
          <w:p>
            <w:pPr>
              <w:pageBreakBefore w:val="0"/>
              <w:numPr>
                <w:ilvl w:val="0"/>
                <w:numId w:val="0"/>
              </w:numPr>
              <w:spacing w:before="100" w:after="40" w:line="288" w:lineRule="auto"/>
              <w:ind w:left="180" w:right="0" w:firstLine="0"/>
              <w:jc w:val="both"/>
              <w:outlineLvl w:val="9"/>
              <w:rPr>
                <w:rFonts w:ascii="Arial" w:eastAsia="Arial" w:hAnsi="Arial" w:cs="Arial"/>
                <w:b/>
                <w:i w:val="0"/>
                <w:color w:val="4495D1"/>
                <w:sz w:val="18"/>
                <w:u w:val="none"/>
              </w:rPr>
            </w:pPr>
            <w:r>
              <w:rPr>
                <w:rFonts w:ascii="Arial" w:eastAsia="Arial" w:hAnsi="Arial" w:cs="Arial"/>
                <w:b/>
                <w:i w:val="0"/>
                <w:color w:val="4495D1"/>
                <w:sz w:val="18"/>
                <w:u w:val="none"/>
              </w:rPr>
              <w:t>Skills and Qualifications</w:t>
            </w:r>
          </w:p>
          <w:p>
            <w:pPr>
              <w:pageBreakBefore w:val="0"/>
              <w:numPr>
                <w:ilvl w:val="0"/>
                <w:numId w:val="0"/>
              </w:numPr>
              <w:spacing w:before="0" w:after="0" w:line="288" w:lineRule="auto"/>
              <w:ind w:left="180" w:right="0" w:firstLine="0"/>
              <w:jc w:val="both"/>
              <w:outlineLvl w:val="9"/>
              <w:rPr>
                <w:rFonts w:ascii="Arial" w:eastAsia="Arial" w:hAnsi="Arial" w:cs="Arial"/>
                <w:b w:val="0"/>
                <w:i/>
                <w:sz w:val="18"/>
              </w:rPr>
            </w:pPr>
            <w:r>
              <w:rPr>
                <w:rFonts w:ascii="Arial" w:eastAsia="Arial" w:hAnsi="Arial" w:cs="Arial"/>
                <w:b w:val="0"/>
                <w:i/>
                <w:sz w:val="18"/>
              </w:rPr>
              <w:t>Legal expertise; regulatory and government experience; corporate governance</w:t>
            </w:r>
          </w:p>
          <w:p>
            <w:pPr>
              <w:pageBreakBefore w:val="0"/>
              <w:numPr>
                <w:ilvl w:val="0"/>
                <w:numId w:val="0"/>
              </w:numPr>
              <w:spacing w:before="0" w:after="30" w:line="288" w:lineRule="auto"/>
              <w:ind w:left="180" w:right="0" w:firstLine="0"/>
              <w:jc w:val="both"/>
              <w:outlineLvl w:val="9"/>
              <w:rPr>
                <w:rFonts w:ascii="Arial" w:eastAsia="Arial" w:hAnsi="Arial" w:cs="Arial"/>
                <w:b w:val="0"/>
                <w:i w:val="0"/>
                <w:sz w:val="18"/>
              </w:rPr>
            </w:pPr>
            <w:r>
              <w:rPr>
                <w:rFonts w:ascii="Arial" w:eastAsia="Arial" w:hAnsi="Arial" w:cs="Arial"/>
                <w:b w:val="0"/>
                <w:i w:val="0"/>
                <w:sz w:val="18"/>
              </w:rPr>
              <w:t>Ms. Beesley brings to our Board her multi-jurisdictional legal expertise, strategic and risk management perspectives, gained from over 40 years of experience in the legal and financial services industry advising on all areas of corporate law, investment funds, structured finance, joint venture structures, and mergers and acquisitions as a Solicitor in England and Wales, Hong Kong, and as a practicing Barrister and Attorney of the Bermuda Bar. In addition, Ms. Beesley's experience as a former director of our insurance group supervisor, the Bermuda Monetary Authority, is particularly valuable to our Board as we manage increasingly complex compliance, regulatory and governance matters.</w:t>
            </w:r>
          </w:p>
        </w:tc>
      </w:tr>
      <w:tr>
        <w:tblPrEx>
          <w:tblW w:w="10260" w:type="dxa"/>
          <w:jc w:val="left"/>
          <w:tblInd w:w="0" w:type="dxa"/>
          <w:tblLayout w:type="fixed"/>
          <w:tblCellMar>
            <w:left w:w="108" w:type="dxa"/>
            <w:right w:w="108" w:type="dxa"/>
          </w:tblCellMar>
        </w:tblPrEx>
        <w:trPr>
          <w:cantSplit/>
          <w:trHeight w:hRule="exact" w:val="825"/>
          <w:jc w:val="left"/>
        </w:trPr>
        <w:tc>
          <w:tcPr>
            <w:tcW w:w="2205" w:type="dxa"/>
            <w:vMerge/>
            <w:tcBorders>
              <w:top w:val="nil"/>
              <w:left w:val="nil"/>
              <w:bottom w:val="nil"/>
              <w:right w:val="nil"/>
            </w:tcBorders>
          </w:tcPr>
          <w:p>
            <w:pPr>
              <w:keepNext/>
              <w:pageBreakBefore w:val="0"/>
            </w:pPr>
          </w:p>
        </w:tc>
        <w:tc>
          <w:tcPr>
            <w:tcW w:w="8055" w:type="dxa"/>
            <w:vMerge/>
            <w:tcBorders>
              <w:top w:val="nil"/>
              <w:left w:val="single" w:sz="12" w:space="0" w:color="4494D1"/>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1440"/>
          <w:jc w:val="left"/>
        </w:trPr>
        <w:tc>
          <w:tcPr>
            <w:tcW w:w="2205" w:type="dxa"/>
            <w:vMerge/>
            <w:tcBorders>
              <w:top w:val="nil"/>
              <w:left w:val="nil"/>
              <w:bottom w:val="nil"/>
              <w:right w:val="nil"/>
            </w:tcBorders>
          </w:tcPr>
          <w:p>
            <w:pPr>
              <w:keepNext/>
              <w:pageBreakBefore w:val="0"/>
            </w:pPr>
          </w:p>
        </w:tc>
        <w:tc>
          <w:tcPr>
            <w:tcW w:w="8055" w:type="dxa"/>
            <w:vMerge/>
            <w:tcBorders>
              <w:top w:val="nil"/>
              <w:left w:val="single" w:sz="12" w:space="0" w:color="4494D1"/>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105"/>
          <w:jc w:val="left"/>
        </w:trPr>
        <w:tc>
          <w:tcPr>
            <w:tcW w:w="22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055" w:type="dxa"/>
            <w:vMerge/>
            <w:tcBorders>
              <w:top w:val="nil"/>
              <w:left w:val="single" w:sz="12" w:space="0" w:color="4494D1"/>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825"/>
          <w:jc w:val="left"/>
        </w:trPr>
        <w:tc>
          <w:tcPr>
            <w:tcW w:w="220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100" w:line="288" w:lineRule="auto"/>
              <w:ind w:left="-43" w:right="72" w:firstLine="0"/>
              <w:jc w:val="left"/>
              <w:outlineLvl w:val="9"/>
              <w:rPr>
                <w:rFonts w:ascii="Arial" w:eastAsia="Arial" w:hAnsi="Arial" w:cs="Arial"/>
                <w:b/>
                <w:i w:val="0"/>
                <w:sz w:val="16"/>
              </w:rPr>
            </w:pPr>
            <w:r>
              <w:rPr>
                <w:rFonts w:ascii="Arial" w:eastAsia="Arial" w:hAnsi="Arial" w:cs="Arial"/>
                <w:b/>
                <w:i w:val="0"/>
                <w:sz w:val="16"/>
              </w:rPr>
              <w:t xml:space="preserve">Director Since: </w:t>
            </w:r>
            <w:r>
              <w:rPr>
                <w:rFonts w:ascii="Arial" w:eastAsia="Arial" w:hAnsi="Arial" w:cs="Arial"/>
                <w:b w:val="0"/>
                <w:i w:val="0"/>
                <w:color w:val="000000"/>
                <w:sz w:val="16"/>
                <w:u w:val="none"/>
              </w:rPr>
              <w:t>2021</w:t>
            </w:r>
          </w:p>
          <w:p>
            <w:pPr>
              <w:pageBreakBefore w:val="0"/>
              <w:numPr>
                <w:ilvl w:val="0"/>
                <w:numId w:val="0"/>
              </w:numPr>
              <w:spacing w:before="100" w:after="100" w:line="288" w:lineRule="auto"/>
              <w:ind w:left="-43" w:right="72" w:firstLine="0"/>
              <w:jc w:val="left"/>
              <w:outlineLvl w:val="9"/>
              <w:rPr>
                <w:rFonts w:ascii="Arial" w:eastAsia="Arial" w:hAnsi="Arial" w:cs="Arial"/>
                <w:b/>
                <w:i w:val="0"/>
                <w:sz w:val="16"/>
              </w:rPr>
            </w:pPr>
            <w:r>
              <w:rPr>
                <w:rFonts w:ascii="Arial" w:eastAsia="Arial" w:hAnsi="Arial" w:cs="Arial"/>
                <w:b/>
                <w:i w:val="0"/>
                <w:sz w:val="16"/>
              </w:rPr>
              <w:t>Age:</w:t>
            </w:r>
            <w:r>
              <w:rPr>
                <w:rFonts w:ascii="Arial" w:eastAsia="Arial" w:hAnsi="Arial" w:cs="Arial"/>
                <w:b w:val="0"/>
                <w:i w:val="0"/>
                <w:sz w:val="16"/>
              </w:rPr>
              <w:t xml:space="preserve"> </w:t>
            </w:r>
            <w:r>
              <w:rPr>
                <w:rFonts w:ascii="Arial" w:eastAsia="Arial" w:hAnsi="Arial" w:cs="Arial"/>
                <w:b w:val="0"/>
                <w:i w:val="0"/>
                <w:color w:val="000000"/>
                <w:sz w:val="16"/>
                <w:u w:val="none"/>
              </w:rPr>
              <w:t>67</w:t>
            </w:r>
          </w:p>
          <w:p>
            <w:pPr>
              <w:pageBreakBefore w:val="0"/>
              <w:numPr>
                <w:ilvl w:val="0"/>
                <w:numId w:val="0"/>
              </w:numPr>
              <w:spacing w:before="0" w:after="0" w:line="288" w:lineRule="auto"/>
              <w:ind w:left="-43" w:right="72" w:firstLine="0"/>
              <w:jc w:val="left"/>
              <w:outlineLvl w:val="9"/>
              <w:rPr>
                <w:rFonts w:ascii="Arial" w:eastAsia="Arial" w:hAnsi="Arial" w:cs="Arial"/>
                <w:b/>
                <w:i w:val="0"/>
                <w:sz w:val="16"/>
              </w:rPr>
            </w:pPr>
            <w:r>
              <w:rPr>
                <w:rFonts w:ascii="Arial" w:eastAsia="Arial" w:hAnsi="Arial" w:cs="Arial"/>
                <w:b/>
                <w:i w:val="0"/>
                <w:sz w:val="16"/>
              </w:rPr>
              <w:t xml:space="preserve">Enstar Committees: </w:t>
            </w:r>
          </w:p>
          <w:p>
            <w:pPr>
              <w:pageBreakBefore w:val="0"/>
              <w:numPr>
                <w:ilvl w:val="0"/>
                <w:numId w:val="0"/>
              </w:numPr>
              <w:spacing w:before="0" w:after="100" w:line="288" w:lineRule="auto"/>
              <w:ind w:left="-43" w:right="72" w:firstLine="0"/>
              <w:jc w:val="left"/>
              <w:outlineLvl w:val="9"/>
              <w:rPr>
                <w:rFonts w:ascii="Arial" w:eastAsia="Arial" w:hAnsi="Arial" w:cs="Arial"/>
                <w:b w:val="0"/>
                <w:i w:val="0"/>
                <w:sz w:val="16"/>
              </w:rPr>
            </w:pPr>
            <w:r>
              <w:rPr>
                <w:rFonts w:ascii="Arial" w:eastAsia="Arial" w:hAnsi="Arial" w:cs="Arial"/>
                <w:b w:val="0"/>
                <w:i w:val="0"/>
                <w:color w:val="000000"/>
                <w:sz w:val="16"/>
                <w:u w:val="none"/>
              </w:rPr>
              <w:t>Nominating and Governance</w:t>
            </w:r>
          </w:p>
          <w:p>
            <w:pPr>
              <w:pageBreakBefore w:val="0"/>
              <w:numPr>
                <w:ilvl w:val="0"/>
                <w:numId w:val="0"/>
              </w:numPr>
              <w:spacing w:before="0" w:after="0" w:line="288" w:lineRule="auto"/>
              <w:ind w:left="-43" w:right="0" w:firstLine="0"/>
              <w:jc w:val="left"/>
              <w:outlineLvl w:val="9"/>
              <w:rPr>
                <w:rFonts w:ascii="Arial" w:eastAsia="Arial" w:hAnsi="Arial" w:cs="Arial"/>
                <w:b/>
                <w:i w:val="0"/>
                <w:sz w:val="16"/>
              </w:rPr>
            </w:pPr>
            <w:r>
              <w:rPr>
                <w:rFonts w:ascii="Arial" w:eastAsia="Arial" w:hAnsi="Arial" w:cs="Arial"/>
                <w:b/>
                <w:i w:val="0"/>
                <w:sz w:val="16"/>
              </w:rPr>
              <w:t>Residency and Citizenship:</w:t>
            </w:r>
          </w:p>
          <w:p>
            <w:pPr>
              <w:pageBreakBefore w:val="0"/>
              <w:numPr>
                <w:ilvl w:val="0"/>
                <w:numId w:val="0"/>
              </w:numPr>
              <w:spacing w:before="0" w:after="30" w:line="288" w:lineRule="auto"/>
              <w:ind w:left="-43"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 xml:space="preserve">Bermuda resident </w:t>
            </w:r>
            <w:r>
              <w:rPr>
                <w:rFonts w:ascii="Webdings" w:eastAsia="Webdings" w:hAnsi="Webdings" w:cs="Webdings"/>
                <w:b w:val="0"/>
                <w:i w:val="0"/>
                <w:color w:val="000000"/>
                <w:sz w:val="16"/>
                <w:u w:val="none"/>
              </w:rPr>
              <w:t>|</w:t>
            </w:r>
            <w:r>
              <w:rPr>
                <w:rFonts w:ascii="Arial" w:eastAsia="Arial" w:hAnsi="Arial" w:cs="Arial"/>
                <w:b w:val="0"/>
                <w:i w:val="0"/>
                <w:color w:val="000000"/>
                <w:sz w:val="16"/>
                <w:u w:val="none"/>
              </w:rPr>
              <w:t xml:space="preserve"> British, Canadian and Irish citizen</w:t>
            </w:r>
          </w:p>
        </w:tc>
        <w:tc>
          <w:tcPr>
            <w:tcW w:w="8055" w:type="dxa"/>
            <w:vMerge/>
            <w:tcBorders>
              <w:top w:val="nil"/>
              <w:left w:val="single" w:sz="12" w:space="0" w:color="4494D1"/>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315"/>
          <w:jc w:val="left"/>
        </w:trPr>
        <w:tc>
          <w:tcPr>
            <w:tcW w:w="2205" w:type="dxa"/>
            <w:vMerge/>
            <w:tcBorders>
              <w:top w:val="nil"/>
              <w:left w:val="nil"/>
              <w:bottom w:val="nil"/>
              <w:right w:val="nil"/>
            </w:tcBorders>
          </w:tcPr>
          <w:p>
            <w:pPr>
              <w:keepNext/>
              <w:pageBreakBefore w:val="0"/>
            </w:pPr>
          </w:p>
        </w:tc>
        <w:tc>
          <w:tcPr>
            <w:tcW w:w="8055" w:type="dxa"/>
            <w:vMerge/>
            <w:tcBorders>
              <w:top w:val="nil"/>
              <w:left w:val="single" w:sz="12" w:space="0" w:color="4494D1"/>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315"/>
          <w:jc w:val="left"/>
        </w:trPr>
        <w:tc>
          <w:tcPr>
            <w:tcW w:w="2205" w:type="dxa"/>
            <w:vMerge/>
            <w:tcBorders>
              <w:top w:val="nil"/>
              <w:left w:val="nil"/>
              <w:bottom w:val="nil"/>
              <w:right w:val="nil"/>
            </w:tcBorders>
          </w:tcPr>
          <w:p>
            <w:pPr>
              <w:keepNext/>
              <w:pageBreakBefore w:val="0"/>
            </w:pPr>
          </w:p>
        </w:tc>
        <w:tc>
          <w:tcPr>
            <w:tcW w:w="8055" w:type="dxa"/>
            <w:vMerge/>
            <w:tcBorders>
              <w:top w:val="nil"/>
              <w:left w:val="single" w:sz="12" w:space="0" w:color="4494D1"/>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315"/>
          <w:jc w:val="left"/>
        </w:trPr>
        <w:tc>
          <w:tcPr>
            <w:tcW w:w="2205" w:type="dxa"/>
            <w:vMerge/>
            <w:tcBorders>
              <w:top w:val="nil"/>
              <w:left w:val="nil"/>
              <w:bottom w:val="nil"/>
              <w:right w:val="nil"/>
            </w:tcBorders>
          </w:tcPr>
          <w:p>
            <w:pPr>
              <w:keepNext/>
              <w:pageBreakBefore w:val="0"/>
            </w:pPr>
          </w:p>
        </w:tc>
        <w:tc>
          <w:tcPr>
            <w:tcW w:w="8055" w:type="dxa"/>
            <w:vMerge/>
            <w:tcBorders>
              <w:top w:val="nil"/>
              <w:left w:val="single" w:sz="12" w:space="0" w:color="4494D1"/>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315"/>
          <w:jc w:val="left"/>
        </w:trPr>
        <w:tc>
          <w:tcPr>
            <w:tcW w:w="2205" w:type="dxa"/>
            <w:vMerge/>
            <w:tcBorders>
              <w:top w:val="nil"/>
              <w:left w:val="nil"/>
              <w:bottom w:val="nil"/>
              <w:right w:val="nil"/>
            </w:tcBorders>
          </w:tcPr>
          <w:p>
            <w:pPr>
              <w:keepNext/>
              <w:pageBreakBefore w:val="0"/>
            </w:pPr>
          </w:p>
        </w:tc>
        <w:tc>
          <w:tcPr>
            <w:tcW w:w="8055" w:type="dxa"/>
            <w:vMerge/>
            <w:tcBorders>
              <w:top w:val="nil"/>
              <w:left w:val="single" w:sz="12" w:space="0" w:color="4494D1"/>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315"/>
          <w:jc w:val="left"/>
        </w:trPr>
        <w:tc>
          <w:tcPr>
            <w:tcW w:w="2205" w:type="dxa"/>
            <w:vMerge/>
            <w:tcBorders>
              <w:top w:val="nil"/>
              <w:left w:val="nil"/>
              <w:bottom w:val="nil"/>
              <w:right w:val="nil"/>
            </w:tcBorders>
          </w:tcPr>
          <w:p>
            <w:pPr>
              <w:pageBreakBefore w:val="0"/>
            </w:pPr>
          </w:p>
        </w:tc>
        <w:tc>
          <w:tcPr>
            <w:tcW w:w="8055" w:type="dxa"/>
            <w:vMerge/>
            <w:tcBorders>
              <w:top w:val="nil"/>
              <w:left w:val="single" w:sz="12" w:space="0" w:color="4494D1"/>
              <w:bottom w:val="nil"/>
              <w:right w:val="nil"/>
            </w:tcBorders>
          </w:tcPr>
          <w:p>
            <w:pPr>
              <w:pageBreakBefore w:val="0"/>
            </w:pPr>
          </w:p>
        </w:tc>
      </w:tr>
    </w:tbl>
    <w:p>
      <w:pPr>
        <w:keepNext w:val="0"/>
        <w:keepLines w:val="0"/>
        <w:pageBreakBefore w:val="0"/>
        <w:widowControl/>
        <w:numPr>
          <w:ilvl w:val="0"/>
          <w:numId w:val="0"/>
        </w:numPr>
        <w:spacing w:before="120" w:after="120" w:line="288" w:lineRule="auto"/>
        <w:ind w:left="0" w:right="0" w:firstLine="0"/>
        <w:jc w:val="left"/>
        <w:outlineLvl w:val="9"/>
        <w:rPr>
          <w:rFonts w:ascii="Times New Roman" w:eastAsia="Times New Roman" w:hAnsi="Times New Roman" w:cs="Times New Roman"/>
          <w:b w:val="0"/>
          <w:i w:val="0"/>
          <w:color w:val="FF0090"/>
          <w:sz w:val="20"/>
          <w:u w:val="none"/>
        </w:rPr>
      </w:pP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205"/>
        <w:gridCol w:w="805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65"/>
          <w:jc w:val="left"/>
        </w:trPr>
        <w:tc>
          <w:tcPr>
            <w:tcW w:w="22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05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2385"/>
          <w:jc w:val="left"/>
        </w:trPr>
        <w:tc>
          <w:tcPr>
            <w:tcW w:w="2205" w:type="dxa"/>
            <w:vMerge w:val="restart"/>
            <w:tcBorders>
              <w:top w:val="nil"/>
              <w:left w:val="nil"/>
              <w:bottom w:val="nil"/>
              <w:right w:val="single" w:sz="12" w:space="0" w:color="4494D1"/>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hanging="90"/>
              <w:jc w:val="left"/>
              <w:outlineLvl w:val="9"/>
              <w:rPr>
                <w:rFonts w:ascii="Arial" w:eastAsia="Arial" w:hAnsi="Arial" w:cs="Arial"/>
                <w:b w:val="0"/>
                <w:i w:val="0"/>
                <w:sz w:val="16"/>
              </w:rPr>
            </w:pPr>
            <w:r>
              <w:pict>
                <v:shape id="_x0000_i1166" type="#_x0000_t75" style="width:111pt;height:128.25pt">
                  <v:imagedata r:id="rId48" o:title=""/>
                  <o:lock v:ext="edit" aspectratio="t"/>
                </v:shape>
              </w:pict>
            </w:r>
          </w:p>
        </w:tc>
        <w:tc>
          <w:tcPr>
            <w:tcW w:w="805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40" w:line="288" w:lineRule="auto"/>
              <w:ind w:left="180" w:right="180" w:firstLine="0"/>
              <w:jc w:val="left"/>
              <w:outlineLvl w:val="9"/>
              <w:rPr>
                <w:rFonts w:ascii="Arial" w:eastAsia="Arial" w:hAnsi="Arial" w:cs="Arial"/>
                <w:b/>
                <w:i w:val="0"/>
                <w:sz w:val="28"/>
              </w:rPr>
            </w:pPr>
            <w:r>
              <w:rPr>
                <w:rFonts w:ascii="Arial" w:eastAsia="Arial" w:hAnsi="Arial" w:cs="Arial"/>
                <w:b/>
                <w:i w:val="0"/>
                <w:color w:val="002060"/>
                <w:sz w:val="28"/>
                <w:u w:val="none"/>
              </w:rPr>
              <w:t>Robert J. Campbell</w:t>
            </w:r>
            <w:r>
              <w:rPr>
                <w:rFonts w:ascii="Arial" w:eastAsia="Arial" w:hAnsi="Arial" w:cs="Arial"/>
                <w:b/>
                <w:i w:val="0"/>
                <w:sz w:val="28"/>
              </w:rPr>
              <w:t xml:space="preserve">    </w:t>
            </w:r>
            <w:r>
              <w:rPr>
                <w:rFonts w:ascii="Arial" w:eastAsia="Arial" w:hAnsi="Arial" w:cs="Arial"/>
                <w:b w:val="0"/>
                <w:i w:val="0"/>
                <w:sz w:val="18"/>
              </w:rPr>
              <w:t>Chairman, Independent</w:t>
            </w:r>
          </w:p>
          <w:p>
            <w:pPr>
              <w:pageBreakBefore w:val="0"/>
              <w:numPr>
                <w:ilvl w:val="0"/>
                <w:numId w:val="0"/>
              </w:numPr>
              <w:spacing w:before="40" w:after="40" w:line="288" w:lineRule="auto"/>
              <w:ind w:left="180" w:right="180" w:firstLine="0"/>
              <w:jc w:val="left"/>
              <w:outlineLvl w:val="9"/>
              <w:rPr>
                <w:rFonts w:ascii="Arial" w:eastAsia="Arial" w:hAnsi="Arial" w:cs="Arial"/>
                <w:b/>
                <w:i w:val="0"/>
                <w:color w:val="4495D1"/>
                <w:sz w:val="18"/>
                <w:u w:val="none"/>
              </w:rPr>
            </w:pPr>
          </w:p>
          <w:p>
            <w:pPr>
              <w:pageBreakBefore w:val="0"/>
              <w:numPr>
                <w:ilvl w:val="0"/>
                <w:numId w:val="0"/>
              </w:numPr>
              <w:spacing w:before="4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Biographical Information</w:t>
            </w:r>
          </w:p>
          <w:p>
            <w:pPr>
              <w:pageBreakBefore w:val="0"/>
              <w:numPr>
                <w:ilvl w:val="0"/>
                <w:numId w:val="0"/>
              </w:numPr>
              <w:spacing w:before="0" w:after="0" w:line="288" w:lineRule="auto"/>
              <w:ind w:left="180" w:right="0" w:firstLine="0"/>
              <w:jc w:val="both"/>
              <w:outlineLvl w:val="9"/>
              <w:rPr>
                <w:rFonts w:ascii="Arial" w:eastAsia="Arial" w:hAnsi="Arial" w:cs="Arial"/>
                <w:b w:val="0"/>
                <w:i w:val="0"/>
                <w:sz w:val="18"/>
              </w:rPr>
            </w:pPr>
            <w:r>
              <w:rPr>
                <w:rFonts w:ascii="Arial" w:eastAsia="Arial" w:hAnsi="Arial" w:cs="Arial"/>
                <w:b w:val="0"/>
                <w:i w:val="0"/>
                <w:color w:val="000000"/>
                <w:sz w:val="18"/>
                <w:u w:val="none"/>
              </w:rPr>
              <w:t>Robert J. Campbell</w:t>
            </w:r>
            <w:r>
              <w:rPr>
                <w:rFonts w:ascii="Arial" w:eastAsia="Arial" w:hAnsi="Arial" w:cs="Arial"/>
                <w:b w:val="0"/>
                <w:i w:val="0"/>
                <w:sz w:val="18"/>
              </w:rPr>
              <w:t xml:space="preserve"> was appointed as the independent Chairman of the Board in November 2011. Mr. Campbell has been a Partner with the investment advisory firm of Beck, Mack &amp; Oliver, LLC since 1990.</w:t>
            </w:r>
          </w:p>
          <w:p>
            <w:pPr>
              <w:pageBreakBefore w:val="0"/>
              <w:numPr>
                <w:ilvl w:val="0"/>
                <w:numId w:val="0"/>
              </w:numPr>
              <w:spacing w:before="10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Certain Other Directorships</w:t>
            </w:r>
          </w:p>
          <w:p>
            <w:pPr>
              <w:pageBreakBefore w:val="0"/>
              <w:numPr>
                <w:ilvl w:val="0"/>
                <w:numId w:val="0"/>
              </w:numPr>
              <w:spacing w:before="0" w:after="0" w:line="288" w:lineRule="auto"/>
              <w:ind w:left="180" w:right="0" w:firstLine="0"/>
              <w:jc w:val="both"/>
              <w:outlineLvl w:val="9"/>
              <w:rPr>
                <w:rFonts w:ascii="Arial" w:eastAsia="Arial" w:hAnsi="Arial" w:cs="Arial"/>
                <w:b w:val="0"/>
                <w:i w:val="0"/>
                <w:sz w:val="18"/>
              </w:rPr>
            </w:pPr>
            <w:r>
              <w:rPr>
                <w:rFonts w:ascii="Arial" w:eastAsia="Arial" w:hAnsi="Arial" w:cs="Arial"/>
                <w:b w:val="0"/>
                <w:i w:val="0"/>
                <w:sz w:val="18"/>
              </w:rPr>
              <w:t xml:space="preserve">Mr. Campbell is a director and chairman of the audit committee of AgroFresh Solutions, Inc. (formerly Boulevard Acquisition Corp.), a </w:t>
            </w:r>
            <w:r>
              <w:rPr>
                <w:rFonts w:ascii="Arial" w:eastAsia="Arial" w:hAnsi="Arial" w:cs="Arial"/>
                <w:b w:val="0"/>
                <w:i w:val="0"/>
                <w:sz w:val="18"/>
              </w:rPr>
              <w:t>global agricultural technologies company</w:t>
            </w:r>
            <w:r>
              <w:rPr>
                <w:rFonts w:ascii="Arial" w:eastAsia="Arial" w:hAnsi="Arial" w:cs="Arial"/>
                <w:b w:val="0"/>
                <w:i w:val="0"/>
                <w:sz w:val="18"/>
              </w:rPr>
              <w:t>, which was publicl</w:t>
            </w:r>
            <w:r>
              <w:rPr>
                <w:rFonts w:ascii="Arial" w:eastAsia="Arial" w:hAnsi="Arial" w:cs="Arial"/>
                <w:b w:val="0"/>
                <w:i w:val="0"/>
                <w:sz w:val="18"/>
              </w:rPr>
              <w:t>y traded until March 2023</w:t>
            </w:r>
            <w:r>
              <w:rPr>
                <w:rFonts w:ascii="Arial" w:eastAsia="Arial" w:hAnsi="Arial" w:cs="Arial"/>
                <w:b w:val="0"/>
                <w:i w:val="0"/>
                <w:sz w:val="18"/>
              </w:rPr>
              <w:t>. From 2015 through 2017, he was also a director of Boulevard Acquisition Corp. II, a blank check company that completed its initial public offering in September 2015. He previously served as a director of Camden National Corporation, a publicly traded company, from 1999 to 2014.</w:t>
            </w:r>
          </w:p>
          <w:p>
            <w:pPr>
              <w:pageBreakBefore w:val="0"/>
              <w:numPr>
                <w:ilvl w:val="0"/>
                <w:numId w:val="0"/>
              </w:numPr>
              <w:spacing w:before="10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Skills and Qualifications</w:t>
            </w:r>
          </w:p>
          <w:p>
            <w:pPr>
              <w:pageBreakBefore w:val="0"/>
              <w:numPr>
                <w:ilvl w:val="0"/>
                <w:numId w:val="0"/>
              </w:numPr>
              <w:spacing w:before="0" w:after="0" w:line="288" w:lineRule="auto"/>
              <w:ind w:left="180" w:right="0" w:firstLine="0"/>
              <w:jc w:val="left"/>
              <w:outlineLvl w:val="9"/>
              <w:rPr>
                <w:rFonts w:ascii="Arial" w:eastAsia="Arial" w:hAnsi="Arial" w:cs="Arial"/>
                <w:b w:val="0"/>
                <w:i/>
                <w:sz w:val="18"/>
              </w:rPr>
            </w:pPr>
            <w:r>
              <w:rPr>
                <w:rFonts w:ascii="Arial" w:eastAsia="Arial" w:hAnsi="Arial" w:cs="Arial"/>
                <w:b w:val="0"/>
                <w:i/>
                <w:sz w:val="18"/>
              </w:rPr>
              <w:t xml:space="preserve">Financial, accounting, and investment expertise; leadership skills </w:t>
            </w:r>
          </w:p>
          <w:p>
            <w:pPr>
              <w:pageBreakBefore w:val="0"/>
              <w:numPr>
                <w:ilvl w:val="0"/>
                <w:numId w:val="0"/>
              </w:numPr>
              <w:spacing w:before="0" w:after="30" w:line="288" w:lineRule="auto"/>
              <w:ind w:left="180" w:right="0" w:firstLine="0"/>
              <w:jc w:val="both"/>
              <w:outlineLvl w:val="9"/>
              <w:rPr>
                <w:rFonts w:ascii="Arial" w:eastAsia="Arial" w:hAnsi="Arial" w:cs="Arial"/>
                <w:b w:val="0"/>
                <w:i w:val="0"/>
                <w:sz w:val="18"/>
              </w:rPr>
            </w:pPr>
            <w:r>
              <w:rPr>
                <w:rFonts w:ascii="Arial" w:eastAsia="Arial" w:hAnsi="Arial" w:cs="Arial"/>
                <w:b w:val="0"/>
                <w:i w:val="0"/>
                <w:sz w:val="18"/>
              </w:rPr>
              <w:t>Mr. Campbell brings to the Board his extensive understanding of finance and accounting, which he obtained through over 40 years of analyzing financial services companies and which is very valuable in his role as chairman of our Audit Committee. In addition, Mr. Campbell's investment management expertise makes him a key member of our Investment Committee, of which he serves as chairman. Mr. Campbell continues to spend considerable time and energy in his role, which is significant to the leadership and function of our Board.</w:t>
            </w:r>
          </w:p>
        </w:tc>
      </w:tr>
      <w:tr>
        <w:tblPrEx>
          <w:tblW w:w="10260" w:type="dxa"/>
          <w:jc w:val="left"/>
          <w:tblInd w:w="0" w:type="dxa"/>
          <w:tblLayout w:type="fixed"/>
          <w:tblCellMar>
            <w:left w:w="108" w:type="dxa"/>
            <w:right w:w="108" w:type="dxa"/>
          </w:tblCellMar>
        </w:tblPrEx>
        <w:trPr>
          <w:cantSplit/>
          <w:trHeight w:hRule="exact" w:val="180"/>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105"/>
          <w:jc w:val="left"/>
        </w:trPr>
        <w:tc>
          <w:tcPr>
            <w:tcW w:w="2205" w:type="dxa"/>
            <w:tcBorders>
              <w:top w:val="nil"/>
              <w:left w:val="nil"/>
              <w:bottom w:val="nil"/>
              <w:right w:val="single" w:sz="12" w:space="0" w:color="4494D1"/>
            </w:tcBorders>
            <w:tcMar>
              <w:top w:w="0" w:type="dxa"/>
              <w:left w:w="0" w:type="dxa"/>
              <w:bottom w:w="0" w:type="dxa"/>
              <w:right w:w="0" w:type="dxa"/>
            </w:tcMar>
            <w:vAlign w:val="bottom"/>
          </w:tcPr>
          <w:p>
            <w:pPr>
              <w:keepNext/>
              <w:pageBreakBefore w:val="0"/>
              <w:spacing w:before="0" w:after="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1485"/>
          <w:jc w:val="left"/>
        </w:trPr>
        <w:tc>
          <w:tcPr>
            <w:tcW w:w="2205" w:type="dxa"/>
            <w:vMerge w:val="restart"/>
            <w:tcBorders>
              <w:top w:val="nil"/>
              <w:left w:val="nil"/>
              <w:bottom w:val="nil"/>
              <w:right w:val="single" w:sz="12" w:space="0" w:color="4494D1"/>
            </w:tcBorders>
            <w:tcMar>
              <w:top w:w="0" w:type="dxa"/>
              <w:left w:w="53" w:type="dxa"/>
              <w:bottom w:w="0" w:type="dxa"/>
              <w:right w:w="53" w:type="dxa"/>
            </w:tcMar>
            <w:vAlign w:val="top"/>
          </w:tcPr>
          <w:p>
            <w:pPr>
              <w:keepNext/>
              <w:pageBreakBefore w:val="0"/>
              <w:numPr>
                <w:ilvl w:val="0"/>
                <w:numId w:val="0"/>
              </w:numPr>
              <w:spacing w:before="53" w:after="100" w:line="288" w:lineRule="auto"/>
              <w:ind w:left="-43" w:right="0" w:firstLine="0"/>
              <w:jc w:val="left"/>
              <w:outlineLvl w:val="9"/>
              <w:rPr>
                <w:rFonts w:ascii="Arial" w:eastAsia="Arial" w:hAnsi="Arial" w:cs="Arial"/>
                <w:b/>
                <w:i w:val="0"/>
                <w:sz w:val="16"/>
              </w:rPr>
            </w:pPr>
            <w:r>
              <w:rPr>
                <w:rFonts w:ascii="Arial" w:eastAsia="Arial" w:hAnsi="Arial" w:cs="Arial"/>
                <w:b/>
                <w:i w:val="0"/>
                <w:sz w:val="16"/>
              </w:rPr>
              <w:t>Director Since:</w:t>
            </w:r>
            <w:r>
              <w:rPr>
                <w:rFonts w:ascii="Arial" w:eastAsia="Arial" w:hAnsi="Arial" w:cs="Arial"/>
                <w:b w:val="0"/>
                <w:i w:val="0"/>
                <w:sz w:val="16"/>
              </w:rPr>
              <w:t xml:space="preserve"> </w:t>
            </w:r>
            <w:r>
              <w:rPr>
                <w:rFonts w:ascii="Arial" w:eastAsia="Arial" w:hAnsi="Arial" w:cs="Arial"/>
                <w:b w:val="0"/>
                <w:i w:val="0"/>
                <w:color w:val="000000"/>
                <w:sz w:val="16"/>
                <w:u w:val="none"/>
              </w:rPr>
              <w:t>2007</w:t>
            </w:r>
          </w:p>
          <w:p>
            <w:pPr>
              <w:pageBreakBefore w:val="0"/>
              <w:numPr>
                <w:ilvl w:val="0"/>
                <w:numId w:val="0"/>
              </w:numPr>
              <w:spacing w:before="100" w:after="100" w:line="288" w:lineRule="auto"/>
              <w:ind w:left="-43" w:right="0" w:firstLine="0"/>
              <w:jc w:val="left"/>
              <w:outlineLvl w:val="9"/>
              <w:rPr>
                <w:rFonts w:ascii="Arial" w:eastAsia="Arial" w:hAnsi="Arial" w:cs="Arial"/>
                <w:b/>
                <w:i w:val="0"/>
                <w:sz w:val="16"/>
              </w:rPr>
            </w:pPr>
            <w:r>
              <w:rPr>
                <w:rFonts w:ascii="Arial" w:eastAsia="Arial" w:hAnsi="Arial" w:cs="Arial"/>
                <w:b/>
                <w:i w:val="0"/>
                <w:sz w:val="16"/>
              </w:rPr>
              <w:t>Age:</w:t>
            </w:r>
            <w:r>
              <w:rPr>
                <w:rFonts w:ascii="Arial" w:eastAsia="Arial" w:hAnsi="Arial" w:cs="Arial"/>
                <w:b w:val="0"/>
                <w:i w:val="0"/>
                <w:sz w:val="16"/>
              </w:rPr>
              <w:t xml:space="preserve"> </w:t>
            </w:r>
            <w:r>
              <w:rPr>
                <w:rFonts w:ascii="Arial" w:eastAsia="Arial" w:hAnsi="Arial" w:cs="Arial"/>
                <w:b w:val="0"/>
                <w:i w:val="0"/>
                <w:color w:val="000000"/>
                <w:sz w:val="16"/>
                <w:u w:val="none"/>
              </w:rPr>
              <w:t>75</w:t>
            </w:r>
          </w:p>
          <w:p>
            <w:pPr>
              <w:pageBreakBefore w:val="0"/>
              <w:numPr>
                <w:ilvl w:val="0"/>
                <w:numId w:val="0"/>
              </w:numPr>
              <w:spacing w:before="0" w:after="0" w:line="288" w:lineRule="auto"/>
              <w:ind w:left="-43" w:right="0" w:firstLine="0"/>
              <w:jc w:val="left"/>
              <w:outlineLvl w:val="9"/>
              <w:rPr>
                <w:rFonts w:ascii="Arial" w:eastAsia="Arial" w:hAnsi="Arial" w:cs="Arial"/>
                <w:b/>
                <w:i w:val="0"/>
                <w:sz w:val="16"/>
              </w:rPr>
            </w:pPr>
            <w:r>
              <w:rPr>
                <w:rFonts w:ascii="Arial" w:eastAsia="Arial" w:hAnsi="Arial" w:cs="Arial"/>
                <w:b/>
                <w:i w:val="0"/>
                <w:sz w:val="16"/>
              </w:rPr>
              <w:t xml:space="preserve">Enstar Committees: </w:t>
            </w:r>
          </w:p>
          <w:p>
            <w:pPr>
              <w:pageBreakBefore w:val="0"/>
              <w:numPr>
                <w:ilvl w:val="0"/>
                <w:numId w:val="0"/>
              </w:numPr>
              <w:spacing w:before="0" w:after="100" w:line="288" w:lineRule="auto"/>
              <w:ind w:left="-43"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Audit (Chair)  | Human Resources and Compensation | Nominating and Governance | Investment (Chair) | Executive (Chair)</w:t>
            </w:r>
          </w:p>
          <w:p>
            <w:pPr>
              <w:pageBreakBefore w:val="0"/>
              <w:numPr>
                <w:ilvl w:val="0"/>
                <w:numId w:val="0"/>
              </w:numPr>
              <w:spacing w:before="0" w:after="0" w:line="288" w:lineRule="auto"/>
              <w:ind w:left="-43" w:right="0" w:firstLine="0"/>
              <w:jc w:val="left"/>
              <w:outlineLvl w:val="9"/>
              <w:rPr>
                <w:rFonts w:ascii="Arial" w:eastAsia="Arial" w:hAnsi="Arial" w:cs="Arial"/>
                <w:b/>
                <w:i w:val="0"/>
                <w:sz w:val="16"/>
              </w:rPr>
            </w:pPr>
            <w:r>
              <w:rPr>
                <w:rFonts w:ascii="Arial" w:eastAsia="Arial" w:hAnsi="Arial" w:cs="Arial"/>
                <w:b/>
                <w:i w:val="0"/>
                <w:sz w:val="16"/>
              </w:rPr>
              <w:t>Resi</w:t>
            </w:r>
            <w:r>
              <w:rPr>
                <w:rFonts w:ascii="Arial" w:eastAsia="Arial" w:hAnsi="Arial" w:cs="Arial"/>
                <w:b/>
                <w:i w:val="0"/>
                <w:sz w:val="16"/>
              </w:rPr>
              <w:t>dency and Citizenship:</w:t>
            </w:r>
          </w:p>
          <w:p>
            <w:pPr>
              <w:pageBreakBefore w:val="0"/>
              <w:numPr>
                <w:ilvl w:val="0"/>
                <w:numId w:val="0"/>
              </w:numPr>
              <w:spacing w:before="0" w:after="30" w:line="288" w:lineRule="auto"/>
              <w:ind w:left="-43"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 xml:space="preserve">US resident </w:t>
            </w:r>
            <w:r>
              <w:rPr>
                <w:rFonts w:ascii="Webdings" w:eastAsia="Webdings" w:hAnsi="Webdings" w:cs="Webdings"/>
                <w:b w:val="0"/>
                <w:i w:val="0"/>
                <w:color w:val="000000"/>
                <w:sz w:val="16"/>
                <w:u w:val="none"/>
              </w:rPr>
              <w:t>|</w:t>
            </w:r>
            <w:r>
              <w:rPr>
                <w:rFonts w:ascii="Arial" w:eastAsia="Arial" w:hAnsi="Arial" w:cs="Arial"/>
                <w:b w:val="0"/>
                <w:i w:val="0"/>
                <w:color w:val="000000"/>
                <w:sz w:val="16"/>
                <w:u w:val="none"/>
              </w:rPr>
              <w:t xml:space="preserve"> US citizen</w:t>
            </w: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31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31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31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28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615"/>
          <w:jc w:val="left"/>
        </w:trPr>
        <w:tc>
          <w:tcPr>
            <w:tcW w:w="2205" w:type="dxa"/>
            <w:vMerge/>
            <w:tcBorders>
              <w:top w:val="nil"/>
              <w:left w:val="nil"/>
              <w:bottom w:val="nil"/>
              <w:right w:val="single" w:sz="12" w:space="0" w:color="4494D1"/>
            </w:tcBorders>
          </w:tcPr>
          <w:p>
            <w:pPr>
              <w:pageBreakBefore w:val="0"/>
            </w:pPr>
          </w:p>
        </w:tc>
        <w:tc>
          <w:tcPr>
            <w:tcW w:w="8055" w:type="dxa"/>
            <w:vMerge/>
            <w:tcBorders>
              <w:top w:val="nil"/>
              <w:left w:val="nil"/>
              <w:bottom w:val="nil"/>
              <w:right w:val="nil"/>
            </w:tcBorders>
          </w:tcPr>
          <w:p>
            <w:pPr>
              <w:pageBreakBefore w:val="0"/>
            </w:pPr>
          </w:p>
        </w:tc>
      </w:tr>
    </w:tbl>
    <w:p>
      <w:pPr>
        <w:keepNext w:val="0"/>
        <w:keepLines w:val="0"/>
        <w:pageBreakBefore w:val="0"/>
        <w:widowControl/>
        <w:numPr>
          <w:ilvl w:val="0"/>
          <w:numId w:val="0"/>
        </w:numPr>
        <w:spacing w:before="120" w:after="120" w:line="288" w:lineRule="auto"/>
        <w:ind w:left="0" w:right="0" w:firstLine="0"/>
        <w:jc w:val="left"/>
        <w:outlineLvl w:val="9"/>
        <w:rPr>
          <w:rFonts w:ascii="Times New Roman" w:eastAsia="Times New Roman" w:hAnsi="Times New Roman" w:cs="Times New Roman"/>
          <w:b w:val="0"/>
          <w:i w:val="0"/>
          <w:color w:val="FF0090"/>
          <w:sz w:val="20"/>
          <w:u w:val="none"/>
        </w:rPr>
      </w:pP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205"/>
        <w:gridCol w:w="805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65"/>
          <w:jc w:val="left"/>
        </w:trPr>
        <w:tc>
          <w:tcPr>
            <w:tcW w:w="22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05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305"/>
          <w:jc w:val="left"/>
        </w:trPr>
        <w:tc>
          <w:tcPr>
            <w:tcW w:w="2205" w:type="dxa"/>
            <w:vMerge w:val="restart"/>
            <w:tcBorders>
              <w:top w:val="nil"/>
              <w:left w:val="nil"/>
              <w:bottom w:val="nil"/>
              <w:right w:val="single" w:sz="12" w:space="0" w:color="4494D1"/>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hanging="90"/>
              <w:jc w:val="left"/>
              <w:outlineLvl w:val="9"/>
              <w:rPr>
                <w:rFonts w:ascii="Arial" w:eastAsia="Arial" w:hAnsi="Arial" w:cs="Arial"/>
                <w:b w:val="0"/>
                <w:i w:val="0"/>
                <w:sz w:val="16"/>
              </w:rPr>
            </w:pPr>
            <w:r>
              <w:pict>
                <v:shape id="_x0000_i1167" type="#_x0000_t75" style="width:112.5pt;height:127.5pt">
                  <v:imagedata r:id="rId49" o:title=""/>
                  <o:lock v:ext="edit" aspectratio="t"/>
                </v:shape>
              </w:pict>
            </w:r>
          </w:p>
        </w:tc>
        <w:tc>
          <w:tcPr>
            <w:tcW w:w="805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40" w:line="288" w:lineRule="auto"/>
              <w:ind w:left="180" w:right="0" w:firstLine="0"/>
              <w:jc w:val="both"/>
              <w:outlineLvl w:val="9"/>
              <w:rPr>
                <w:rFonts w:ascii="Arial" w:eastAsia="Arial" w:hAnsi="Arial" w:cs="Arial"/>
                <w:b/>
                <w:i w:val="0"/>
                <w:color w:val="4495D1"/>
                <w:sz w:val="28"/>
                <w:u w:val="none"/>
              </w:rPr>
            </w:pPr>
            <w:r>
              <w:rPr>
                <w:rFonts w:ascii="Arial" w:eastAsia="Arial" w:hAnsi="Arial" w:cs="Arial"/>
                <w:b/>
                <w:i w:val="0"/>
                <w:color w:val="002060"/>
                <w:sz w:val="28"/>
                <w:u w:val="none"/>
              </w:rPr>
              <w:t>James D. Carey</w:t>
            </w:r>
            <w:r>
              <w:rPr>
                <w:rFonts w:ascii="Arial" w:eastAsia="Arial" w:hAnsi="Arial" w:cs="Arial"/>
                <w:b/>
                <w:i w:val="0"/>
                <w:sz w:val="28"/>
              </w:rPr>
              <w:t xml:space="preserve">    </w:t>
            </w:r>
            <w:r>
              <w:rPr>
                <w:rFonts w:ascii="Arial" w:eastAsia="Arial" w:hAnsi="Arial" w:cs="Arial"/>
                <w:b w:val="0"/>
                <w:i w:val="0"/>
                <w:sz w:val="18"/>
              </w:rPr>
              <w:t>Non-Employee</w:t>
            </w:r>
          </w:p>
          <w:p>
            <w:pPr>
              <w:pageBreakBefore w:val="0"/>
              <w:numPr>
                <w:ilvl w:val="0"/>
                <w:numId w:val="0"/>
              </w:numPr>
              <w:spacing w:before="40" w:after="40" w:line="288" w:lineRule="auto"/>
              <w:ind w:left="180" w:right="0" w:firstLine="0"/>
              <w:jc w:val="both"/>
              <w:outlineLvl w:val="9"/>
              <w:rPr>
                <w:rFonts w:ascii="Arial" w:eastAsia="Arial" w:hAnsi="Arial" w:cs="Arial"/>
                <w:b/>
                <w:i w:val="0"/>
                <w:color w:val="4495D1"/>
                <w:sz w:val="18"/>
                <w:u w:val="none"/>
              </w:rPr>
            </w:pPr>
          </w:p>
          <w:p>
            <w:pPr>
              <w:pageBreakBefore w:val="0"/>
              <w:numPr>
                <w:ilvl w:val="0"/>
                <w:numId w:val="0"/>
              </w:numPr>
              <w:spacing w:before="0" w:after="0" w:line="288" w:lineRule="auto"/>
              <w:ind w:left="180" w:right="0" w:firstLine="0"/>
              <w:jc w:val="both"/>
              <w:outlineLvl w:val="9"/>
              <w:rPr>
                <w:rFonts w:ascii="Arial" w:eastAsia="Arial" w:hAnsi="Arial" w:cs="Arial"/>
                <w:b/>
                <w:i w:val="0"/>
                <w:color w:val="4495D1"/>
                <w:sz w:val="18"/>
                <w:u w:val="none"/>
              </w:rPr>
            </w:pPr>
            <w:r>
              <w:rPr>
                <w:rFonts w:ascii="Arial" w:eastAsia="Arial" w:hAnsi="Arial" w:cs="Arial"/>
                <w:b/>
                <w:i w:val="0"/>
                <w:color w:val="4495D1"/>
                <w:sz w:val="18"/>
                <w:u w:val="none"/>
              </w:rPr>
              <w:t>Biographical Information</w:t>
            </w:r>
          </w:p>
          <w:p>
            <w:pPr>
              <w:pageBreakBefore w:val="0"/>
              <w:numPr>
                <w:ilvl w:val="0"/>
                <w:numId w:val="0"/>
              </w:numPr>
              <w:spacing w:before="40" w:after="40" w:line="288" w:lineRule="auto"/>
              <w:ind w:left="180" w:right="0" w:firstLine="0"/>
              <w:jc w:val="both"/>
              <w:outlineLvl w:val="9"/>
              <w:rPr>
                <w:rFonts w:ascii="Arial" w:eastAsia="Arial" w:hAnsi="Arial" w:cs="Arial"/>
                <w:b w:val="0"/>
                <w:i w:val="0"/>
                <w:sz w:val="18"/>
              </w:rPr>
            </w:pPr>
            <w:r>
              <w:rPr>
                <w:rFonts w:ascii="Arial" w:eastAsia="Arial" w:hAnsi="Arial" w:cs="Arial"/>
                <w:b w:val="0"/>
                <w:i w:val="0"/>
                <w:color w:val="000000"/>
                <w:sz w:val="18"/>
                <w:u w:val="none"/>
              </w:rPr>
              <w:t>James D. Carey</w:t>
            </w:r>
            <w:r>
              <w:rPr>
                <w:rFonts w:ascii="Arial" w:eastAsia="Arial" w:hAnsi="Arial" w:cs="Arial"/>
                <w:b w:val="0"/>
                <w:i w:val="0"/>
                <w:sz w:val="18"/>
              </w:rPr>
              <w:t xml:space="preserve"> is </w:t>
            </w:r>
            <w:r>
              <w:rPr>
                <w:rFonts w:ascii="Arial" w:eastAsia="Arial" w:hAnsi="Arial" w:cs="Arial"/>
                <w:b w:val="0"/>
                <w:i w:val="0"/>
                <w:sz w:val="18"/>
              </w:rPr>
              <w:t>Co-Chief Executive Officer</w:t>
            </w:r>
            <w:r>
              <w:rPr>
                <w:rFonts w:ascii="Arial" w:eastAsia="Arial" w:hAnsi="Arial" w:cs="Arial"/>
                <w:b w:val="0"/>
                <w:i w:val="0"/>
                <w:sz w:val="18"/>
              </w:rPr>
              <w:t xml:space="preserve"> </w:t>
            </w:r>
            <w:r>
              <w:rPr>
                <w:rFonts w:ascii="Arial" w:eastAsia="Arial" w:hAnsi="Arial" w:cs="Arial"/>
                <w:b w:val="0"/>
                <w:i w:val="0"/>
                <w:sz w:val="18"/>
              </w:rPr>
              <w:t>of Stone Point Capital LLC, a private equity firm based in Greenwich, Connec</w:t>
            </w:r>
            <w:r>
              <w:rPr>
                <w:rFonts w:ascii="Arial" w:eastAsia="Arial" w:hAnsi="Arial" w:cs="Arial"/>
                <w:b w:val="0"/>
                <w:i w:val="0"/>
                <w:sz w:val="18"/>
              </w:rPr>
              <w:t>t</w:t>
            </w:r>
            <w:r>
              <w:rPr>
                <w:rFonts w:ascii="Arial" w:eastAsia="Arial" w:hAnsi="Arial" w:cs="Arial"/>
                <w:b w:val="0"/>
                <w:i w:val="0"/>
                <w:sz w:val="18"/>
              </w:rPr>
              <w:t>i</w:t>
            </w:r>
            <w:r>
              <w:rPr>
                <w:rFonts w:ascii="Arial" w:eastAsia="Arial" w:hAnsi="Arial" w:cs="Arial"/>
                <w:b w:val="0"/>
                <w:i w:val="0"/>
                <w:sz w:val="18"/>
              </w:rPr>
              <w:t>c</w:t>
            </w:r>
            <w:r>
              <w:rPr>
                <w:rFonts w:ascii="Arial" w:eastAsia="Arial" w:hAnsi="Arial" w:cs="Arial"/>
                <w:b w:val="0"/>
                <w:i w:val="0"/>
                <w:sz w:val="18"/>
              </w:rPr>
              <w:t>u</w:t>
            </w:r>
            <w:r>
              <w:rPr>
                <w:rFonts w:ascii="Arial" w:eastAsia="Arial" w:hAnsi="Arial" w:cs="Arial"/>
                <w:b w:val="0"/>
                <w:i w:val="0"/>
                <w:sz w:val="18"/>
              </w:rPr>
              <w:t>t</w:t>
            </w:r>
            <w:r>
              <w:rPr>
                <w:rFonts w:ascii="Arial" w:eastAsia="Arial" w:hAnsi="Arial" w:cs="Arial"/>
                <w:b w:val="0"/>
                <w:i w:val="0"/>
                <w:sz w:val="18"/>
              </w:rPr>
              <w:t>.</w:t>
            </w:r>
            <w:r>
              <w:rPr>
                <w:rFonts w:ascii="Arial" w:eastAsia="Arial" w:hAnsi="Arial" w:cs="Arial"/>
                <w:b w:val="0"/>
                <w:i w:val="0"/>
                <w:sz w:val="18"/>
              </w:rPr>
              <w:t xml:space="preserve"> </w:t>
            </w:r>
            <w:r>
              <w:rPr>
                <w:rFonts w:ascii="Arial" w:eastAsia="Arial" w:hAnsi="Arial" w:cs="Arial"/>
                <w:b w:val="0"/>
                <w:i w:val="0"/>
                <w:sz w:val="18"/>
              </w:rPr>
              <w:t>H</w:t>
            </w:r>
            <w:r>
              <w:rPr>
                <w:rFonts w:ascii="Arial" w:eastAsia="Arial" w:hAnsi="Arial" w:cs="Arial"/>
                <w:b w:val="0"/>
                <w:i w:val="0"/>
                <w:sz w:val="18"/>
              </w:rPr>
              <w:t xml:space="preserve">e </w:t>
            </w:r>
            <w:r>
              <w:rPr>
                <w:rFonts w:ascii="Arial" w:eastAsia="Arial" w:hAnsi="Arial" w:cs="Arial"/>
                <w:b w:val="0"/>
                <w:i w:val="0"/>
                <w:sz w:val="18"/>
              </w:rPr>
              <w:t>previously</w:t>
            </w:r>
            <w:r>
              <w:rPr>
                <w:rFonts w:ascii="Arial" w:eastAsia="Arial" w:hAnsi="Arial" w:cs="Arial"/>
                <w:b w:val="0"/>
                <w:i w:val="0"/>
                <w:sz w:val="18"/>
              </w:rPr>
              <w:t xml:space="preserve"> </w:t>
            </w:r>
            <w:r>
              <w:rPr>
                <w:rFonts w:ascii="Arial" w:eastAsia="Arial" w:hAnsi="Arial" w:cs="Arial"/>
                <w:b w:val="0"/>
                <w:i w:val="0"/>
                <w:sz w:val="18"/>
              </w:rPr>
              <w:t xml:space="preserve">served as </w:t>
            </w:r>
            <w:r>
              <w:rPr>
                <w:rFonts w:ascii="Arial" w:eastAsia="Arial" w:hAnsi="Arial" w:cs="Arial"/>
                <w:b w:val="0"/>
                <w:i w:val="0"/>
                <w:sz w:val="18"/>
              </w:rPr>
              <w:t>President</w:t>
            </w:r>
            <w:r>
              <w:rPr>
                <w:rFonts w:ascii="Arial" w:eastAsia="Arial" w:hAnsi="Arial" w:cs="Arial"/>
                <w:b w:val="0"/>
                <w:i w:val="0"/>
                <w:sz w:val="18"/>
              </w:rPr>
              <w:t xml:space="preserve"> of Stone Point Capital from </w:t>
            </w:r>
            <w:r>
              <w:rPr>
                <w:rFonts w:ascii="Arial" w:eastAsia="Arial" w:hAnsi="Arial" w:cs="Arial"/>
                <w:b w:val="0"/>
                <w:i w:val="0"/>
                <w:sz w:val="18"/>
              </w:rPr>
              <w:t xml:space="preserve">April 2023 through March 2024, </w:t>
            </w:r>
            <w:r>
              <w:rPr>
                <w:rFonts w:ascii="Arial" w:eastAsia="Arial" w:hAnsi="Arial" w:cs="Arial"/>
                <w:b w:val="0"/>
                <w:i w:val="0"/>
                <w:sz w:val="18"/>
              </w:rPr>
              <w:t xml:space="preserve">as </w:t>
            </w:r>
            <w:r>
              <w:rPr>
                <w:rFonts w:ascii="Arial" w:eastAsia="Arial" w:hAnsi="Arial" w:cs="Arial"/>
                <w:b w:val="0"/>
                <w:i w:val="0"/>
                <w:sz w:val="18"/>
              </w:rPr>
              <w:t>Managing Director</w:t>
            </w:r>
            <w:r>
              <w:rPr>
                <w:rFonts w:ascii="Arial" w:eastAsia="Arial" w:hAnsi="Arial" w:cs="Arial"/>
                <w:b w:val="0"/>
                <w:i w:val="0"/>
                <w:sz w:val="18"/>
              </w:rPr>
              <w:t xml:space="preserve"> from </w:t>
            </w:r>
            <w:r>
              <w:rPr>
                <w:rFonts w:ascii="Arial" w:eastAsia="Arial" w:hAnsi="Arial" w:cs="Arial"/>
                <w:b w:val="0"/>
                <w:i w:val="0"/>
                <w:sz w:val="18"/>
              </w:rPr>
              <w:t>2021</w:t>
            </w:r>
            <w:r>
              <w:rPr>
                <w:rFonts w:ascii="Arial" w:eastAsia="Arial" w:hAnsi="Arial" w:cs="Arial"/>
                <w:b w:val="0"/>
                <w:i w:val="0"/>
                <w:sz w:val="18"/>
              </w:rPr>
              <w:t xml:space="preserve"> to </w:t>
            </w:r>
            <w:r>
              <w:rPr>
                <w:rFonts w:ascii="Arial" w:eastAsia="Arial" w:hAnsi="Arial" w:cs="Arial"/>
                <w:b w:val="0"/>
                <w:i w:val="0"/>
                <w:sz w:val="18"/>
              </w:rPr>
              <w:t xml:space="preserve">2023, and </w:t>
            </w:r>
            <w:r>
              <w:rPr>
                <w:rFonts w:ascii="Arial" w:eastAsia="Arial" w:hAnsi="Arial" w:cs="Arial"/>
                <w:b w:val="0"/>
                <w:i w:val="0"/>
                <w:sz w:val="18"/>
              </w:rPr>
              <w:t>p</w:t>
            </w:r>
            <w:r>
              <w:rPr>
                <w:rFonts w:ascii="Arial" w:eastAsia="Arial" w:hAnsi="Arial" w:cs="Arial"/>
                <w:b w:val="0"/>
                <w:i w:val="0"/>
                <w:sz w:val="18"/>
              </w:rPr>
              <w:t xml:space="preserve">rior to </w:t>
            </w:r>
            <w:r>
              <w:rPr>
                <w:rFonts w:ascii="Arial" w:eastAsia="Arial" w:hAnsi="Arial" w:cs="Arial"/>
                <w:b w:val="0"/>
                <w:i w:val="0"/>
                <w:sz w:val="18"/>
              </w:rPr>
              <w:t xml:space="preserve">that as Senior Principal. </w:t>
            </w:r>
            <w:r>
              <w:rPr>
                <w:rFonts w:ascii="Arial" w:eastAsia="Arial" w:hAnsi="Arial" w:cs="Arial"/>
                <w:b w:val="0"/>
                <w:i w:val="0"/>
                <w:sz w:val="18"/>
              </w:rPr>
              <w:t>Stone Point Capital serves as the manager of the Trident Funds, which invest exclusively in the global financial services industry. Mr. Carey has been with Stone Point Capital and its predecessor entities since 1997. He previously served as a director of the Company from its formation in 2001 until the Company became publicly traded in 2007. Mr. Carey rejoined the Board in 2013</w:t>
            </w:r>
            <w:r>
              <w:rPr>
                <w:rFonts w:ascii="Arial" w:eastAsia="Arial" w:hAnsi="Arial" w:cs="Arial"/>
                <w:b w:val="0"/>
                <w:i w:val="0"/>
                <w:sz w:val="18"/>
              </w:rPr>
              <w:t>.</w:t>
            </w:r>
          </w:p>
          <w:p>
            <w:pPr>
              <w:pageBreakBefore w:val="0"/>
              <w:numPr>
                <w:ilvl w:val="0"/>
                <w:numId w:val="0"/>
              </w:numPr>
              <w:spacing w:before="10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Certain Other Directorships</w:t>
            </w:r>
          </w:p>
          <w:p>
            <w:pPr>
              <w:pageBreakBefore w:val="0"/>
              <w:numPr>
                <w:ilvl w:val="0"/>
                <w:numId w:val="0"/>
              </w:numPr>
              <w:spacing w:before="40" w:after="40" w:line="288" w:lineRule="auto"/>
              <w:ind w:left="180" w:right="0" w:firstLine="0"/>
              <w:jc w:val="both"/>
              <w:outlineLvl w:val="9"/>
              <w:rPr>
                <w:rFonts w:ascii="Arial" w:eastAsia="Arial" w:hAnsi="Arial" w:cs="Arial"/>
                <w:b w:val="0"/>
                <w:i w:val="0"/>
                <w:sz w:val="18"/>
              </w:rPr>
            </w:pPr>
            <w:r>
              <w:rPr>
                <w:rFonts w:ascii="Arial" w:eastAsia="Arial" w:hAnsi="Arial" w:cs="Arial"/>
                <w:b w:val="0"/>
                <w:i w:val="0"/>
                <w:sz w:val="18"/>
              </w:rPr>
              <w:t>Mr. Care</w:t>
            </w:r>
            <w:r>
              <w:rPr>
                <w:rFonts w:ascii="Arial" w:eastAsia="Arial" w:hAnsi="Arial" w:cs="Arial"/>
                <w:b w:val="0"/>
                <w:i w:val="0"/>
                <w:sz w:val="18"/>
              </w:rPr>
              <w:t xml:space="preserve">y is a </w:t>
            </w:r>
            <w:r>
              <w:rPr>
                <w:rFonts w:ascii="Arial" w:eastAsia="Arial" w:hAnsi="Arial" w:cs="Arial"/>
                <w:b w:val="0"/>
                <w:i w:val="0"/>
                <w:sz w:val="18"/>
              </w:rPr>
              <w:t>director</w:t>
            </w:r>
            <w:r>
              <w:rPr>
                <w:rFonts w:ascii="Arial" w:eastAsia="Arial" w:hAnsi="Arial" w:cs="Arial"/>
                <w:b w:val="0"/>
                <w:i w:val="0"/>
                <w:sz w:val="18"/>
              </w:rPr>
              <w:t xml:space="preserve"> of Hire</w:t>
            </w:r>
            <w:r>
              <w:rPr>
                <w:rFonts w:ascii="Arial" w:eastAsia="Arial" w:hAnsi="Arial" w:cs="Arial"/>
                <w:b w:val="0"/>
                <w:i w:val="0"/>
                <w:sz w:val="18"/>
              </w:rPr>
              <w:t xml:space="preserve">Right </w:t>
            </w:r>
            <w:r>
              <w:rPr>
                <w:rFonts w:ascii="Arial" w:eastAsia="Arial" w:hAnsi="Arial" w:cs="Arial"/>
                <w:b w:val="0"/>
                <w:i w:val="0"/>
                <w:sz w:val="18"/>
              </w:rPr>
              <w:t>Holding</w:t>
            </w:r>
            <w:r>
              <w:rPr>
                <w:rFonts w:ascii="Arial" w:eastAsia="Arial" w:hAnsi="Arial" w:cs="Arial"/>
                <w:b w:val="0"/>
                <w:i w:val="0"/>
                <w:sz w:val="18"/>
              </w:rPr>
              <w:t>s Corporation, a publicly traded company that provides technology-driven workforce risk management and compliance solutions</w:t>
            </w:r>
            <w:r>
              <w:rPr>
                <w:rFonts w:ascii="Arial" w:eastAsia="Arial" w:hAnsi="Arial" w:cs="Arial"/>
                <w:b w:val="0"/>
                <w:i w:val="0"/>
                <w:sz w:val="18"/>
              </w:rPr>
              <w:t xml:space="preserve">. </w:t>
            </w:r>
            <w:r>
              <w:rPr>
                <w:rFonts w:ascii="Arial" w:eastAsia="Arial" w:hAnsi="Arial" w:cs="Arial"/>
                <w:b w:val="0"/>
                <w:i w:val="0"/>
                <w:sz w:val="18"/>
              </w:rPr>
              <w:t xml:space="preserve">From July 2018 to October 2023, </w:t>
            </w:r>
            <w:r>
              <w:rPr>
                <w:rFonts w:ascii="Arial" w:eastAsia="Arial" w:hAnsi="Arial" w:cs="Arial"/>
                <w:b w:val="0"/>
                <w:i w:val="0"/>
                <w:sz w:val="18"/>
              </w:rPr>
              <w:t>he</w:t>
            </w:r>
            <w:r>
              <w:rPr>
                <w:rFonts w:ascii="Arial" w:eastAsia="Arial" w:hAnsi="Arial" w:cs="Arial"/>
                <w:b w:val="0"/>
                <w:i w:val="0"/>
                <w:sz w:val="18"/>
              </w:rPr>
              <w:t xml:space="preserve"> served as a director of Focus Financial Partners, a publicly traded company that invests in independent fiduciary wealth management firms.</w:t>
            </w:r>
            <w:r>
              <w:rPr>
                <w:rFonts w:ascii="Arial" w:eastAsia="Arial" w:hAnsi="Arial" w:cs="Arial"/>
                <w:b w:val="0"/>
                <w:i w:val="0"/>
                <w:sz w:val="18"/>
              </w:rPr>
              <w:t xml:space="preserve"> </w:t>
            </w:r>
            <w:r>
              <w:rPr>
                <w:rFonts w:ascii="Arial" w:eastAsia="Arial" w:hAnsi="Arial" w:cs="Arial"/>
                <w:b w:val="0"/>
                <w:i w:val="0"/>
                <w:sz w:val="18"/>
              </w:rPr>
              <w:t>Mr. Carey also currently serves on the boards of certain privately held portfolio companies of the Trident Funds. He previously served as non-executive chairman of PARIS RE Holdings Limited and as a director of Alterra Capital Holdings Limited, Cunningham Lindsay Group Limited, Lockton International Holdings Limited, and Privilege Underwriters, Inc.</w:t>
            </w:r>
          </w:p>
          <w:p>
            <w:pPr>
              <w:pageBreakBefore w:val="0"/>
              <w:numPr>
                <w:ilvl w:val="0"/>
                <w:numId w:val="0"/>
              </w:numPr>
              <w:spacing w:before="100" w:after="0" w:line="288" w:lineRule="auto"/>
              <w:ind w:left="180" w:right="0" w:firstLine="0"/>
              <w:jc w:val="left"/>
              <w:outlineLvl w:val="9"/>
              <w:rPr>
                <w:rFonts w:ascii="Arial" w:eastAsia="Arial" w:hAnsi="Arial" w:cs="Arial"/>
                <w:b w:val="0"/>
                <w:i w:val="0"/>
                <w:sz w:val="18"/>
              </w:rPr>
            </w:pPr>
            <w:r>
              <w:rPr>
                <w:rFonts w:ascii="Arial" w:eastAsia="Arial" w:hAnsi="Arial" w:cs="Arial"/>
                <w:b/>
                <w:i w:val="0"/>
                <w:color w:val="4495D1"/>
                <w:sz w:val="18"/>
                <w:u w:val="none"/>
              </w:rPr>
              <w:t xml:space="preserve">Skills and Qualifications </w:t>
            </w:r>
          </w:p>
          <w:p>
            <w:pPr>
              <w:pageBreakBefore w:val="0"/>
              <w:numPr>
                <w:ilvl w:val="0"/>
                <w:numId w:val="0"/>
              </w:numPr>
              <w:spacing w:before="40" w:after="40" w:line="288" w:lineRule="auto"/>
              <w:ind w:left="180" w:right="0" w:firstLine="0"/>
              <w:jc w:val="left"/>
              <w:outlineLvl w:val="9"/>
              <w:rPr>
                <w:rFonts w:ascii="Arial" w:eastAsia="Arial" w:hAnsi="Arial" w:cs="Arial"/>
                <w:b w:val="0"/>
                <w:i/>
                <w:sz w:val="18"/>
              </w:rPr>
            </w:pPr>
            <w:r>
              <w:rPr>
                <w:rFonts w:ascii="Arial" w:eastAsia="Arial" w:hAnsi="Arial" w:cs="Arial"/>
                <w:b w:val="0"/>
                <w:i/>
                <w:sz w:val="18"/>
              </w:rPr>
              <w:t>Investment expertise; industry knowledge; significant acquisition experience</w:t>
            </w:r>
          </w:p>
          <w:p>
            <w:pPr>
              <w:pageBreakBefore w:val="0"/>
              <w:numPr>
                <w:ilvl w:val="0"/>
                <w:numId w:val="0"/>
              </w:numPr>
              <w:spacing w:before="40" w:after="30" w:line="288" w:lineRule="auto"/>
              <w:ind w:left="180" w:right="0" w:firstLine="0"/>
              <w:jc w:val="both"/>
              <w:outlineLvl w:val="9"/>
              <w:rPr>
                <w:rFonts w:ascii="Arial" w:eastAsia="Arial" w:hAnsi="Arial" w:cs="Arial"/>
                <w:b w:val="0"/>
                <w:i w:val="0"/>
                <w:sz w:val="18"/>
              </w:rPr>
            </w:pPr>
            <w:r>
              <w:rPr>
                <w:rFonts w:ascii="Arial" w:eastAsia="Arial" w:hAnsi="Arial" w:cs="Arial"/>
                <w:b w:val="0"/>
                <w:i w:val="0"/>
                <w:sz w:val="18"/>
              </w:rPr>
              <w:t xml:space="preserve">Having worked in the private equity </w:t>
            </w:r>
            <w:r>
              <w:rPr>
                <w:rFonts w:ascii="Arial" w:eastAsia="Arial" w:hAnsi="Arial" w:cs="Arial"/>
                <w:b w:val="0"/>
                <w:i w:val="0"/>
                <w:sz w:val="18"/>
              </w:rPr>
              <w:t xml:space="preserve">and financial </w:t>
            </w:r>
            <w:r>
              <w:rPr>
                <w:rFonts w:ascii="Arial" w:eastAsia="Arial" w:hAnsi="Arial" w:cs="Arial"/>
                <w:b w:val="0"/>
                <w:i w:val="0"/>
                <w:sz w:val="18"/>
              </w:rPr>
              <w:t>services</w:t>
            </w:r>
            <w:r>
              <w:rPr>
                <w:rFonts w:ascii="Arial" w:eastAsia="Arial" w:hAnsi="Arial" w:cs="Arial"/>
                <w:b w:val="0"/>
                <w:i w:val="0"/>
                <w:sz w:val="18"/>
              </w:rPr>
              <w:t xml:space="preserve"> industries </w:t>
            </w:r>
            <w:r>
              <w:rPr>
                <w:rFonts w:ascii="Arial" w:eastAsia="Arial" w:hAnsi="Arial" w:cs="Arial"/>
                <w:b w:val="0"/>
                <w:i w:val="0"/>
                <w:sz w:val="18"/>
              </w:rPr>
              <w:t xml:space="preserve">for </w:t>
            </w:r>
            <w:r>
              <w:rPr>
                <w:rFonts w:ascii="Arial" w:eastAsia="Arial" w:hAnsi="Arial" w:cs="Arial"/>
                <w:b w:val="0"/>
                <w:i w:val="0"/>
                <w:sz w:val="18"/>
              </w:rPr>
              <w:t>more than 3</w:t>
            </w:r>
            <w:r>
              <w:rPr>
                <w:rFonts w:ascii="Arial" w:eastAsia="Arial" w:hAnsi="Arial" w:cs="Arial"/>
                <w:b w:val="0"/>
                <w:i w:val="0"/>
                <w:sz w:val="18"/>
              </w:rPr>
              <w:t>0</w:t>
            </w:r>
            <w:r>
              <w:rPr>
                <w:rFonts w:ascii="Arial" w:eastAsia="Arial" w:hAnsi="Arial" w:cs="Arial"/>
                <w:b w:val="0"/>
                <w:i w:val="0"/>
                <w:sz w:val="18"/>
              </w:rPr>
              <w:t xml:space="preserve"> years, Mr. Carey brings an extensive background and expertise in the insurance and financial services industries. His in-depth knowledge of investments and investment strategies is significant in his role on our Investment Committee. We also value his contributions as an experienced director in the insurance industry, as well as his extensive knowledge of the Company.</w:t>
            </w:r>
          </w:p>
        </w:tc>
      </w:tr>
      <w:tr>
        <w:tblPrEx>
          <w:tblW w:w="10260" w:type="dxa"/>
          <w:jc w:val="left"/>
          <w:tblInd w:w="0" w:type="dxa"/>
          <w:tblLayout w:type="fixed"/>
          <w:tblCellMar>
            <w:left w:w="108" w:type="dxa"/>
            <w:right w:w="108" w:type="dxa"/>
          </w:tblCellMar>
        </w:tblPrEx>
        <w:trPr>
          <w:cantSplit/>
          <w:trHeight w:hRule="exact" w:val="130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105"/>
          <w:jc w:val="left"/>
        </w:trPr>
        <w:tc>
          <w:tcPr>
            <w:tcW w:w="2205" w:type="dxa"/>
            <w:tcBorders>
              <w:top w:val="nil"/>
              <w:left w:val="nil"/>
              <w:bottom w:val="nil"/>
              <w:right w:val="single" w:sz="12" w:space="0" w:color="4494D1"/>
            </w:tcBorders>
            <w:tcMar>
              <w:top w:w="0" w:type="dxa"/>
              <w:left w:w="0" w:type="dxa"/>
              <w:bottom w:w="0" w:type="dxa"/>
              <w:right w:w="0" w:type="dxa"/>
            </w:tcMar>
            <w:vAlign w:val="bottom"/>
          </w:tcPr>
          <w:p>
            <w:pPr>
              <w:keepNext/>
              <w:pageBreakBefore w:val="0"/>
              <w:spacing w:before="0" w:after="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65"/>
          <w:jc w:val="left"/>
        </w:trPr>
        <w:tc>
          <w:tcPr>
            <w:tcW w:w="2205" w:type="dxa"/>
            <w:vMerge w:val="restart"/>
            <w:tcBorders>
              <w:top w:val="nil"/>
              <w:left w:val="nil"/>
              <w:bottom w:val="nil"/>
              <w:right w:val="single" w:sz="12" w:space="0" w:color="4494D1"/>
            </w:tcBorders>
            <w:tcMar>
              <w:top w:w="0" w:type="dxa"/>
              <w:left w:w="53" w:type="dxa"/>
              <w:bottom w:w="0" w:type="dxa"/>
              <w:right w:w="53" w:type="dxa"/>
            </w:tcMar>
            <w:vAlign w:val="top"/>
          </w:tcPr>
          <w:p>
            <w:pPr>
              <w:keepNext/>
              <w:pageBreakBefore w:val="0"/>
              <w:numPr>
                <w:ilvl w:val="0"/>
                <w:numId w:val="0"/>
              </w:numPr>
              <w:spacing w:before="53" w:after="100" w:line="288" w:lineRule="auto"/>
              <w:ind w:left="-43" w:right="0" w:firstLine="0"/>
              <w:jc w:val="left"/>
              <w:outlineLvl w:val="9"/>
              <w:rPr>
                <w:rFonts w:ascii="Arial" w:eastAsia="Arial" w:hAnsi="Arial" w:cs="Arial"/>
                <w:b/>
                <w:i w:val="0"/>
                <w:sz w:val="16"/>
              </w:rPr>
            </w:pPr>
            <w:r>
              <w:rPr>
                <w:rFonts w:ascii="Arial" w:eastAsia="Arial" w:hAnsi="Arial" w:cs="Arial"/>
                <w:b/>
                <w:i w:val="0"/>
                <w:sz w:val="16"/>
              </w:rPr>
              <w:t>Director Since:</w:t>
            </w:r>
            <w:r>
              <w:rPr>
                <w:rFonts w:ascii="Arial" w:eastAsia="Arial" w:hAnsi="Arial" w:cs="Arial"/>
                <w:b w:val="0"/>
                <w:i w:val="0"/>
                <w:sz w:val="16"/>
              </w:rPr>
              <w:t xml:space="preserve"> </w:t>
            </w:r>
            <w:r>
              <w:rPr>
                <w:rFonts w:ascii="Arial" w:eastAsia="Arial" w:hAnsi="Arial" w:cs="Arial"/>
                <w:b w:val="0"/>
                <w:i w:val="0"/>
                <w:color w:val="000000"/>
                <w:sz w:val="16"/>
                <w:u w:val="none"/>
              </w:rPr>
              <w:t>2013</w:t>
            </w:r>
          </w:p>
          <w:p>
            <w:pPr>
              <w:pageBreakBefore w:val="0"/>
              <w:numPr>
                <w:ilvl w:val="0"/>
                <w:numId w:val="0"/>
              </w:numPr>
              <w:spacing w:before="100" w:after="100" w:line="288" w:lineRule="auto"/>
              <w:ind w:left="-43" w:right="0" w:firstLine="0"/>
              <w:jc w:val="left"/>
              <w:outlineLvl w:val="9"/>
              <w:rPr>
                <w:rFonts w:ascii="Arial" w:eastAsia="Arial" w:hAnsi="Arial" w:cs="Arial"/>
                <w:b/>
                <w:i w:val="0"/>
                <w:sz w:val="16"/>
              </w:rPr>
            </w:pPr>
            <w:r>
              <w:rPr>
                <w:rFonts w:ascii="Arial" w:eastAsia="Arial" w:hAnsi="Arial" w:cs="Arial"/>
                <w:b/>
                <w:i w:val="0"/>
                <w:sz w:val="16"/>
              </w:rPr>
              <w:t>Age:</w:t>
            </w:r>
            <w:r>
              <w:rPr>
                <w:rFonts w:ascii="Arial" w:eastAsia="Arial" w:hAnsi="Arial" w:cs="Arial"/>
                <w:b w:val="0"/>
                <w:i w:val="0"/>
                <w:sz w:val="16"/>
              </w:rPr>
              <w:t xml:space="preserve"> </w:t>
            </w:r>
            <w:r>
              <w:rPr>
                <w:rFonts w:ascii="Arial" w:eastAsia="Arial" w:hAnsi="Arial" w:cs="Arial"/>
                <w:b w:val="0"/>
                <w:i w:val="0"/>
                <w:color w:val="000000"/>
                <w:sz w:val="16"/>
                <w:u w:val="none"/>
              </w:rPr>
              <w:t>57</w:t>
            </w:r>
          </w:p>
          <w:p>
            <w:pPr>
              <w:pageBreakBefore w:val="0"/>
              <w:numPr>
                <w:ilvl w:val="0"/>
                <w:numId w:val="0"/>
              </w:numPr>
              <w:spacing w:before="100" w:after="0" w:line="288" w:lineRule="auto"/>
              <w:ind w:left="-43" w:right="0" w:firstLine="0"/>
              <w:jc w:val="left"/>
              <w:outlineLvl w:val="9"/>
              <w:rPr>
                <w:rFonts w:ascii="Arial" w:eastAsia="Arial" w:hAnsi="Arial" w:cs="Arial"/>
                <w:b/>
                <w:i w:val="0"/>
                <w:sz w:val="16"/>
              </w:rPr>
            </w:pPr>
            <w:r>
              <w:rPr>
                <w:rFonts w:ascii="Arial" w:eastAsia="Arial" w:hAnsi="Arial" w:cs="Arial"/>
                <w:b/>
                <w:i w:val="0"/>
                <w:sz w:val="16"/>
              </w:rPr>
              <w:t>Enstar Committees:</w:t>
            </w:r>
            <w:r>
              <w:rPr>
                <w:rFonts w:ascii="Arial" w:eastAsia="Arial" w:hAnsi="Arial" w:cs="Arial"/>
                <w:b w:val="0"/>
                <w:i w:val="0"/>
                <w:sz w:val="16"/>
              </w:rPr>
              <w:t xml:space="preserve"> </w:t>
            </w:r>
            <w:r>
              <w:rPr>
                <w:rFonts w:ascii="Arial" w:eastAsia="Arial" w:hAnsi="Arial" w:cs="Arial"/>
                <w:b w:val="0"/>
                <w:i w:val="0"/>
                <w:color w:val="000000"/>
                <w:sz w:val="16"/>
                <w:u w:val="none"/>
              </w:rPr>
              <w:t>Investment</w:t>
            </w:r>
          </w:p>
          <w:p>
            <w:pPr>
              <w:pageBreakBefore w:val="0"/>
              <w:numPr>
                <w:ilvl w:val="0"/>
                <w:numId w:val="0"/>
              </w:numPr>
              <w:spacing w:before="100" w:after="0" w:line="288" w:lineRule="auto"/>
              <w:ind w:left="-43" w:right="0" w:firstLine="0"/>
              <w:jc w:val="left"/>
              <w:outlineLvl w:val="9"/>
              <w:rPr>
                <w:rFonts w:ascii="Arial" w:eastAsia="Arial" w:hAnsi="Arial" w:cs="Arial"/>
                <w:b/>
                <w:i w:val="0"/>
                <w:sz w:val="16"/>
              </w:rPr>
            </w:pPr>
            <w:r>
              <w:rPr>
                <w:rFonts w:ascii="Arial" w:eastAsia="Arial" w:hAnsi="Arial" w:cs="Arial"/>
                <w:b/>
                <w:i w:val="0"/>
                <w:sz w:val="16"/>
              </w:rPr>
              <w:t>Residency and Citizenship:</w:t>
            </w:r>
          </w:p>
          <w:p>
            <w:pPr>
              <w:pageBreakBefore w:val="0"/>
              <w:numPr>
                <w:ilvl w:val="0"/>
                <w:numId w:val="0"/>
              </w:numPr>
              <w:spacing w:before="0" w:after="30" w:line="288" w:lineRule="auto"/>
              <w:ind w:left="-43"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US resident  |  US citizen</w:t>
            </w: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6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6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31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2085"/>
          <w:jc w:val="left"/>
        </w:trPr>
        <w:tc>
          <w:tcPr>
            <w:tcW w:w="2205" w:type="dxa"/>
            <w:vMerge/>
            <w:tcBorders>
              <w:top w:val="nil"/>
              <w:left w:val="nil"/>
              <w:bottom w:val="nil"/>
              <w:right w:val="single" w:sz="12" w:space="0" w:color="4494D1"/>
            </w:tcBorders>
          </w:tcPr>
          <w:p>
            <w:pPr>
              <w:pageBreakBefore w:val="0"/>
            </w:pPr>
          </w:p>
        </w:tc>
        <w:tc>
          <w:tcPr>
            <w:tcW w:w="8055" w:type="dxa"/>
            <w:vMerge/>
            <w:tcBorders>
              <w:top w:val="nil"/>
              <w:left w:val="nil"/>
              <w:bottom w:val="nil"/>
              <w:right w:val="nil"/>
            </w:tcBorders>
          </w:tcPr>
          <w:p>
            <w:pPr>
              <w:pageBreakBefore w:val="0"/>
            </w:pPr>
          </w:p>
        </w:tc>
      </w:tr>
    </w:tbl>
    <w:p>
      <w:pPr>
        <w:keepNext w:val="0"/>
        <w:keepLines w:val="0"/>
        <w:pageBreakBefore w:val="0"/>
        <w:widowControl/>
        <w:numPr>
          <w:ilvl w:val="0"/>
          <w:numId w:val="0"/>
        </w:numPr>
        <w:spacing w:before="120" w:after="120" w:line="288" w:lineRule="auto"/>
        <w:ind w:left="0" w:right="0" w:firstLine="0"/>
        <w:jc w:val="left"/>
        <w:outlineLvl w:val="9"/>
        <w:rPr>
          <w:rFonts w:ascii="Times New Roman" w:eastAsia="Times New Roman" w:hAnsi="Times New Roman" w:cs="Times New Roman"/>
          <w:b w:val="0"/>
          <w:i w:val="0"/>
          <w:color w:val="FF0090"/>
          <w:sz w:val="20"/>
          <w:u w:val="none"/>
        </w:rPr>
      </w:pPr>
      <w:r>
        <w:rPr>
          <w:rFonts w:ascii="Times New Roman" w:eastAsia="Times New Roman" w:hAnsi="Times New Roman" w:cs="Times New Roman"/>
          <w:b w:val="0"/>
          <w:i w:val="0"/>
          <w:color w:val="FF0090"/>
          <w:sz w:val="20"/>
          <w:u w:val="none"/>
        </w:rPr>
        <w:t xml:space="preserve"> </w:t>
      </w: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205"/>
        <w:gridCol w:w="805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65"/>
          <w:jc w:val="left"/>
        </w:trPr>
        <w:tc>
          <w:tcPr>
            <w:tcW w:w="22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05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335"/>
          <w:jc w:val="left"/>
        </w:trPr>
        <w:tc>
          <w:tcPr>
            <w:tcW w:w="2205" w:type="dxa"/>
            <w:vMerge w:val="restart"/>
            <w:tcBorders>
              <w:top w:val="nil"/>
              <w:left w:val="nil"/>
              <w:bottom w:val="nil"/>
              <w:right w:val="single" w:sz="12" w:space="0" w:color="4494D1"/>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center"/>
              <w:outlineLvl w:val="9"/>
              <w:rPr>
                <w:rFonts w:ascii="Arial" w:eastAsia="Arial" w:hAnsi="Arial" w:cs="Arial"/>
                <w:b w:val="0"/>
                <w:i w:val="0"/>
                <w:sz w:val="16"/>
              </w:rPr>
            </w:pPr>
            <w:r>
              <w:pict>
                <v:shape id="_x0000_i1168" type="#_x0000_t75" style="width:108.9pt;height:123.75pt">
                  <v:imagedata r:id="rId50" o:title=""/>
                  <o:lock v:ext="edit" aspectratio="t"/>
                </v:shape>
              </w:pict>
            </w:r>
          </w:p>
        </w:tc>
        <w:tc>
          <w:tcPr>
            <w:tcW w:w="805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40" w:line="288" w:lineRule="auto"/>
              <w:ind w:left="180" w:right="0" w:firstLine="0"/>
              <w:jc w:val="left"/>
              <w:outlineLvl w:val="9"/>
              <w:rPr>
                <w:rFonts w:ascii="Arial" w:eastAsia="Arial" w:hAnsi="Arial" w:cs="Arial"/>
                <w:b/>
                <w:i w:val="0"/>
                <w:color w:val="4495D1"/>
                <w:sz w:val="28"/>
                <w:u w:val="none"/>
              </w:rPr>
            </w:pPr>
            <w:r>
              <w:rPr>
                <w:rFonts w:ascii="Arial" w:eastAsia="Arial" w:hAnsi="Arial" w:cs="Arial"/>
                <w:b/>
                <w:i w:val="0"/>
                <w:color w:val="002060"/>
                <w:sz w:val="28"/>
                <w:u w:val="none"/>
              </w:rPr>
              <w:t>Susan L. Cross</w:t>
            </w:r>
            <w:r>
              <w:rPr>
                <w:rFonts w:ascii="Arial" w:eastAsia="Arial" w:hAnsi="Arial" w:cs="Arial"/>
                <w:b/>
                <w:i w:val="0"/>
                <w:sz w:val="28"/>
              </w:rPr>
              <w:t xml:space="preserve">    </w:t>
            </w:r>
            <w:r>
              <w:rPr>
                <w:rFonts w:ascii="Arial" w:eastAsia="Arial" w:hAnsi="Arial" w:cs="Arial"/>
                <w:b w:val="0"/>
                <w:i w:val="0"/>
                <w:sz w:val="18"/>
              </w:rPr>
              <w:t>Independent</w:t>
            </w:r>
          </w:p>
          <w:p>
            <w:pPr>
              <w:pageBreakBefore w:val="0"/>
              <w:numPr>
                <w:ilvl w:val="0"/>
                <w:numId w:val="0"/>
              </w:numPr>
              <w:spacing w:before="40" w:after="40" w:line="288" w:lineRule="auto"/>
              <w:ind w:left="180" w:right="0" w:firstLine="0"/>
              <w:jc w:val="left"/>
              <w:outlineLvl w:val="9"/>
              <w:rPr>
                <w:rFonts w:ascii="Arial" w:eastAsia="Arial" w:hAnsi="Arial" w:cs="Arial"/>
                <w:b w:val="0"/>
                <w:i w:val="0"/>
                <w:sz w:val="18"/>
              </w:rPr>
            </w:pPr>
          </w:p>
          <w:p>
            <w:pPr>
              <w:pageBreakBefore w:val="0"/>
              <w:numPr>
                <w:ilvl w:val="0"/>
                <w:numId w:val="0"/>
              </w:numPr>
              <w:spacing w:before="10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Biographical Information</w:t>
            </w:r>
          </w:p>
          <w:p>
            <w:pPr>
              <w:pageBreakBefore w:val="0"/>
              <w:numPr>
                <w:ilvl w:val="0"/>
                <w:numId w:val="0"/>
              </w:numPr>
              <w:spacing w:before="0" w:after="0" w:line="288" w:lineRule="auto"/>
              <w:ind w:left="180" w:right="0" w:firstLine="0"/>
              <w:jc w:val="both"/>
              <w:outlineLvl w:val="9"/>
              <w:rPr>
                <w:rFonts w:ascii="Arial" w:eastAsia="Arial" w:hAnsi="Arial" w:cs="Arial"/>
                <w:b w:val="0"/>
                <w:i w:val="0"/>
                <w:sz w:val="18"/>
              </w:rPr>
            </w:pPr>
            <w:r>
              <w:rPr>
                <w:rFonts w:ascii="Arial" w:eastAsia="Arial" w:hAnsi="Arial" w:cs="Arial"/>
                <w:b w:val="0"/>
                <w:i w:val="0"/>
                <w:color w:val="000000"/>
                <w:sz w:val="18"/>
                <w:u w:val="none"/>
              </w:rPr>
              <w:t>Susan L. Cross</w:t>
            </w:r>
            <w:r>
              <w:rPr>
                <w:rFonts w:ascii="Arial" w:eastAsia="Arial" w:hAnsi="Arial" w:cs="Arial"/>
                <w:b w:val="0"/>
                <w:i w:val="0"/>
                <w:sz w:val="18"/>
              </w:rPr>
              <w:t xml:space="preserve"> has served as a director since October 2020. She served as Executive Vice President and Global Chief Actuary at XL Group (now AXA XL), from 2008 to 2018, and prior to that served as Senior Vice President and Chief Actuary of various operating segments since 1999.</w:t>
            </w:r>
          </w:p>
          <w:p>
            <w:pPr>
              <w:pageBreakBefore w:val="0"/>
              <w:numPr>
                <w:ilvl w:val="0"/>
                <w:numId w:val="0"/>
              </w:numPr>
              <w:spacing w:before="10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Certain Other Directorships</w:t>
            </w:r>
          </w:p>
          <w:p>
            <w:pPr>
              <w:pageBreakBefore w:val="0"/>
              <w:numPr>
                <w:ilvl w:val="0"/>
                <w:numId w:val="0"/>
              </w:numPr>
              <w:spacing w:before="0" w:after="0" w:line="288" w:lineRule="auto"/>
              <w:ind w:left="180" w:right="0" w:firstLine="0"/>
              <w:jc w:val="both"/>
              <w:outlineLvl w:val="9"/>
              <w:rPr>
                <w:rFonts w:ascii="Arial" w:eastAsia="Arial" w:hAnsi="Arial" w:cs="Arial"/>
                <w:b w:val="0"/>
                <w:i w:val="0"/>
                <w:sz w:val="18"/>
              </w:rPr>
            </w:pPr>
            <w:r>
              <w:rPr>
                <w:rFonts w:ascii="Arial" w:eastAsia="Arial" w:hAnsi="Arial" w:cs="Arial"/>
                <w:b w:val="0"/>
                <w:i w:val="0"/>
                <w:sz w:val="18"/>
              </w:rPr>
              <w:t>Ms. Cross currently serves as a non-executive director at Unum Group, a Fortune 500 publicly held insurance company and leading provider of financial protection benefits, where she sits on the Audit Committee and Risk and Finance Committee. Previously, she has served on the boards of IFG Companies, American Strategic Insurance and several XL subsidiaries, including Mid Ocean Limited and XL Life Ltd.</w:t>
            </w:r>
          </w:p>
          <w:p>
            <w:pPr>
              <w:pageBreakBefore w:val="0"/>
              <w:numPr>
                <w:ilvl w:val="0"/>
                <w:numId w:val="0"/>
              </w:numPr>
              <w:spacing w:before="10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Skills and Qualifications</w:t>
            </w:r>
          </w:p>
          <w:p>
            <w:pPr>
              <w:pageBreakBefore w:val="0"/>
              <w:numPr>
                <w:ilvl w:val="0"/>
                <w:numId w:val="0"/>
              </w:numPr>
              <w:spacing w:before="0" w:after="0" w:line="288" w:lineRule="auto"/>
              <w:ind w:left="180" w:right="0" w:firstLine="0"/>
              <w:jc w:val="both"/>
              <w:outlineLvl w:val="9"/>
              <w:rPr>
                <w:rFonts w:ascii="Arial" w:eastAsia="Arial" w:hAnsi="Arial" w:cs="Arial"/>
                <w:b w:val="0"/>
                <w:i/>
                <w:sz w:val="18"/>
              </w:rPr>
            </w:pPr>
            <w:r>
              <w:rPr>
                <w:rFonts w:ascii="Arial" w:eastAsia="Arial" w:hAnsi="Arial" w:cs="Arial"/>
                <w:b w:val="0"/>
                <w:i/>
                <w:sz w:val="18"/>
              </w:rPr>
              <w:t xml:space="preserve">Actuarial expertise; risk management, regulatory and governance skills; industry experience </w:t>
            </w:r>
          </w:p>
          <w:p>
            <w:pPr>
              <w:pageBreakBefore w:val="0"/>
              <w:numPr>
                <w:ilvl w:val="0"/>
                <w:numId w:val="0"/>
              </w:numPr>
              <w:spacing w:before="0" w:after="30" w:line="288" w:lineRule="auto"/>
              <w:ind w:left="180" w:right="0" w:firstLine="0"/>
              <w:jc w:val="both"/>
              <w:outlineLvl w:val="9"/>
              <w:rPr>
                <w:rFonts w:ascii="Arial" w:eastAsia="Arial" w:hAnsi="Arial" w:cs="Arial"/>
                <w:b w:val="0"/>
                <w:i w:val="0"/>
                <w:sz w:val="18"/>
              </w:rPr>
            </w:pPr>
            <w:r>
              <w:rPr>
                <w:rFonts w:ascii="Arial" w:eastAsia="Arial" w:hAnsi="Arial" w:cs="Arial"/>
                <w:b w:val="0"/>
                <w:i w:val="0"/>
                <w:sz w:val="18"/>
              </w:rPr>
              <w:t>Ms. Cross brings significant actuarial expertise to our Board, obtained from over 20 years of senior management experience as an actuary with XL Group. Her industry experience is particularly valuable to our Audit Committee and our Risk Committee given the complex nature of our run-off business. As a director of a Fortune 500 company, Ms. Cross also has knowledge of corporate governance matters and practices, which is valuable to our Board.</w:t>
            </w:r>
          </w:p>
        </w:tc>
      </w:tr>
      <w:tr>
        <w:tblPrEx>
          <w:tblW w:w="10260" w:type="dxa"/>
          <w:jc w:val="left"/>
          <w:tblInd w:w="0" w:type="dxa"/>
          <w:tblLayout w:type="fixed"/>
          <w:tblCellMar>
            <w:left w:w="108" w:type="dxa"/>
            <w:right w:w="108" w:type="dxa"/>
          </w:tblCellMar>
        </w:tblPrEx>
        <w:trPr>
          <w:cantSplit/>
          <w:trHeight w:hRule="exact" w:val="118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105"/>
          <w:jc w:val="left"/>
        </w:trPr>
        <w:tc>
          <w:tcPr>
            <w:tcW w:w="2205" w:type="dxa"/>
            <w:tcBorders>
              <w:top w:val="nil"/>
              <w:left w:val="nil"/>
              <w:bottom w:val="nil"/>
              <w:right w:val="single" w:sz="12" w:space="0" w:color="4494D1"/>
            </w:tcBorders>
            <w:tcMar>
              <w:top w:w="0" w:type="dxa"/>
              <w:left w:w="0" w:type="dxa"/>
              <w:bottom w:w="0" w:type="dxa"/>
              <w:right w:w="0" w:type="dxa"/>
            </w:tcMar>
            <w:vAlign w:val="bottom"/>
          </w:tcPr>
          <w:p>
            <w:pPr>
              <w:keepNext/>
              <w:pageBreakBefore w:val="0"/>
              <w:spacing w:before="0" w:after="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05"/>
          <w:jc w:val="left"/>
        </w:trPr>
        <w:tc>
          <w:tcPr>
            <w:tcW w:w="2205" w:type="dxa"/>
            <w:vMerge w:val="restart"/>
            <w:tcBorders>
              <w:top w:val="nil"/>
              <w:left w:val="nil"/>
              <w:bottom w:val="nil"/>
              <w:right w:val="single" w:sz="12" w:space="0" w:color="4494D1"/>
            </w:tcBorders>
            <w:tcMar>
              <w:top w:w="0" w:type="dxa"/>
              <w:left w:w="53" w:type="dxa"/>
              <w:bottom w:w="0" w:type="dxa"/>
              <w:right w:w="53" w:type="dxa"/>
            </w:tcMar>
            <w:vAlign w:val="top"/>
          </w:tcPr>
          <w:p>
            <w:pPr>
              <w:keepNext/>
              <w:pageBreakBefore w:val="0"/>
              <w:numPr>
                <w:ilvl w:val="0"/>
                <w:numId w:val="0"/>
              </w:numPr>
              <w:spacing w:before="53" w:after="100" w:line="288" w:lineRule="auto"/>
              <w:ind w:left="-43" w:right="72" w:firstLine="0"/>
              <w:jc w:val="left"/>
              <w:outlineLvl w:val="9"/>
              <w:rPr>
                <w:rFonts w:ascii="Arial" w:eastAsia="Arial" w:hAnsi="Arial" w:cs="Arial"/>
                <w:b w:val="0"/>
                <w:i w:val="0"/>
                <w:sz w:val="16"/>
              </w:rPr>
            </w:pPr>
            <w:r>
              <w:rPr>
                <w:rFonts w:ascii="Arial" w:eastAsia="Arial" w:hAnsi="Arial" w:cs="Arial"/>
                <w:b/>
                <w:i w:val="0"/>
                <w:sz w:val="16"/>
              </w:rPr>
              <w:t>Director Since:</w:t>
            </w:r>
            <w:r>
              <w:rPr>
                <w:rFonts w:ascii="Arial" w:eastAsia="Arial" w:hAnsi="Arial" w:cs="Arial"/>
                <w:b w:val="0"/>
                <w:i w:val="0"/>
                <w:sz w:val="16"/>
              </w:rPr>
              <w:t xml:space="preserve"> </w:t>
            </w:r>
            <w:r>
              <w:rPr>
                <w:rFonts w:ascii="Arial" w:eastAsia="Arial" w:hAnsi="Arial" w:cs="Arial"/>
                <w:b w:val="0"/>
                <w:i w:val="0"/>
                <w:color w:val="000000"/>
                <w:sz w:val="16"/>
                <w:u w:val="none"/>
              </w:rPr>
              <w:t>2020</w:t>
            </w:r>
          </w:p>
          <w:p>
            <w:pPr>
              <w:pageBreakBefore w:val="0"/>
              <w:numPr>
                <w:ilvl w:val="0"/>
                <w:numId w:val="0"/>
              </w:numPr>
              <w:spacing w:before="100" w:after="100" w:line="288" w:lineRule="auto"/>
              <w:ind w:left="-43" w:right="72" w:firstLine="0"/>
              <w:jc w:val="left"/>
              <w:outlineLvl w:val="9"/>
              <w:rPr>
                <w:rFonts w:ascii="Arial" w:eastAsia="Arial" w:hAnsi="Arial" w:cs="Arial"/>
                <w:b w:val="0"/>
                <w:i w:val="0"/>
                <w:sz w:val="16"/>
              </w:rPr>
            </w:pPr>
            <w:r>
              <w:rPr>
                <w:rFonts w:ascii="Arial" w:eastAsia="Arial" w:hAnsi="Arial" w:cs="Arial"/>
                <w:b/>
                <w:i w:val="0"/>
                <w:sz w:val="16"/>
              </w:rPr>
              <w:t>Age:</w:t>
            </w:r>
            <w:r>
              <w:rPr>
                <w:rFonts w:ascii="Arial" w:eastAsia="Arial" w:hAnsi="Arial" w:cs="Arial"/>
                <w:b w:val="0"/>
                <w:i w:val="0"/>
                <w:sz w:val="16"/>
              </w:rPr>
              <w:t xml:space="preserve"> </w:t>
            </w:r>
            <w:r>
              <w:rPr>
                <w:rFonts w:ascii="Arial" w:eastAsia="Arial" w:hAnsi="Arial" w:cs="Arial"/>
                <w:b w:val="0"/>
                <w:i w:val="0"/>
                <w:color w:val="000000"/>
                <w:sz w:val="16"/>
                <w:u w:val="none"/>
              </w:rPr>
              <w:t>64</w:t>
            </w:r>
          </w:p>
          <w:p>
            <w:pPr>
              <w:pageBreakBefore w:val="0"/>
              <w:numPr>
                <w:ilvl w:val="0"/>
                <w:numId w:val="0"/>
              </w:numPr>
              <w:spacing w:before="0" w:after="0" w:line="288" w:lineRule="auto"/>
              <w:ind w:left="-43" w:right="72" w:firstLine="0"/>
              <w:jc w:val="left"/>
              <w:outlineLvl w:val="9"/>
              <w:rPr>
                <w:rFonts w:ascii="Arial" w:eastAsia="Arial" w:hAnsi="Arial" w:cs="Arial"/>
                <w:b/>
                <w:i w:val="0"/>
                <w:sz w:val="16"/>
              </w:rPr>
            </w:pPr>
            <w:r>
              <w:rPr>
                <w:rFonts w:ascii="Arial" w:eastAsia="Arial" w:hAnsi="Arial" w:cs="Arial"/>
                <w:b/>
                <w:i w:val="0"/>
                <w:sz w:val="16"/>
              </w:rPr>
              <w:t>Enstar Committees:</w:t>
            </w:r>
            <w:r>
              <w:rPr>
                <w:rFonts w:ascii="Arial" w:eastAsia="Arial" w:hAnsi="Arial" w:cs="Arial"/>
                <w:b w:val="0"/>
                <w:i w:val="0"/>
                <w:sz w:val="16"/>
              </w:rPr>
              <w:t xml:space="preserve"> </w:t>
            </w:r>
          </w:p>
          <w:p>
            <w:pPr>
              <w:pageBreakBefore w:val="0"/>
              <w:numPr>
                <w:ilvl w:val="0"/>
                <w:numId w:val="0"/>
              </w:numPr>
              <w:spacing w:before="0" w:after="100" w:line="288" w:lineRule="auto"/>
              <w:ind w:left="-43" w:right="72" w:firstLine="0"/>
              <w:jc w:val="left"/>
              <w:outlineLvl w:val="9"/>
              <w:rPr>
                <w:rFonts w:ascii="Arial" w:eastAsia="Arial" w:hAnsi="Arial" w:cs="Arial"/>
                <w:b/>
                <w:i w:val="0"/>
                <w:sz w:val="16"/>
              </w:rPr>
            </w:pPr>
            <w:r>
              <w:rPr>
                <w:rFonts w:ascii="Arial" w:eastAsia="Arial" w:hAnsi="Arial" w:cs="Arial"/>
                <w:b w:val="0"/>
                <w:i w:val="0"/>
                <w:color w:val="000000"/>
                <w:sz w:val="16"/>
                <w:u w:val="none"/>
              </w:rPr>
              <w:t xml:space="preserve">Audit  </w:t>
            </w:r>
            <w:r>
              <w:rPr>
                <w:rFonts w:ascii="Webdings" w:eastAsia="Webdings" w:hAnsi="Webdings" w:cs="Webdings"/>
                <w:b w:val="0"/>
                <w:i w:val="0"/>
                <w:color w:val="000000"/>
                <w:sz w:val="16"/>
                <w:u w:val="none"/>
              </w:rPr>
              <w:t xml:space="preserve">| </w:t>
            </w:r>
            <w:r>
              <w:rPr>
                <w:rFonts w:ascii="Arial" w:eastAsia="Arial" w:hAnsi="Arial" w:cs="Arial"/>
                <w:b w:val="0"/>
                <w:i w:val="0"/>
                <w:color w:val="000000"/>
                <w:sz w:val="16"/>
                <w:u w:val="none"/>
              </w:rPr>
              <w:t>Risk</w:t>
            </w:r>
          </w:p>
          <w:p>
            <w:pPr>
              <w:pageBreakBefore w:val="0"/>
              <w:numPr>
                <w:ilvl w:val="0"/>
                <w:numId w:val="0"/>
              </w:numPr>
              <w:spacing w:before="0" w:after="0" w:line="288" w:lineRule="auto"/>
              <w:ind w:left="-43" w:right="0" w:firstLine="0"/>
              <w:jc w:val="left"/>
              <w:outlineLvl w:val="9"/>
              <w:rPr>
                <w:rFonts w:ascii="Arial" w:eastAsia="Arial" w:hAnsi="Arial" w:cs="Arial"/>
                <w:b/>
                <w:i w:val="0"/>
                <w:sz w:val="16"/>
              </w:rPr>
            </w:pPr>
            <w:r>
              <w:rPr>
                <w:rFonts w:ascii="Arial" w:eastAsia="Arial" w:hAnsi="Arial" w:cs="Arial"/>
                <w:b/>
                <w:i w:val="0"/>
                <w:sz w:val="16"/>
              </w:rPr>
              <w:t>Residency and Citizenship:</w:t>
            </w:r>
          </w:p>
          <w:p>
            <w:pPr>
              <w:pageBreakBefore w:val="0"/>
              <w:numPr>
                <w:ilvl w:val="0"/>
                <w:numId w:val="0"/>
              </w:numPr>
              <w:spacing w:before="0" w:after="30" w:line="288" w:lineRule="auto"/>
              <w:ind w:left="-43"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US resident  |  US citizen</w:t>
            </w: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20"/>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0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31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28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705"/>
          <w:jc w:val="left"/>
        </w:trPr>
        <w:tc>
          <w:tcPr>
            <w:tcW w:w="2205" w:type="dxa"/>
            <w:vMerge/>
            <w:tcBorders>
              <w:top w:val="nil"/>
              <w:left w:val="nil"/>
              <w:bottom w:val="nil"/>
              <w:right w:val="single" w:sz="12" w:space="0" w:color="4494D1"/>
            </w:tcBorders>
          </w:tcPr>
          <w:p>
            <w:pPr>
              <w:pageBreakBefore w:val="0"/>
            </w:pPr>
          </w:p>
        </w:tc>
        <w:tc>
          <w:tcPr>
            <w:tcW w:w="8055" w:type="dxa"/>
            <w:vMerge/>
            <w:tcBorders>
              <w:top w:val="nil"/>
              <w:left w:val="nil"/>
              <w:bottom w:val="nil"/>
              <w:right w:val="nil"/>
            </w:tcBorders>
          </w:tcPr>
          <w:p>
            <w:pPr>
              <w:pageBreakBefore w:val="0"/>
            </w:pPr>
          </w:p>
        </w:tc>
      </w:tr>
    </w:tbl>
    <w:p>
      <w:pPr>
        <w:keepNext w:val="0"/>
        <w:keepLines w:val="0"/>
        <w:pageBreakBefore w:val="0"/>
        <w:widowControl/>
        <w:numPr>
          <w:ilvl w:val="0"/>
          <w:numId w:val="0"/>
        </w:numPr>
        <w:spacing w:before="120" w:after="120" w:line="288" w:lineRule="auto"/>
        <w:ind w:left="0" w:right="0" w:firstLine="0"/>
        <w:jc w:val="left"/>
        <w:outlineLvl w:val="9"/>
        <w:rPr>
          <w:rFonts w:ascii="Times New Roman" w:eastAsia="Times New Roman" w:hAnsi="Times New Roman" w:cs="Times New Roman"/>
          <w:b w:val="0"/>
          <w:i w:val="0"/>
          <w:color w:val="FF0090"/>
          <w:sz w:val="20"/>
          <w:u w:val="none"/>
        </w:rPr>
      </w:pP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205"/>
        <w:gridCol w:w="805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65"/>
          <w:jc w:val="left"/>
        </w:trPr>
        <w:tc>
          <w:tcPr>
            <w:tcW w:w="22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05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2595"/>
          <w:jc w:val="left"/>
        </w:trPr>
        <w:tc>
          <w:tcPr>
            <w:tcW w:w="2205" w:type="dxa"/>
            <w:vMerge w:val="restart"/>
            <w:tcBorders>
              <w:top w:val="nil"/>
              <w:left w:val="nil"/>
              <w:bottom w:val="nil"/>
              <w:right w:val="single" w:sz="12" w:space="0" w:color="4494D1"/>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hanging="90"/>
              <w:jc w:val="left"/>
              <w:outlineLvl w:val="9"/>
              <w:rPr>
                <w:rFonts w:ascii="Arial" w:eastAsia="Arial" w:hAnsi="Arial" w:cs="Arial"/>
                <w:b w:val="0"/>
                <w:i w:val="0"/>
                <w:sz w:val="16"/>
              </w:rPr>
            </w:pPr>
            <w:r>
              <w:pict>
                <v:shape id="_x0000_i1169" type="#_x0000_t75" style="width:111.75pt;height:140.25pt">
                  <v:imagedata r:id="rId51" o:title=""/>
                  <o:lock v:ext="edit" aspectratio="t"/>
                </v:shape>
              </w:pict>
            </w:r>
          </w:p>
        </w:tc>
        <w:tc>
          <w:tcPr>
            <w:tcW w:w="805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40" w:line="288" w:lineRule="auto"/>
              <w:ind w:left="180" w:right="0" w:firstLine="0"/>
              <w:jc w:val="left"/>
              <w:outlineLvl w:val="9"/>
              <w:rPr>
                <w:rFonts w:ascii="Arial" w:eastAsia="Arial" w:hAnsi="Arial" w:cs="Arial"/>
                <w:b/>
                <w:i w:val="0"/>
                <w:color w:val="4495D1"/>
                <w:sz w:val="28"/>
                <w:u w:val="none"/>
              </w:rPr>
            </w:pPr>
            <w:r>
              <w:rPr>
                <w:rFonts w:ascii="Arial" w:eastAsia="Arial" w:hAnsi="Arial" w:cs="Arial"/>
                <w:b/>
                <w:i w:val="0"/>
                <w:color w:val="002060"/>
                <w:sz w:val="28"/>
                <w:u w:val="none"/>
              </w:rPr>
              <w:t>Hans-Peter Gerhardt</w:t>
            </w:r>
            <w:r>
              <w:rPr>
                <w:rFonts w:ascii="Arial" w:eastAsia="Arial" w:hAnsi="Arial" w:cs="Arial"/>
                <w:b/>
                <w:i w:val="0"/>
                <w:sz w:val="28"/>
              </w:rPr>
              <w:t xml:space="preserve">   </w:t>
            </w:r>
            <w:r>
              <w:rPr>
                <w:rFonts w:ascii="Arial" w:eastAsia="Arial" w:hAnsi="Arial" w:cs="Arial"/>
                <w:b w:val="0"/>
                <w:i w:val="0"/>
                <w:sz w:val="18"/>
              </w:rPr>
              <w:t>Independent</w:t>
            </w:r>
          </w:p>
          <w:p>
            <w:pPr>
              <w:pageBreakBefore w:val="0"/>
              <w:numPr>
                <w:ilvl w:val="0"/>
                <w:numId w:val="0"/>
              </w:numPr>
              <w:spacing w:before="40" w:after="40" w:line="288" w:lineRule="auto"/>
              <w:ind w:left="180" w:right="0" w:firstLine="0"/>
              <w:jc w:val="left"/>
              <w:outlineLvl w:val="9"/>
              <w:rPr>
                <w:rFonts w:ascii="Arial" w:eastAsia="Arial" w:hAnsi="Arial" w:cs="Arial"/>
                <w:b w:val="0"/>
                <w:i w:val="0"/>
                <w:sz w:val="18"/>
              </w:rPr>
            </w:pPr>
          </w:p>
          <w:p>
            <w:pPr>
              <w:pageBreakBefore w:val="0"/>
              <w:numPr>
                <w:ilvl w:val="0"/>
                <w:numId w:val="0"/>
              </w:numPr>
              <w:spacing w:before="10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Biographical Information</w:t>
            </w:r>
          </w:p>
          <w:p>
            <w:pPr>
              <w:pageBreakBefore w:val="0"/>
              <w:numPr>
                <w:ilvl w:val="0"/>
                <w:numId w:val="0"/>
              </w:numPr>
              <w:spacing w:before="0" w:after="0" w:line="288" w:lineRule="auto"/>
              <w:ind w:left="180" w:right="0" w:firstLine="0"/>
              <w:jc w:val="both"/>
              <w:outlineLvl w:val="9"/>
              <w:rPr>
                <w:rFonts w:ascii="Arial" w:eastAsia="Arial" w:hAnsi="Arial" w:cs="Arial"/>
                <w:b w:val="0"/>
                <w:i w:val="0"/>
                <w:sz w:val="18"/>
              </w:rPr>
            </w:pPr>
            <w:r>
              <w:rPr>
                <w:rFonts w:ascii="Arial" w:eastAsia="Arial" w:hAnsi="Arial" w:cs="Arial"/>
                <w:b w:val="0"/>
                <w:i w:val="0"/>
                <w:color w:val="000000"/>
                <w:sz w:val="18"/>
                <w:u w:val="none"/>
              </w:rPr>
              <w:t>Hans-Peter Gerhardt</w:t>
            </w:r>
            <w:r>
              <w:rPr>
                <w:rFonts w:ascii="Arial" w:eastAsia="Arial" w:hAnsi="Arial" w:cs="Arial"/>
                <w:b w:val="0"/>
                <w:i w:val="0"/>
                <w:sz w:val="18"/>
              </w:rPr>
              <w:t xml:space="preserve"> served as the Chief Executive Officer of Asia Capital Reinsurance Group from October 2015 through June 2017. He has served continuously in the reinsurance industry since 1981. He is the former Chief Executive Officer of PARIS RE Holdings Limited, serving in that position from the company's initial formation in 2006 through the completion of its merger into Partner Re Ltd. in June 2010. He previously served as the Chief Executive Officer of AXA Re from 2003 to 2006, also serving as Chairman of AXA Liabilities Managers, the AXA Group's run-off operation, during that time. </w:t>
            </w:r>
          </w:p>
          <w:p>
            <w:pPr>
              <w:pageBreakBefore w:val="0"/>
              <w:numPr>
                <w:ilvl w:val="0"/>
                <w:numId w:val="0"/>
              </w:numPr>
              <w:spacing w:before="10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Certain Other Directorships</w:t>
            </w:r>
          </w:p>
          <w:p>
            <w:pPr>
              <w:pageBreakBefore w:val="0"/>
              <w:numPr>
                <w:ilvl w:val="0"/>
                <w:numId w:val="0"/>
              </w:numPr>
              <w:spacing w:before="0" w:after="0" w:line="288" w:lineRule="auto"/>
              <w:ind w:left="180" w:right="0" w:firstLine="0"/>
              <w:jc w:val="both"/>
              <w:outlineLvl w:val="9"/>
              <w:rPr>
                <w:rFonts w:ascii="Arial" w:eastAsia="Arial" w:hAnsi="Arial" w:cs="Arial"/>
                <w:b w:val="0"/>
                <w:i w:val="0"/>
                <w:sz w:val="18"/>
              </w:rPr>
            </w:pPr>
            <w:r>
              <w:rPr>
                <w:rFonts w:ascii="Arial" w:eastAsia="Arial" w:hAnsi="Arial" w:cs="Arial"/>
                <w:b w:val="0"/>
                <w:i w:val="0"/>
                <w:sz w:val="18"/>
              </w:rPr>
              <w:t>Mr. Gerhardt served as a non-executive director of StarStone Holdings Ltd. and of African Risk Capacity (all privately held). He previously served as a non-executive director of Tokio Millenium Re and Tokio Marine Kiln as well as Asia Capital Reinsurance Group (until May 2017) and as an independent director of Brit Insurance Holdings PLC until the company's acquisition by Fairfax Financial Holdings in 2015.</w:t>
            </w:r>
          </w:p>
          <w:p>
            <w:pPr>
              <w:pageBreakBefore w:val="0"/>
              <w:numPr>
                <w:ilvl w:val="0"/>
                <w:numId w:val="0"/>
              </w:numPr>
              <w:spacing w:before="10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Skills and Qualifications</w:t>
            </w:r>
          </w:p>
          <w:p>
            <w:pPr>
              <w:pageBreakBefore w:val="0"/>
              <w:numPr>
                <w:ilvl w:val="0"/>
                <w:numId w:val="0"/>
              </w:numPr>
              <w:spacing w:before="0" w:after="0" w:line="288" w:lineRule="auto"/>
              <w:ind w:left="180" w:right="0" w:firstLine="0"/>
              <w:jc w:val="left"/>
              <w:outlineLvl w:val="9"/>
              <w:rPr>
                <w:rFonts w:ascii="Arial" w:eastAsia="Arial" w:hAnsi="Arial" w:cs="Arial"/>
                <w:b w:val="0"/>
                <w:i/>
                <w:sz w:val="18"/>
              </w:rPr>
            </w:pPr>
            <w:r>
              <w:rPr>
                <w:rFonts w:ascii="Arial" w:eastAsia="Arial" w:hAnsi="Arial" w:cs="Arial"/>
                <w:b w:val="0"/>
                <w:i/>
                <w:sz w:val="18"/>
              </w:rPr>
              <w:t>Underwriting expertise; proven industry veteran</w:t>
            </w:r>
          </w:p>
          <w:p>
            <w:pPr>
              <w:pageBreakBefore w:val="0"/>
              <w:numPr>
                <w:ilvl w:val="0"/>
                <w:numId w:val="0"/>
              </w:numPr>
              <w:spacing w:before="0" w:after="30" w:line="288" w:lineRule="auto"/>
              <w:ind w:left="180" w:right="0" w:firstLine="0"/>
              <w:jc w:val="both"/>
              <w:outlineLvl w:val="9"/>
              <w:rPr>
                <w:rFonts w:ascii="Arial" w:eastAsia="Arial" w:hAnsi="Arial" w:cs="Arial"/>
                <w:b w:val="0"/>
                <w:i w:val="0"/>
                <w:sz w:val="18"/>
              </w:rPr>
            </w:pPr>
            <w:r>
              <w:rPr>
                <w:rFonts w:ascii="Arial" w:eastAsia="Arial" w:hAnsi="Arial" w:cs="Arial"/>
                <w:b w:val="0"/>
                <w:i w:val="0"/>
                <w:sz w:val="18"/>
              </w:rPr>
              <w:t>Mr. Gerhardt brings decades of underwriting expertise to our Board. He is a proven industry veteran, with significant leadership experience, including several successful tenures in CEO roles.</w:t>
            </w:r>
          </w:p>
        </w:tc>
      </w:tr>
      <w:tr>
        <w:tblPrEx>
          <w:tblW w:w="10260" w:type="dxa"/>
          <w:jc w:val="left"/>
          <w:tblInd w:w="0" w:type="dxa"/>
          <w:tblLayout w:type="fixed"/>
          <w:tblCellMar>
            <w:left w:w="108" w:type="dxa"/>
            <w:right w:w="108" w:type="dxa"/>
          </w:tblCellMar>
        </w:tblPrEx>
        <w:trPr>
          <w:cantSplit/>
          <w:trHeight w:hRule="exact" w:val="19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105"/>
          <w:jc w:val="left"/>
        </w:trPr>
        <w:tc>
          <w:tcPr>
            <w:tcW w:w="2205" w:type="dxa"/>
            <w:tcBorders>
              <w:top w:val="nil"/>
              <w:left w:val="nil"/>
              <w:bottom w:val="nil"/>
              <w:right w:val="single" w:sz="12" w:space="0" w:color="4494D1"/>
            </w:tcBorders>
            <w:tcMar>
              <w:top w:w="0" w:type="dxa"/>
              <w:left w:w="0" w:type="dxa"/>
              <w:bottom w:w="0" w:type="dxa"/>
              <w:right w:w="0" w:type="dxa"/>
            </w:tcMar>
            <w:vAlign w:val="bottom"/>
          </w:tcPr>
          <w:p>
            <w:pPr>
              <w:keepNext/>
              <w:pageBreakBefore w:val="0"/>
              <w:spacing w:before="0" w:after="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840"/>
          <w:jc w:val="left"/>
        </w:trPr>
        <w:tc>
          <w:tcPr>
            <w:tcW w:w="2205" w:type="dxa"/>
            <w:vMerge w:val="restart"/>
            <w:tcBorders>
              <w:top w:val="nil"/>
              <w:left w:val="nil"/>
              <w:bottom w:val="nil"/>
              <w:right w:val="single" w:sz="12" w:space="0" w:color="4494D1"/>
            </w:tcBorders>
            <w:tcMar>
              <w:top w:w="0" w:type="dxa"/>
              <w:left w:w="53" w:type="dxa"/>
              <w:bottom w:w="0" w:type="dxa"/>
              <w:right w:w="53" w:type="dxa"/>
            </w:tcMar>
            <w:vAlign w:val="top"/>
          </w:tcPr>
          <w:p>
            <w:pPr>
              <w:keepNext/>
              <w:pageBreakBefore w:val="0"/>
              <w:numPr>
                <w:ilvl w:val="0"/>
                <w:numId w:val="0"/>
              </w:numPr>
              <w:spacing w:before="53" w:after="100" w:line="288" w:lineRule="auto"/>
              <w:ind w:left="-43" w:right="72" w:firstLine="0"/>
              <w:jc w:val="left"/>
              <w:outlineLvl w:val="9"/>
              <w:rPr>
                <w:rFonts w:ascii="Arial" w:eastAsia="Arial" w:hAnsi="Arial" w:cs="Arial"/>
                <w:b/>
                <w:i w:val="0"/>
                <w:sz w:val="16"/>
              </w:rPr>
            </w:pPr>
            <w:r>
              <w:rPr>
                <w:rFonts w:ascii="Arial" w:eastAsia="Arial" w:hAnsi="Arial" w:cs="Arial"/>
                <w:b/>
                <w:i w:val="0"/>
                <w:sz w:val="16"/>
              </w:rPr>
              <w:t>Director Since:</w:t>
            </w:r>
            <w:r>
              <w:rPr>
                <w:rFonts w:ascii="Arial" w:eastAsia="Arial" w:hAnsi="Arial" w:cs="Arial"/>
                <w:b w:val="0"/>
                <w:i w:val="0"/>
                <w:sz w:val="16"/>
              </w:rPr>
              <w:t xml:space="preserve"> </w:t>
            </w:r>
            <w:r>
              <w:rPr>
                <w:rFonts w:ascii="Arial" w:eastAsia="Arial" w:hAnsi="Arial" w:cs="Arial"/>
                <w:b w:val="0"/>
                <w:i w:val="0"/>
                <w:color w:val="000000"/>
                <w:sz w:val="16"/>
                <w:u w:val="none"/>
              </w:rPr>
              <w:t>2015</w:t>
            </w:r>
          </w:p>
          <w:p>
            <w:pPr>
              <w:pageBreakBefore w:val="0"/>
              <w:numPr>
                <w:ilvl w:val="0"/>
                <w:numId w:val="0"/>
              </w:numPr>
              <w:spacing w:before="100" w:after="100" w:line="288" w:lineRule="auto"/>
              <w:ind w:left="-43" w:right="72" w:firstLine="0"/>
              <w:jc w:val="left"/>
              <w:outlineLvl w:val="9"/>
              <w:rPr>
                <w:rFonts w:ascii="Arial" w:eastAsia="Arial" w:hAnsi="Arial" w:cs="Arial"/>
                <w:b/>
                <w:i w:val="0"/>
                <w:sz w:val="16"/>
              </w:rPr>
            </w:pPr>
            <w:r>
              <w:rPr>
                <w:rFonts w:ascii="Arial" w:eastAsia="Arial" w:hAnsi="Arial" w:cs="Arial"/>
                <w:b/>
                <w:i w:val="0"/>
                <w:sz w:val="16"/>
              </w:rPr>
              <w:t>Age</w:t>
            </w:r>
            <w:r>
              <w:rPr>
                <w:rFonts w:ascii="Arial" w:eastAsia="Arial" w:hAnsi="Arial" w:cs="Arial"/>
                <w:b w:val="0"/>
                <w:i w:val="0"/>
                <w:sz w:val="16"/>
              </w:rPr>
              <w:t xml:space="preserve">: </w:t>
            </w:r>
            <w:r>
              <w:rPr>
                <w:rFonts w:ascii="Arial" w:eastAsia="Arial" w:hAnsi="Arial" w:cs="Arial"/>
                <w:b w:val="0"/>
                <w:i w:val="0"/>
                <w:color w:val="000000"/>
                <w:sz w:val="16"/>
                <w:u w:val="none"/>
              </w:rPr>
              <w:t>68</w:t>
            </w:r>
          </w:p>
          <w:p>
            <w:pPr>
              <w:pageBreakBefore w:val="0"/>
              <w:numPr>
                <w:ilvl w:val="0"/>
                <w:numId w:val="0"/>
              </w:numPr>
              <w:spacing w:before="0" w:after="0" w:line="288" w:lineRule="auto"/>
              <w:ind w:left="-43" w:right="72" w:firstLine="0"/>
              <w:jc w:val="left"/>
              <w:outlineLvl w:val="9"/>
              <w:rPr>
                <w:rFonts w:ascii="Arial" w:eastAsia="Arial" w:hAnsi="Arial" w:cs="Arial"/>
                <w:b/>
                <w:i w:val="0"/>
                <w:sz w:val="16"/>
              </w:rPr>
            </w:pPr>
            <w:r>
              <w:rPr>
                <w:rFonts w:ascii="Arial" w:eastAsia="Arial" w:hAnsi="Arial" w:cs="Arial"/>
                <w:b/>
                <w:i w:val="0"/>
                <w:sz w:val="16"/>
              </w:rPr>
              <w:t xml:space="preserve">Enstar Committees: </w:t>
            </w:r>
          </w:p>
          <w:p>
            <w:pPr>
              <w:pageBreakBefore w:val="0"/>
              <w:numPr>
                <w:ilvl w:val="0"/>
                <w:numId w:val="0"/>
              </w:numPr>
              <w:spacing w:before="0" w:after="0" w:line="288" w:lineRule="auto"/>
              <w:ind w:left="-43" w:right="72" w:firstLine="0"/>
              <w:jc w:val="left"/>
              <w:outlineLvl w:val="9"/>
              <w:rPr>
                <w:rFonts w:ascii="Arial" w:eastAsia="Arial" w:hAnsi="Arial" w:cs="Arial"/>
                <w:b w:val="0"/>
                <w:i w:val="0"/>
                <w:sz w:val="16"/>
              </w:rPr>
            </w:pPr>
            <w:r>
              <w:rPr>
                <w:rFonts w:ascii="Arial" w:eastAsia="Arial" w:hAnsi="Arial" w:cs="Arial"/>
                <w:b w:val="0"/>
                <w:i w:val="0"/>
                <w:color w:val="000000"/>
                <w:sz w:val="16"/>
                <w:u w:val="none"/>
              </w:rPr>
              <w:t xml:space="preserve">Human Resources and Compensation </w:t>
            </w:r>
            <w:r>
              <w:rPr>
                <w:rFonts w:ascii="Webdings" w:eastAsia="Webdings" w:hAnsi="Webdings" w:cs="Webdings"/>
                <w:b w:val="0"/>
                <w:i w:val="0"/>
                <w:color w:val="000000"/>
                <w:sz w:val="16"/>
                <w:u w:val="none"/>
              </w:rPr>
              <w:t xml:space="preserve">| </w:t>
            </w:r>
            <w:r>
              <w:rPr>
                <w:rFonts w:ascii="Arial" w:eastAsia="Arial" w:hAnsi="Arial" w:cs="Arial"/>
                <w:b w:val="0"/>
                <w:i w:val="0"/>
                <w:color w:val="000000"/>
                <w:sz w:val="16"/>
                <w:u w:val="none"/>
              </w:rPr>
              <w:t xml:space="preserve">Risk </w:t>
            </w:r>
            <w:r>
              <w:rPr>
                <w:rFonts w:ascii="Webdings" w:eastAsia="Webdings" w:hAnsi="Webdings" w:cs="Webdings"/>
                <w:b w:val="0"/>
                <w:i w:val="0"/>
                <w:color w:val="000000"/>
                <w:sz w:val="16"/>
                <w:u w:val="none"/>
              </w:rPr>
              <w:t xml:space="preserve">| </w:t>
            </w:r>
            <w:r>
              <w:rPr>
                <w:rFonts w:ascii="Arial" w:eastAsia="Arial" w:hAnsi="Arial" w:cs="Arial"/>
                <w:b w:val="0"/>
                <w:i w:val="0"/>
                <w:color w:val="000000"/>
                <w:sz w:val="16"/>
                <w:u w:val="none"/>
              </w:rPr>
              <w:t>Executive</w:t>
            </w:r>
          </w:p>
          <w:p>
            <w:pPr>
              <w:pageBreakBefore w:val="0"/>
              <w:numPr>
                <w:ilvl w:val="0"/>
                <w:numId w:val="0"/>
              </w:numPr>
              <w:spacing w:before="100" w:after="0" w:line="288" w:lineRule="auto"/>
              <w:ind w:left="-43" w:right="0" w:firstLine="0"/>
              <w:jc w:val="left"/>
              <w:outlineLvl w:val="9"/>
              <w:rPr>
                <w:rFonts w:ascii="Arial" w:eastAsia="Arial" w:hAnsi="Arial" w:cs="Arial"/>
                <w:b/>
                <w:i w:val="0"/>
                <w:sz w:val="16"/>
              </w:rPr>
            </w:pPr>
            <w:r>
              <w:rPr>
                <w:rFonts w:ascii="Arial" w:eastAsia="Arial" w:hAnsi="Arial" w:cs="Arial"/>
                <w:b/>
                <w:i w:val="0"/>
                <w:sz w:val="16"/>
              </w:rPr>
              <w:t>Residency and Citizenship:</w:t>
            </w:r>
          </w:p>
          <w:p>
            <w:pPr>
              <w:pageBreakBefore w:val="0"/>
              <w:numPr>
                <w:ilvl w:val="0"/>
                <w:numId w:val="0"/>
              </w:numPr>
              <w:spacing w:before="0" w:after="30" w:line="288" w:lineRule="auto"/>
              <w:ind w:left="-43"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Swiss resident  |  German citizen</w:t>
            </w: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31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31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31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28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585"/>
          <w:jc w:val="left"/>
        </w:trPr>
        <w:tc>
          <w:tcPr>
            <w:tcW w:w="2205" w:type="dxa"/>
            <w:vMerge/>
            <w:tcBorders>
              <w:top w:val="nil"/>
              <w:left w:val="nil"/>
              <w:bottom w:val="nil"/>
              <w:right w:val="single" w:sz="12" w:space="0" w:color="4494D1"/>
            </w:tcBorders>
          </w:tcPr>
          <w:p>
            <w:pPr>
              <w:pageBreakBefore w:val="0"/>
            </w:pPr>
          </w:p>
        </w:tc>
        <w:tc>
          <w:tcPr>
            <w:tcW w:w="8055" w:type="dxa"/>
            <w:vMerge/>
            <w:tcBorders>
              <w:top w:val="nil"/>
              <w:left w:val="nil"/>
              <w:bottom w:val="nil"/>
              <w:right w:val="nil"/>
            </w:tcBorders>
          </w:tcPr>
          <w:p>
            <w:pPr>
              <w:pageBreakBefore w:val="0"/>
            </w:pPr>
          </w:p>
        </w:tc>
      </w:tr>
    </w:tbl>
    <w:p>
      <w:pPr>
        <w:keepNext/>
        <w:keepLines w:val="0"/>
        <w:pageBreakBefore w:val="0"/>
        <w:widowControl/>
        <w:numPr>
          <w:ilvl w:val="0"/>
          <w:numId w:val="0"/>
        </w:numPr>
        <w:spacing w:before="120" w:after="120" w:line="288" w:lineRule="auto"/>
        <w:ind w:left="0" w:right="0" w:firstLine="0"/>
        <w:jc w:val="left"/>
        <w:outlineLvl w:val="9"/>
        <w:rPr>
          <w:rFonts w:ascii="Times New Roman" w:eastAsia="Times New Roman" w:hAnsi="Times New Roman" w:cs="Times New Roman"/>
          <w:b w:val="0"/>
          <w:i w:val="0"/>
          <w:color w:val="FF0090"/>
          <w:sz w:val="20"/>
          <w:u w:val="none"/>
        </w:rPr>
      </w:pP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205"/>
        <w:gridCol w:w="805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65"/>
          <w:jc w:val="left"/>
        </w:trPr>
        <w:tc>
          <w:tcPr>
            <w:tcW w:w="22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05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200"/>
          <w:jc w:val="left"/>
        </w:trPr>
        <w:tc>
          <w:tcPr>
            <w:tcW w:w="2205" w:type="dxa"/>
            <w:vMerge w:val="restart"/>
            <w:tcBorders>
              <w:top w:val="nil"/>
              <w:left w:val="nil"/>
              <w:bottom w:val="nil"/>
              <w:right w:val="single" w:sz="12" w:space="0" w:color="4494D1"/>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hanging="270"/>
              <w:jc w:val="left"/>
              <w:outlineLvl w:val="9"/>
              <w:rPr>
                <w:rFonts w:ascii="Arial" w:eastAsia="Arial" w:hAnsi="Arial" w:cs="Arial"/>
                <w:b w:val="0"/>
                <w:i w:val="0"/>
                <w:sz w:val="16"/>
              </w:rPr>
            </w:pPr>
            <w:r>
              <w:pict>
                <v:shape id="_x0000_i1170" type="#_x0000_t75" style="width:126pt;height:119.13pt">
                  <v:imagedata r:id="rId52" o:title=""/>
                  <o:lock v:ext="edit" aspectratio="t"/>
                </v:shape>
              </w:pict>
            </w:r>
          </w:p>
        </w:tc>
        <w:tc>
          <w:tcPr>
            <w:tcW w:w="805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40" w:line="288" w:lineRule="auto"/>
              <w:ind w:left="180" w:right="0" w:firstLine="0"/>
              <w:jc w:val="left"/>
              <w:outlineLvl w:val="9"/>
              <w:rPr>
                <w:rFonts w:ascii="Arial" w:eastAsia="Arial" w:hAnsi="Arial" w:cs="Arial"/>
                <w:b/>
                <w:i w:val="0"/>
                <w:color w:val="4495D1"/>
                <w:sz w:val="28"/>
                <w:u w:val="none"/>
              </w:rPr>
            </w:pPr>
            <w:r>
              <w:rPr>
                <w:rFonts w:ascii="Arial" w:eastAsia="Arial" w:hAnsi="Arial" w:cs="Arial"/>
                <w:b/>
                <w:i w:val="0"/>
                <w:color w:val="002060"/>
                <w:sz w:val="28"/>
                <w:u w:val="none"/>
              </w:rPr>
              <w:t>Orla Gregory</w:t>
            </w:r>
            <w:r>
              <w:rPr>
                <w:rFonts w:ascii="Arial" w:eastAsia="Arial" w:hAnsi="Arial" w:cs="Arial"/>
                <w:b/>
                <w:i w:val="0"/>
                <w:sz w:val="28"/>
              </w:rPr>
              <w:t xml:space="preserve">    </w:t>
            </w:r>
            <w:r>
              <w:rPr>
                <w:rFonts w:ascii="Arial" w:eastAsia="Arial" w:hAnsi="Arial" w:cs="Arial"/>
                <w:b w:val="0"/>
                <w:i w:val="0"/>
                <w:sz w:val="18"/>
              </w:rPr>
              <w:t>President, Director</w:t>
            </w:r>
          </w:p>
          <w:p>
            <w:pPr>
              <w:pageBreakBefore w:val="0"/>
              <w:numPr>
                <w:ilvl w:val="0"/>
                <w:numId w:val="0"/>
              </w:numPr>
              <w:spacing w:before="40" w:after="40" w:line="288" w:lineRule="auto"/>
              <w:ind w:left="180" w:right="0" w:firstLine="0"/>
              <w:jc w:val="left"/>
              <w:outlineLvl w:val="9"/>
              <w:rPr>
                <w:rFonts w:ascii="Arial" w:eastAsia="Arial" w:hAnsi="Arial" w:cs="Arial"/>
                <w:b/>
                <w:i w:val="0"/>
                <w:color w:val="4495D1"/>
                <w:sz w:val="18"/>
                <w:u w:val="none"/>
              </w:rPr>
            </w:pPr>
          </w:p>
          <w:p>
            <w:pPr>
              <w:pageBreakBefore w:val="0"/>
              <w:numPr>
                <w:ilvl w:val="0"/>
                <w:numId w:val="0"/>
              </w:numPr>
              <w:spacing w:before="4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Biographical Information</w:t>
            </w:r>
          </w:p>
          <w:p>
            <w:pPr>
              <w:pageBreakBefore w:val="0"/>
              <w:numPr>
                <w:ilvl w:val="0"/>
                <w:numId w:val="0"/>
              </w:numPr>
              <w:spacing w:before="0" w:after="0" w:line="288" w:lineRule="auto"/>
              <w:ind w:left="180" w:right="0" w:firstLine="0"/>
              <w:jc w:val="both"/>
              <w:outlineLvl w:val="9"/>
              <w:rPr>
                <w:rFonts w:ascii="Arial" w:eastAsia="Arial" w:hAnsi="Arial" w:cs="Arial"/>
                <w:b w:val="0"/>
                <w:i w:val="0"/>
                <w:sz w:val="18"/>
              </w:rPr>
            </w:pPr>
            <w:r>
              <w:rPr>
                <w:rFonts w:ascii="Arial" w:eastAsia="Arial" w:hAnsi="Arial" w:cs="Arial"/>
                <w:b w:val="0"/>
                <w:i w:val="0"/>
                <w:color w:val="000000"/>
                <w:sz w:val="18"/>
                <w:u w:val="none"/>
              </w:rPr>
              <w:t>Orla Gregory</w:t>
            </w:r>
            <w:r>
              <w:rPr>
                <w:rFonts w:ascii="Arial" w:eastAsia="Arial" w:hAnsi="Arial" w:cs="Arial"/>
                <w:b w:val="0"/>
                <w:i w:val="0"/>
                <w:sz w:val="18"/>
              </w:rPr>
              <w:t xml:space="preserve"> was appointed President of the Company in March 2023. She previously served as </w:t>
            </w:r>
            <w:r>
              <w:rPr>
                <w:rFonts w:ascii="Arial" w:eastAsia="Arial" w:hAnsi="Arial" w:cs="Arial"/>
                <w:b w:val="0"/>
                <w:i w:val="0"/>
                <w:sz w:val="18"/>
              </w:rPr>
              <w:t xml:space="preserve">our </w:t>
            </w:r>
            <w:r>
              <w:rPr>
                <w:rFonts w:ascii="Arial" w:eastAsia="Arial" w:hAnsi="Arial" w:cs="Arial"/>
                <w:b w:val="0"/>
                <w:i w:val="0"/>
                <w:sz w:val="18"/>
              </w:rPr>
              <w:t>Chief Operating Officer from July 2016 to March 2023</w:t>
            </w:r>
            <w:r>
              <w:rPr>
                <w:rFonts w:ascii="Arial" w:eastAsia="Arial" w:hAnsi="Arial" w:cs="Arial"/>
                <w:b w:val="0"/>
                <w:i w:val="0"/>
                <w:sz w:val="18"/>
              </w:rPr>
              <w:t xml:space="preserve"> and </w:t>
            </w:r>
            <w:r>
              <w:rPr>
                <w:rFonts w:ascii="Arial" w:eastAsia="Arial" w:hAnsi="Arial" w:cs="Arial"/>
                <w:b w:val="0"/>
                <w:i w:val="0"/>
                <w:sz w:val="18"/>
              </w:rPr>
              <w:t>concurrently</w:t>
            </w:r>
            <w:r>
              <w:rPr>
                <w:rFonts w:ascii="Arial" w:eastAsia="Arial" w:hAnsi="Arial" w:cs="Arial"/>
                <w:b w:val="0"/>
                <w:i w:val="0"/>
                <w:sz w:val="18"/>
              </w:rPr>
              <w:t xml:space="preserve"> </w:t>
            </w:r>
            <w:r>
              <w:rPr>
                <w:rFonts w:ascii="Arial" w:eastAsia="Arial" w:hAnsi="Arial" w:cs="Arial"/>
                <w:b w:val="0"/>
                <w:i w:val="0"/>
                <w:sz w:val="18"/>
              </w:rPr>
              <w:t xml:space="preserve">as our </w:t>
            </w:r>
            <w:r>
              <w:rPr>
                <w:rFonts w:ascii="Arial" w:eastAsia="Arial" w:hAnsi="Arial" w:cs="Arial"/>
                <w:b w:val="0"/>
                <w:i w:val="0"/>
                <w:sz w:val="18"/>
              </w:rPr>
              <w:t>Chief Financial Officer from September 2021 to March 2023</w:t>
            </w:r>
            <w:r>
              <w:rPr>
                <w:rFonts w:ascii="Arial" w:eastAsia="Arial" w:hAnsi="Arial" w:cs="Arial"/>
                <w:b w:val="0"/>
                <w:i w:val="0"/>
                <w:sz w:val="18"/>
              </w:rPr>
              <w:t xml:space="preserve">. Since joining us in 2003, Ms. Gregory has held increasingly senior roles, including Chief Integration Officer from 2015 to 2016, </w:t>
            </w:r>
            <w:r>
              <w:rPr>
                <w:rFonts w:ascii="Arial" w:eastAsia="Arial" w:hAnsi="Arial" w:cs="Arial"/>
                <w:b w:val="0"/>
                <w:i w:val="0"/>
                <w:sz w:val="18"/>
              </w:rPr>
              <w:t>Executive Vice President</w:t>
            </w:r>
            <w:r>
              <w:rPr>
                <w:rFonts w:ascii="Arial" w:eastAsia="Arial" w:hAnsi="Arial" w:cs="Arial"/>
                <w:b w:val="0"/>
                <w:i w:val="0"/>
                <w:sz w:val="18"/>
              </w:rPr>
              <w:t xml:space="preserve"> of Mergers and Acquisitions of our subsidiary, Enstar Limited, from 2014 to 2015, Senior Vice President of Mergers and Acquisitions from 2009 to 2014, and Financial Controller from 2003 to 2009. Ms. Gregory previously served as a Financial Controller of Irish European Reinsurance Company Ltd. in Ireland, an Investment Accountant with Ernst &amp; Young Bermuda, and as a Financial Accountant for QBE Insurance &amp; Reinsurance (Europe) Limited.</w:t>
            </w:r>
          </w:p>
          <w:p>
            <w:pPr>
              <w:pageBreakBefore w:val="0"/>
              <w:numPr>
                <w:ilvl w:val="0"/>
                <w:numId w:val="0"/>
              </w:numPr>
              <w:spacing w:before="10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Skills and Qualifications</w:t>
            </w:r>
          </w:p>
          <w:p>
            <w:pPr>
              <w:pageBreakBefore w:val="0"/>
              <w:numPr>
                <w:ilvl w:val="0"/>
                <w:numId w:val="0"/>
              </w:numPr>
              <w:spacing w:before="40" w:after="0" w:line="288" w:lineRule="auto"/>
              <w:ind w:left="180" w:right="0" w:firstLine="0"/>
              <w:jc w:val="both"/>
              <w:outlineLvl w:val="9"/>
              <w:rPr>
                <w:rFonts w:ascii="Arial" w:eastAsia="Arial" w:hAnsi="Arial" w:cs="Arial"/>
                <w:b w:val="0"/>
                <w:i/>
                <w:sz w:val="18"/>
              </w:rPr>
            </w:pPr>
            <w:r>
              <w:rPr>
                <w:rFonts w:ascii="Arial" w:eastAsia="Arial" w:hAnsi="Arial" w:cs="Arial"/>
                <w:b w:val="0"/>
                <w:i/>
                <w:sz w:val="18"/>
              </w:rPr>
              <w:t>Company leader; finance &amp; accounting; operations and technology; human capital management; industry expertise</w:t>
            </w:r>
          </w:p>
          <w:p>
            <w:pPr>
              <w:pageBreakBefore w:val="0"/>
              <w:numPr>
                <w:ilvl w:val="0"/>
                <w:numId w:val="0"/>
              </w:numPr>
              <w:spacing w:before="0" w:after="30" w:line="288" w:lineRule="auto"/>
              <w:ind w:left="180" w:right="0" w:firstLine="0"/>
              <w:jc w:val="both"/>
              <w:outlineLvl w:val="9"/>
              <w:rPr>
                <w:rFonts w:ascii="Arial" w:eastAsia="Arial" w:hAnsi="Arial" w:cs="Arial"/>
                <w:b w:val="0"/>
                <w:i w:val="0"/>
                <w:sz w:val="18"/>
              </w:rPr>
            </w:pPr>
            <w:r>
              <w:rPr>
                <w:rFonts w:ascii="Arial" w:eastAsia="Arial" w:hAnsi="Arial" w:cs="Arial"/>
                <w:b w:val="0"/>
                <w:i w:val="0"/>
                <w:sz w:val="18"/>
              </w:rPr>
              <w:t xml:space="preserve">Ms. Gregory is a qualified chartered accountant and experienced company executive who has spent more than 27 years in the insurance and reinsurance industry, including </w:t>
            </w:r>
            <w:r>
              <w:rPr>
                <w:rFonts w:ascii="Arial" w:eastAsia="Arial" w:hAnsi="Arial" w:cs="Arial"/>
                <w:b w:val="0"/>
                <w:i w:val="0"/>
                <w:sz w:val="18"/>
              </w:rPr>
              <w:t>20</w:t>
            </w:r>
            <w:r>
              <w:rPr>
                <w:rFonts w:ascii="Arial" w:eastAsia="Arial" w:hAnsi="Arial" w:cs="Arial"/>
                <w:b w:val="0"/>
                <w:i w:val="0"/>
                <w:sz w:val="18"/>
              </w:rPr>
              <w:t xml:space="preserve"> years with our Company. As Company President, Ms. Gregory brings to our Board intimate knowledge and expertise regarding the Company and our industry. Her experience developing and managing the Company's operations and global workforce is particularly valuable to our Board in light of the Company's strategic focus on human capital management.</w:t>
            </w:r>
          </w:p>
        </w:tc>
      </w:tr>
      <w:tr>
        <w:tblPrEx>
          <w:tblW w:w="10260" w:type="dxa"/>
          <w:jc w:val="left"/>
          <w:tblInd w:w="0" w:type="dxa"/>
          <w:tblLayout w:type="fixed"/>
          <w:tblCellMar>
            <w:left w:w="108" w:type="dxa"/>
            <w:right w:w="108" w:type="dxa"/>
          </w:tblCellMar>
        </w:tblPrEx>
        <w:trPr>
          <w:cantSplit/>
          <w:trHeight w:hRule="exact" w:val="1200"/>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105"/>
          <w:jc w:val="left"/>
        </w:trPr>
        <w:tc>
          <w:tcPr>
            <w:tcW w:w="2205" w:type="dxa"/>
            <w:tcBorders>
              <w:top w:val="nil"/>
              <w:left w:val="nil"/>
              <w:bottom w:val="nil"/>
              <w:right w:val="single" w:sz="12" w:space="0" w:color="4494D1"/>
            </w:tcBorders>
            <w:tcMar>
              <w:top w:w="0" w:type="dxa"/>
              <w:left w:w="0" w:type="dxa"/>
              <w:bottom w:w="0" w:type="dxa"/>
              <w:right w:w="0" w:type="dxa"/>
            </w:tcMar>
            <w:vAlign w:val="bottom"/>
          </w:tcPr>
          <w:p>
            <w:pPr>
              <w:keepNext/>
              <w:pageBreakBefore w:val="0"/>
              <w:spacing w:before="0" w:after="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05"/>
          <w:jc w:val="left"/>
        </w:trPr>
        <w:tc>
          <w:tcPr>
            <w:tcW w:w="2205" w:type="dxa"/>
            <w:vMerge w:val="restart"/>
            <w:tcBorders>
              <w:top w:val="nil"/>
              <w:left w:val="nil"/>
              <w:bottom w:val="nil"/>
              <w:right w:val="single" w:sz="12" w:space="0" w:color="4494D1"/>
            </w:tcBorders>
            <w:tcMar>
              <w:top w:w="0" w:type="dxa"/>
              <w:left w:w="53" w:type="dxa"/>
              <w:bottom w:w="0" w:type="dxa"/>
              <w:right w:w="53" w:type="dxa"/>
            </w:tcMar>
            <w:vAlign w:val="top"/>
          </w:tcPr>
          <w:p>
            <w:pPr>
              <w:keepNext/>
              <w:pageBreakBefore w:val="0"/>
              <w:numPr>
                <w:ilvl w:val="0"/>
                <w:numId w:val="0"/>
              </w:numPr>
              <w:spacing w:before="53" w:after="100" w:line="288" w:lineRule="auto"/>
              <w:ind w:left="-43" w:right="72" w:firstLine="0"/>
              <w:jc w:val="left"/>
              <w:outlineLvl w:val="9"/>
              <w:rPr>
                <w:rFonts w:ascii="Arial" w:eastAsia="Arial" w:hAnsi="Arial" w:cs="Arial"/>
                <w:b/>
                <w:i w:val="0"/>
                <w:sz w:val="16"/>
              </w:rPr>
            </w:pPr>
            <w:r>
              <w:rPr>
                <w:rFonts w:ascii="Arial" w:eastAsia="Arial" w:hAnsi="Arial" w:cs="Arial"/>
                <w:b/>
                <w:i w:val="0"/>
                <w:sz w:val="16"/>
              </w:rPr>
              <w:t>Director Since:</w:t>
            </w:r>
            <w:r>
              <w:rPr>
                <w:rFonts w:ascii="Arial" w:eastAsia="Arial" w:hAnsi="Arial" w:cs="Arial"/>
                <w:b w:val="0"/>
                <w:i w:val="0"/>
                <w:sz w:val="16"/>
              </w:rPr>
              <w:t xml:space="preserve"> </w:t>
            </w:r>
            <w:r>
              <w:rPr>
                <w:rFonts w:ascii="Arial" w:eastAsia="Arial" w:hAnsi="Arial" w:cs="Arial"/>
                <w:b w:val="0"/>
                <w:i w:val="0"/>
                <w:color w:val="000000"/>
                <w:sz w:val="16"/>
                <w:u w:val="none"/>
              </w:rPr>
              <w:t>2022</w:t>
            </w:r>
          </w:p>
          <w:p>
            <w:pPr>
              <w:pageBreakBefore w:val="0"/>
              <w:numPr>
                <w:ilvl w:val="0"/>
                <w:numId w:val="0"/>
              </w:numPr>
              <w:spacing w:before="100" w:after="100" w:line="288" w:lineRule="auto"/>
              <w:ind w:left="-43" w:right="72" w:firstLine="0"/>
              <w:jc w:val="left"/>
              <w:outlineLvl w:val="9"/>
              <w:rPr>
                <w:rFonts w:ascii="Arial" w:eastAsia="Arial" w:hAnsi="Arial" w:cs="Arial"/>
                <w:b/>
                <w:i w:val="0"/>
                <w:sz w:val="16"/>
              </w:rPr>
            </w:pPr>
            <w:r>
              <w:rPr>
                <w:rFonts w:ascii="Arial" w:eastAsia="Arial" w:hAnsi="Arial" w:cs="Arial"/>
                <w:b/>
                <w:i w:val="0"/>
                <w:sz w:val="16"/>
              </w:rPr>
              <w:t xml:space="preserve">Age: </w:t>
            </w:r>
            <w:r>
              <w:rPr>
                <w:rFonts w:ascii="Arial" w:eastAsia="Arial" w:hAnsi="Arial" w:cs="Arial"/>
                <w:b w:val="0"/>
                <w:i w:val="0"/>
                <w:color w:val="000000"/>
                <w:sz w:val="16"/>
                <w:u w:val="none"/>
              </w:rPr>
              <w:t>50</w:t>
            </w:r>
          </w:p>
          <w:p>
            <w:pPr>
              <w:pageBreakBefore w:val="0"/>
              <w:numPr>
                <w:ilvl w:val="0"/>
                <w:numId w:val="0"/>
              </w:numPr>
              <w:spacing w:before="100" w:after="100" w:line="288" w:lineRule="auto"/>
              <w:ind w:left="-43" w:right="72" w:firstLine="0"/>
              <w:jc w:val="left"/>
              <w:outlineLvl w:val="9"/>
              <w:rPr>
                <w:rFonts w:ascii="Arial" w:eastAsia="Arial" w:hAnsi="Arial" w:cs="Arial"/>
                <w:b/>
                <w:i w:val="0"/>
                <w:sz w:val="16"/>
              </w:rPr>
            </w:pPr>
            <w:r>
              <w:rPr>
                <w:rFonts w:ascii="Arial" w:eastAsia="Arial" w:hAnsi="Arial" w:cs="Arial"/>
                <w:b/>
                <w:i w:val="0"/>
                <w:sz w:val="16"/>
              </w:rPr>
              <w:t xml:space="preserve">Enstar Officer Title:  </w:t>
            </w:r>
            <w:r>
              <w:rPr>
                <w:rFonts w:ascii="Arial" w:eastAsia="Arial" w:hAnsi="Arial" w:cs="Arial"/>
                <w:b w:val="0"/>
                <w:i w:val="0"/>
                <w:sz w:val="16"/>
              </w:rPr>
              <w:t>President</w:t>
            </w:r>
            <w:r>
              <w:rPr>
                <w:rFonts w:ascii="Arial" w:eastAsia="Arial" w:hAnsi="Arial" w:cs="Arial"/>
                <w:b w:val="0"/>
                <w:i w:val="0"/>
                <w:sz w:val="16"/>
              </w:rPr>
              <w:t xml:space="preserve"> </w:t>
            </w:r>
          </w:p>
          <w:p>
            <w:pPr>
              <w:pageBreakBefore w:val="0"/>
              <w:numPr>
                <w:ilvl w:val="0"/>
                <w:numId w:val="0"/>
              </w:numPr>
              <w:spacing w:before="0" w:after="0" w:line="288" w:lineRule="auto"/>
              <w:ind w:left="-43" w:right="0" w:firstLine="0"/>
              <w:jc w:val="left"/>
              <w:outlineLvl w:val="9"/>
              <w:rPr>
                <w:rFonts w:ascii="Arial" w:eastAsia="Arial" w:hAnsi="Arial" w:cs="Arial"/>
                <w:b/>
                <w:i w:val="0"/>
                <w:sz w:val="16"/>
              </w:rPr>
            </w:pPr>
            <w:r>
              <w:rPr>
                <w:rFonts w:ascii="Arial" w:eastAsia="Arial" w:hAnsi="Arial" w:cs="Arial"/>
                <w:b/>
                <w:i w:val="0"/>
                <w:sz w:val="16"/>
              </w:rPr>
              <w:t>Residency and Citizenship:</w:t>
            </w:r>
          </w:p>
          <w:p>
            <w:pPr>
              <w:pageBreakBefore w:val="0"/>
              <w:numPr>
                <w:ilvl w:val="0"/>
                <w:numId w:val="0"/>
              </w:numPr>
              <w:spacing w:before="0" w:after="30" w:line="288" w:lineRule="auto"/>
              <w:ind w:left="-43"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Bermuda resident  |  Irish citizen</w:t>
            </w: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20"/>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0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31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28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1140"/>
          <w:jc w:val="left"/>
        </w:trPr>
        <w:tc>
          <w:tcPr>
            <w:tcW w:w="2205" w:type="dxa"/>
            <w:vMerge/>
            <w:tcBorders>
              <w:top w:val="nil"/>
              <w:left w:val="nil"/>
              <w:bottom w:val="nil"/>
              <w:right w:val="single" w:sz="12" w:space="0" w:color="4494D1"/>
            </w:tcBorders>
          </w:tcPr>
          <w:p>
            <w:pPr>
              <w:pageBreakBefore w:val="0"/>
            </w:pPr>
          </w:p>
        </w:tc>
        <w:tc>
          <w:tcPr>
            <w:tcW w:w="8055" w:type="dxa"/>
            <w:vMerge/>
            <w:tcBorders>
              <w:top w:val="nil"/>
              <w:left w:val="nil"/>
              <w:bottom w:val="nil"/>
              <w:right w:val="nil"/>
            </w:tcBorders>
          </w:tcPr>
          <w:p>
            <w:pPr>
              <w:pageBreakBefore w:val="0"/>
            </w:pPr>
          </w:p>
        </w:tc>
      </w:tr>
    </w:tbl>
    <w:p>
      <w:pPr>
        <w:keepNext/>
        <w:keepLines w:val="0"/>
        <w:pageBreakBefore w:val="0"/>
        <w:widowControl/>
        <w:numPr>
          <w:ilvl w:val="0"/>
          <w:numId w:val="0"/>
        </w:numPr>
        <w:spacing w:before="120" w:after="120" w:line="288" w:lineRule="auto"/>
        <w:ind w:left="0" w:right="0" w:firstLine="0"/>
        <w:jc w:val="left"/>
        <w:outlineLvl w:val="9"/>
        <w:rPr>
          <w:rFonts w:ascii="Times New Roman" w:eastAsia="Times New Roman" w:hAnsi="Times New Roman" w:cs="Times New Roman"/>
          <w:b w:val="0"/>
          <w:i w:val="0"/>
          <w:color w:val="FF0090"/>
          <w:sz w:val="20"/>
          <w:u w:val="none"/>
        </w:rPr>
      </w:pPr>
      <w:r>
        <w:rPr>
          <w:rFonts w:ascii="Times New Roman" w:eastAsia="Times New Roman" w:hAnsi="Times New Roman" w:cs="Times New Roman"/>
          <w:b w:val="0"/>
          <w:i w:val="0"/>
          <w:color w:val="FF0090"/>
          <w:sz w:val="20"/>
          <w:u w:val="none"/>
        </w:rPr>
        <w:t xml:space="preserve"> </w:t>
      </w: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205"/>
        <w:gridCol w:w="805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65"/>
          <w:jc w:val="left"/>
        </w:trPr>
        <w:tc>
          <w:tcPr>
            <w:tcW w:w="22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05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305"/>
          <w:jc w:val="left"/>
        </w:trPr>
        <w:tc>
          <w:tcPr>
            <w:tcW w:w="2205" w:type="dxa"/>
            <w:vMerge w:val="restart"/>
            <w:tcBorders>
              <w:top w:val="nil"/>
              <w:left w:val="nil"/>
              <w:bottom w:val="nil"/>
              <w:right w:val="single" w:sz="12" w:space="0" w:color="4494D1"/>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hanging="90"/>
              <w:jc w:val="center"/>
              <w:outlineLvl w:val="9"/>
              <w:rPr>
                <w:rFonts w:ascii="Arial" w:eastAsia="Arial" w:hAnsi="Arial" w:cs="Arial"/>
                <w:b w:val="0"/>
                <w:i w:val="0"/>
                <w:sz w:val="16"/>
              </w:rPr>
            </w:pPr>
            <w:r>
              <w:pict>
                <v:shape id="_x0000_i1171" type="#_x0000_t75" style="width:120.17pt;height:129.75pt">
                  <v:imagedata r:id="rId53" o:title=""/>
                  <o:lock v:ext="edit" aspectratio="t"/>
                </v:shape>
              </w:pict>
            </w:r>
          </w:p>
        </w:tc>
        <w:tc>
          <w:tcPr>
            <w:tcW w:w="805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40" w:line="288" w:lineRule="auto"/>
              <w:ind w:left="180" w:right="0" w:firstLine="0"/>
              <w:jc w:val="left"/>
              <w:outlineLvl w:val="9"/>
              <w:rPr>
                <w:rFonts w:ascii="Arial" w:eastAsia="Arial" w:hAnsi="Arial" w:cs="Arial"/>
                <w:b/>
                <w:i w:val="0"/>
                <w:color w:val="4495D1"/>
                <w:sz w:val="28"/>
                <w:u w:val="none"/>
              </w:rPr>
            </w:pPr>
            <w:r>
              <w:rPr>
                <w:rFonts w:ascii="Arial" w:eastAsia="Arial" w:hAnsi="Arial" w:cs="Arial"/>
                <w:b/>
                <w:i w:val="0"/>
                <w:color w:val="002060"/>
                <w:sz w:val="28"/>
                <w:u w:val="none"/>
              </w:rPr>
              <w:t>Myron Hendry</w:t>
            </w:r>
            <w:r>
              <w:rPr>
                <w:rFonts w:ascii="Arial" w:eastAsia="Arial" w:hAnsi="Arial" w:cs="Arial"/>
                <w:b/>
                <w:i w:val="0"/>
                <w:sz w:val="28"/>
              </w:rPr>
              <w:t xml:space="preserve">    </w:t>
            </w:r>
            <w:r>
              <w:rPr>
                <w:rFonts w:ascii="Arial" w:eastAsia="Arial" w:hAnsi="Arial" w:cs="Arial"/>
                <w:b w:val="0"/>
                <w:i w:val="0"/>
                <w:sz w:val="18"/>
              </w:rPr>
              <w:t>Independent</w:t>
            </w:r>
          </w:p>
          <w:p>
            <w:pPr>
              <w:pageBreakBefore w:val="0"/>
              <w:numPr>
                <w:ilvl w:val="0"/>
                <w:numId w:val="0"/>
              </w:numPr>
              <w:spacing w:before="40" w:after="40" w:line="288" w:lineRule="auto"/>
              <w:ind w:left="180" w:right="0" w:firstLine="0"/>
              <w:jc w:val="left"/>
              <w:outlineLvl w:val="9"/>
              <w:rPr>
                <w:rFonts w:ascii="Arial" w:eastAsia="Arial" w:hAnsi="Arial" w:cs="Arial"/>
                <w:b/>
                <w:i w:val="0"/>
                <w:color w:val="4495D1"/>
                <w:sz w:val="18"/>
                <w:u w:val="none"/>
              </w:rPr>
            </w:pPr>
          </w:p>
          <w:p>
            <w:pPr>
              <w:pageBreakBefore w:val="0"/>
              <w:numPr>
                <w:ilvl w:val="0"/>
                <w:numId w:val="0"/>
              </w:numPr>
              <w:spacing w:before="0" w:after="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Biographical Information</w:t>
            </w:r>
          </w:p>
          <w:p>
            <w:pPr>
              <w:pageBreakBefore w:val="0"/>
              <w:numPr>
                <w:ilvl w:val="0"/>
                <w:numId w:val="0"/>
              </w:numPr>
              <w:spacing w:before="40" w:after="40" w:line="288" w:lineRule="auto"/>
              <w:ind w:left="180" w:right="0" w:firstLine="0"/>
              <w:jc w:val="both"/>
              <w:outlineLvl w:val="9"/>
              <w:rPr>
                <w:rFonts w:ascii="Arial" w:eastAsia="Arial" w:hAnsi="Arial" w:cs="Arial"/>
                <w:b w:val="0"/>
                <w:i w:val="0"/>
                <w:sz w:val="18"/>
              </w:rPr>
            </w:pPr>
            <w:r>
              <w:rPr>
                <w:rFonts w:ascii="Arial" w:eastAsia="Arial" w:hAnsi="Arial" w:cs="Arial"/>
                <w:b w:val="0"/>
                <w:i w:val="0"/>
                <w:color w:val="000000"/>
                <w:sz w:val="18"/>
                <w:u w:val="none"/>
              </w:rPr>
              <w:t>Myron Hendry</w:t>
            </w:r>
            <w:r>
              <w:rPr>
                <w:rFonts w:ascii="Arial" w:eastAsia="Arial" w:hAnsi="Arial" w:cs="Arial"/>
                <w:b w:val="0"/>
                <w:i w:val="0"/>
                <w:sz w:val="18"/>
              </w:rPr>
              <w:t xml:space="preserve"> most recently served as an executive advisor to AXA on integration matters. He previously served as the Executive Vice President and Chief Platform Officer for XL Catlin from 2009-2018, where he was responsible, on a Global basis, for Technology, Operations, Real Estate, Procurement, Continuous Improvement Programs and XL Catlin's Service Centers in India and Poland. He also served as Director on the XL India Business Services Private Limited Board, and he was the Chairman of the XL Catlin Corporate Crisis Committee responsible for Disaster Recovery and Business Continuity. Mr. Hendry was the founder of the XL Catlin's Leadership Listening Program. Throughout his career, he also held technology, operational and claims leadership roles at Bank of America's Balboa Insurance Group, Safeco Insurance and CNA Insurance. </w:t>
            </w:r>
          </w:p>
          <w:p>
            <w:pPr>
              <w:pageBreakBefore w:val="0"/>
              <w:numPr>
                <w:ilvl w:val="0"/>
                <w:numId w:val="0"/>
              </w:numPr>
              <w:spacing w:before="10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 xml:space="preserve">Skills and Qualifications </w:t>
            </w:r>
          </w:p>
          <w:p>
            <w:pPr>
              <w:pageBreakBefore w:val="0"/>
              <w:numPr>
                <w:ilvl w:val="0"/>
                <w:numId w:val="0"/>
              </w:numPr>
              <w:spacing w:before="40" w:after="40" w:line="288" w:lineRule="auto"/>
              <w:ind w:left="180" w:right="0" w:firstLine="0"/>
              <w:jc w:val="left"/>
              <w:outlineLvl w:val="9"/>
              <w:rPr>
                <w:rFonts w:ascii="Arial" w:eastAsia="Arial" w:hAnsi="Arial" w:cs="Arial"/>
                <w:b w:val="0"/>
                <w:i/>
                <w:sz w:val="18"/>
              </w:rPr>
            </w:pPr>
            <w:r>
              <w:rPr>
                <w:rFonts w:ascii="Arial" w:eastAsia="Arial" w:hAnsi="Arial" w:cs="Arial"/>
                <w:b w:val="0"/>
                <w:i/>
                <w:sz w:val="18"/>
              </w:rPr>
              <w:t>Operations and Technology</w:t>
            </w:r>
          </w:p>
          <w:p>
            <w:pPr>
              <w:pageBreakBefore w:val="0"/>
              <w:numPr>
                <w:ilvl w:val="0"/>
                <w:numId w:val="0"/>
              </w:numPr>
              <w:spacing w:before="40" w:after="30" w:line="288" w:lineRule="auto"/>
              <w:ind w:left="180" w:right="0" w:firstLine="0"/>
              <w:jc w:val="both"/>
              <w:outlineLvl w:val="9"/>
              <w:rPr>
                <w:rFonts w:ascii="Arial" w:eastAsia="Arial" w:hAnsi="Arial" w:cs="Arial"/>
                <w:b w:val="0"/>
                <w:i w:val="0"/>
                <w:sz w:val="18"/>
              </w:rPr>
            </w:pPr>
            <w:r>
              <w:rPr>
                <w:rFonts w:ascii="Arial" w:eastAsia="Arial" w:hAnsi="Arial" w:cs="Arial"/>
                <w:b w:val="0"/>
                <w:i w:val="0"/>
                <w:sz w:val="18"/>
              </w:rPr>
              <w:t>Mr. Hendry brings to our Board expertise in insurance industry-specific information technology and operations management. His extensive experience as an executive engaging on technology matters at the board level is valuable to our Board and Risk Committee.</w:t>
            </w:r>
          </w:p>
        </w:tc>
      </w:tr>
      <w:tr>
        <w:tblPrEx>
          <w:tblW w:w="10260" w:type="dxa"/>
          <w:jc w:val="left"/>
          <w:tblInd w:w="0" w:type="dxa"/>
          <w:tblLayout w:type="fixed"/>
          <w:tblCellMar>
            <w:left w:w="108" w:type="dxa"/>
            <w:right w:w="108" w:type="dxa"/>
          </w:tblCellMar>
        </w:tblPrEx>
        <w:trPr>
          <w:cantSplit/>
          <w:trHeight w:hRule="exact" w:val="130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105"/>
          <w:jc w:val="left"/>
        </w:trPr>
        <w:tc>
          <w:tcPr>
            <w:tcW w:w="2205" w:type="dxa"/>
            <w:tcBorders>
              <w:top w:val="nil"/>
              <w:left w:val="nil"/>
              <w:bottom w:val="nil"/>
              <w:right w:val="single" w:sz="12" w:space="0" w:color="4494D1"/>
            </w:tcBorders>
            <w:tcMar>
              <w:top w:w="0" w:type="dxa"/>
              <w:left w:w="0" w:type="dxa"/>
              <w:bottom w:w="0" w:type="dxa"/>
              <w:right w:w="0" w:type="dxa"/>
            </w:tcMar>
            <w:vAlign w:val="bottom"/>
          </w:tcPr>
          <w:p>
            <w:pPr>
              <w:keepNext/>
              <w:pageBreakBefore w:val="0"/>
              <w:spacing w:before="0" w:after="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65"/>
          <w:jc w:val="left"/>
        </w:trPr>
        <w:tc>
          <w:tcPr>
            <w:tcW w:w="2205" w:type="dxa"/>
            <w:vMerge w:val="restart"/>
            <w:tcBorders>
              <w:top w:val="nil"/>
              <w:left w:val="nil"/>
              <w:bottom w:val="nil"/>
              <w:right w:val="single" w:sz="12" w:space="0" w:color="4494D1"/>
            </w:tcBorders>
            <w:tcMar>
              <w:top w:w="0" w:type="dxa"/>
              <w:left w:w="53" w:type="dxa"/>
              <w:bottom w:w="0" w:type="dxa"/>
              <w:right w:w="53" w:type="dxa"/>
            </w:tcMar>
            <w:vAlign w:val="top"/>
          </w:tcPr>
          <w:p>
            <w:pPr>
              <w:keepNext/>
              <w:pageBreakBefore w:val="0"/>
              <w:numPr>
                <w:ilvl w:val="0"/>
                <w:numId w:val="0"/>
              </w:numPr>
              <w:spacing w:before="53" w:after="100" w:line="288" w:lineRule="auto"/>
              <w:ind w:left="-43" w:right="0" w:firstLine="0"/>
              <w:jc w:val="left"/>
              <w:outlineLvl w:val="9"/>
              <w:rPr>
                <w:rFonts w:ascii="Arial" w:eastAsia="Arial" w:hAnsi="Arial" w:cs="Arial"/>
                <w:b/>
                <w:i w:val="0"/>
                <w:sz w:val="16"/>
              </w:rPr>
            </w:pPr>
            <w:r>
              <w:rPr>
                <w:rFonts w:ascii="Arial" w:eastAsia="Arial" w:hAnsi="Arial" w:cs="Arial"/>
                <w:b/>
                <w:i w:val="0"/>
                <w:sz w:val="16"/>
              </w:rPr>
              <w:t>Director Since:</w:t>
            </w:r>
            <w:r>
              <w:rPr>
                <w:rFonts w:ascii="Arial" w:eastAsia="Arial" w:hAnsi="Arial" w:cs="Arial"/>
                <w:b w:val="0"/>
                <w:i w:val="0"/>
                <w:sz w:val="16"/>
              </w:rPr>
              <w:t xml:space="preserve"> </w:t>
            </w:r>
            <w:r>
              <w:rPr>
                <w:rFonts w:ascii="Arial" w:eastAsia="Arial" w:hAnsi="Arial" w:cs="Arial"/>
                <w:b w:val="0"/>
                <w:i w:val="0"/>
                <w:color w:val="000000"/>
                <w:sz w:val="16"/>
                <w:u w:val="none"/>
              </w:rPr>
              <w:t>2019</w:t>
            </w:r>
          </w:p>
          <w:p>
            <w:pPr>
              <w:pageBreakBefore w:val="0"/>
              <w:numPr>
                <w:ilvl w:val="0"/>
                <w:numId w:val="0"/>
              </w:numPr>
              <w:spacing w:before="100" w:after="100" w:line="288" w:lineRule="auto"/>
              <w:ind w:left="-43" w:right="0" w:firstLine="0"/>
              <w:jc w:val="left"/>
              <w:outlineLvl w:val="9"/>
              <w:rPr>
                <w:rFonts w:ascii="Arial" w:eastAsia="Arial" w:hAnsi="Arial" w:cs="Arial"/>
                <w:b/>
                <w:i w:val="0"/>
                <w:sz w:val="16"/>
              </w:rPr>
            </w:pPr>
            <w:r>
              <w:rPr>
                <w:rFonts w:ascii="Arial" w:eastAsia="Arial" w:hAnsi="Arial" w:cs="Arial"/>
                <w:b/>
                <w:i w:val="0"/>
                <w:sz w:val="16"/>
              </w:rPr>
              <w:t>Age:</w:t>
            </w:r>
            <w:r>
              <w:rPr>
                <w:rFonts w:ascii="Arial" w:eastAsia="Arial" w:hAnsi="Arial" w:cs="Arial"/>
                <w:b w:val="0"/>
                <w:i w:val="0"/>
                <w:sz w:val="16"/>
              </w:rPr>
              <w:t xml:space="preserve"> </w:t>
            </w:r>
            <w:r>
              <w:rPr>
                <w:rFonts w:ascii="Arial" w:eastAsia="Arial" w:hAnsi="Arial" w:cs="Arial"/>
                <w:b w:val="0"/>
                <w:i w:val="0"/>
                <w:color w:val="000000"/>
                <w:sz w:val="16"/>
                <w:u w:val="none"/>
              </w:rPr>
              <w:t>75</w:t>
            </w:r>
          </w:p>
          <w:p>
            <w:pPr>
              <w:pageBreakBefore w:val="0"/>
              <w:numPr>
                <w:ilvl w:val="0"/>
                <w:numId w:val="0"/>
              </w:numPr>
              <w:spacing w:before="0" w:after="100" w:line="288" w:lineRule="auto"/>
              <w:ind w:left="-43" w:right="0" w:firstLine="0"/>
              <w:jc w:val="left"/>
              <w:outlineLvl w:val="9"/>
              <w:rPr>
                <w:rFonts w:ascii="Arial" w:eastAsia="Arial" w:hAnsi="Arial" w:cs="Arial"/>
                <w:b/>
                <w:i w:val="0"/>
                <w:sz w:val="16"/>
              </w:rPr>
            </w:pPr>
            <w:r>
              <w:rPr>
                <w:rFonts w:ascii="Arial" w:eastAsia="Arial" w:hAnsi="Arial" w:cs="Arial"/>
                <w:b/>
                <w:i w:val="0"/>
                <w:sz w:val="16"/>
              </w:rPr>
              <w:t xml:space="preserve">Enstar Committees: </w:t>
            </w:r>
            <w:r>
              <w:rPr>
                <w:rFonts w:ascii="Arial" w:eastAsia="Arial" w:hAnsi="Arial" w:cs="Arial"/>
                <w:b w:val="0"/>
                <w:i w:val="0"/>
                <w:color w:val="000000"/>
                <w:sz w:val="16"/>
                <w:u w:val="none"/>
              </w:rPr>
              <w:t xml:space="preserve">Nominating and Governance </w:t>
            </w:r>
            <w:r>
              <w:rPr>
                <w:rFonts w:ascii="Webdings" w:eastAsia="Webdings" w:hAnsi="Webdings" w:cs="Webdings"/>
                <w:b w:val="0"/>
                <w:i w:val="0"/>
                <w:color w:val="000000"/>
                <w:sz w:val="16"/>
                <w:u w:val="none"/>
              </w:rPr>
              <w:t xml:space="preserve">| </w:t>
            </w:r>
            <w:r>
              <w:rPr>
                <w:rFonts w:ascii="Arial" w:eastAsia="Arial" w:hAnsi="Arial" w:cs="Arial"/>
                <w:b w:val="0"/>
                <w:i w:val="0"/>
                <w:color w:val="000000"/>
                <w:sz w:val="16"/>
                <w:u w:val="none"/>
              </w:rPr>
              <w:t>Risk</w:t>
            </w:r>
          </w:p>
          <w:p>
            <w:pPr>
              <w:pageBreakBefore w:val="0"/>
              <w:numPr>
                <w:ilvl w:val="0"/>
                <w:numId w:val="0"/>
              </w:numPr>
              <w:spacing w:before="0" w:after="0" w:line="288" w:lineRule="auto"/>
              <w:ind w:left="-43" w:right="0" w:firstLine="0"/>
              <w:jc w:val="left"/>
              <w:outlineLvl w:val="9"/>
              <w:rPr>
                <w:rFonts w:ascii="Arial" w:eastAsia="Arial" w:hAnsi="Arial" w:cs="Arial"/>
                <w:b/>
                <w:i w:val="0"/>
                <w:sz w:val="16"/>
              </w:rPr>
            </w:pPr>
            <w:r>
              <w:rPr>
                <w:rFonts w:ascii="Arial" w:eastAsia="Arial" w:hAnsi="Arial" w:cs="Arial"/>
                <w:b/>
                <w:i w:val="0"/>
                <w:sz w:val="16"/>
              </w:rPr>
              <w:t>Residency and Citizenship:</w:t>
            </w:r>
          </w:p>
          <w:p>
            <w:pPr>
              <w:pageBreakBefore w:val="0"/>
              <w:numPr>
                <w:ilvl w:val="0"/>
                <w:numId w:val="0"/>
              </w:numPr>
              <w:spacing w:before="0" w:after="30" w:line="288" w:lineRule="auto"/>
              <w:ind w:left="-43"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US resident  |  US citizen</w:t>
            </w: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6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6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31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0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315"/>
          <w:jc w:val="left"/>
        </w:trPr>
        <w:tc>
          <w:tcPr>
            <w:tcW w:w="2205" w:type="dxa"/>
            <w:vMerge/>
            <w:tcBorders>
              <w:top w:val="nil"/>
              <w:left w:val="nil"/>
              <w:bottom w:val="nil"/>
              <w:right w:val="nil"/>
            </w:tcBorders>
          </w:tcPr>
          <w:p>
            <w:pPr>
              <w:pageBreakBefore w:val="0"/>
            </w:pPr>
          </w:p>
        </w:tc>
        <w:tc>
          <w:tcPr>
            <w:tcW w:w="8055" w:type="dxa"/>
            <w:tcBorders>
              <w:top w:val="nil"/>
              <w:left w:val="single" w:sz="12" w:space="0" w:color="4494D1"/>
              <w:bottom w:val="nil"/>
              <w:right w:val="nil"/>
            </w:tcBorders>
            <w:tcMar>
              <w:top w:w="0" w:type="dxa"/>
              <w:left w:w="0" w:type="dxa"/>
              <w:bottom w:w="0" w:type="dxa"/>
              <w:right w:w="0" w:type="dxa"/>
            </w:tcMar>
            <w:vAlign w:val="bottom"/>
          </w:tcPr>
          <w:p>
            <w:pPr>
              <w:pageBreakBefore w:val="0"/>
              <w:spacing w:before="0" w:after="0"/>
            </w:pPr>
          </w:p>
        </w:tc>
      </w:tr>
    </w:tbl>
    <w:p>
      <w:pPr>
        <w:keepNext/>
        <w:keepLines w:val="0"/>
        <w:pageBreakBefore w:val="0"/>
        <w:widowControl/>
        <w:numPr>
          <w:ilvl w:val="0"/>
          <w:numId w:val="0"/>
        </w:numPr>
        <w:spacing w:before="120" w:after="120" w:line="288" w:lineRule="auto"/>
        <w:ind w:left="0" w:right="0" w:firstLine="0"/>
        <w:jc w:val="left"/>
        <w:outlineLvl w:val="9"/>
        <w:rPr>
          <w:rFonts w:ascii="Times New Roman" w:eastAsia="Times New Roman" w:hAnsi="Times New Roman" w:cs="Times New Roman"/>
          <w:b w:val="0"/>
          <w:i w:val="0"/>
          <w:color w:val="FF0090"/>
          <w:sz w:val="20"/>
          <w:u w:val="none"/>
        </w:rPr>
      </w:pP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205"/>
        <w:gridCol w:w="805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65"/>
          <w:jc w:val="left"/>
        </w:trPr>
        <w:tc>
          <w:tcPr>
            <w:tcW w:w="22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05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200"/>
          <w:jc w:val="left"/>
        </w:trPr>
        <w:tc>
          <w:tcPr>
            <w:tcW w:w="2205" w:type="dxa"/>
            <w:vMerge w:val="restart"/>
            <w:tcBorders>
              <w:top w:val="nil"/>
              <w:left w:val="nil"/>
              <w:bottom w:val="nil"/>
              <w:right w:val="single" w:sz="12" w:space="0" w:color="4494D1"/>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hanging="90"/>
              <w:jc w:val="center"/>
              <w:outlineLvl w:val="9"/>
              <w:rPr>
                <w:rFonts w:ascii="Arial" w:eastAsia="Arial" w:hAnsi="Arial" w:cs="Arial"/>
                <w:b w:val="0"/>
                <w:i w:val="0"/>
                <w:sz w:val="16"/>
              </w:rPr>
            </w:pPr>
            <w:r>
              <w:pict>
                <v:shape id="_x0000_i1172" type="#_x0000_t75" style="width:108.8pt;height:127.5pt">
                  <v:imagedata r:id="rId54" o:title=""/>
                  <o:lock v:ext="edit" aspectratio="t"/>
                </v:shape>
              </w:pict>
            </w:r>
          </w:p>
        </w:tc>
        <w:tc>
          <w:tcPr>
            <w:tcW w:w="805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40" w:line="288" w:lineRule="auto"/>
              <w:ind w:left="180" w:right="0" w:firstLine="0"/>
              <w:jc w:val="left"/>
              <w:outlineLvl w:val="9"/>
              <w:rPr>
                <w:rFonts w:ascii="Arial" w:eastAsia="Arial" w:hAnsi="Arial" w:cs="Arial"/>
                <w:b/>
                <w:i w:val="0"/>
                <w:color w:val="4495D1"/>
                <w:sz w:val="28"/>
                <w:u w:val="none"/>
              </w:rPr>
            </w:pPr>
            <w:r>
              <w:rPr>
                <w:rFonts w:ascii="Arial" w:eastAsia="Arial" w:hAnsi="Arial" w:cs="Arial"/>
                <w:b/>
                <w:i w:val="0"/>
                <w:color w:val="002060"/>
                <w:sz w:val="28"/>
                <w:u w:val="none"/>
              </w:rPr>
              <w:t>Paul J. O’Shea</w:t>
            </w:r>
            <w:r>
              <w:rPr>
                <w:rFonts w:ascii="Arial" w:eastAsia="Arial" w:hAnsi="Arial" w:cs="Arial"/>
                <w:b/>
                <w:i w:val="0"/>
                <w:sz w:val="28"/>
              </w:rPr>
              <w:t xml:space="preserve">    </w:t>
            </w:r>
            <w:r>
              <w:rPr>
                <w:rFonts w:ascii="Arial" w:eastAsia="Arial" w:hAnsi="Arial" w:cs="Arial"/>
                <w:b w:val="0"/>
                <w:i w:val="0"/>
                <w:sz w:val="18"/>
              </w:rPr>
              <w:t>Non-Employee</w:t>
            </w:r>
          </w:p>
          <w:p>
            <w:pPr>
              <w:pageBreakBefore w:val="0"/>
              <w:numPr>
                <w:ilvl w:val="0"/>
                <w:numId w:val="0"/>
              </w:numPr>
              <w:spacing w:before="40" w:after="40" w:line="288" w:lineRule="auto"/>
              <w:ind w:left="180" w:right="0" w:firstLine="0"/>
              <w:jc w:val="left"/>
              <w:outlineLvl w:val="9"/>
              <w:rPr>
                <w:rFonts w:ascii="Arial" w:eastAsia="Arial" w:hAnsi="Arial" w:cs="Arial"/>
                <w:b/>
                <w:i w:val="0"/>
                <w:color w:val="4495D1"/>
                <w:sz w:val="18"/>
                <w:u w:val="none"/>
              </w:rPr>
            </w:pPr>
          </w:p>
          <w:p>
            <w:pPr>
              <w:pageBreakBefore w:val="0"/>
              <w:numPr>
                <w:ilvl w:val="0"/>
                <w:numId w:val="0"/>
              </w:numPr>
              <w:spacing w:before="4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Biographical Information</w:t>
            </w:r>
          </w:p>
          <w:p>
            <w:pPr>
              <w:pageBreakBefore w:val="0"/>
              <w:numPr>
                <w:ilvl w:val="0"/>
                <w:numId w:val="0"/>
              </w:numPr>
              <w:spacing w:before="0" w:after="0" w:line="288" w:lineRule="auto"/>
              <w:ind w:left="180" w:right="0" w:firstLine="0"/>
              <w:jc w:val="both"/>
              <w:outlineLvl w:val="9"/>
              <w:rPr>
                <w:rFonts w:ascii="Arial" w:eastAsia="Arial" w:hAnsi="Arial" w:cs="Arial"/>
                <w:b w:val="0"/>
                <w:i w:val="0"/>
                <w:sz w:val="18"/>
              </w:rPr>
            </w:pPr>
            <w:r>
              <w:rPr>
                <w:rFonts w:ascii="Arial" w:eastAsia="Arial" w:hAnsi="Arial" w:cs="Arial"/>
                <w:b w:val="0"/>
                <w:i w:val="0"/>
                <w:color w:val="000000"/>
                <w:sz w:val="18"/>
                <w:u w:val="none"/>
              </w:rPr>
              <w:t>Paul J. O’Shea</w:t>
            </w:r>
            <w:r>
              <w:rPr>
                <w:rFonts w:ascii="Arial" w:eastAsia="Arial" w:hAnsi="Arial" w:cs="Arial"/>
                <w:b w:val="0"/>
                <w:i w:val="0"/>
                <w:sz w:val="18"/>
              </w:rPr>
              <w:t xml:space="preserve"> retired as President of the Company in March 2023</w:t>
            </w:r>
            <w:r>
              <w:rPr>
                <w:rFonts w:ascii="Arial" w:eastAsia="Arial" w:hAnsi="Arial" w:cs="Arial"/>
                <w:b w:val="0"/>
                <w:i w:val="0"/>
                <w:sz w:val="18"/>
              </w:rPr>
              <w:t>, a position</w:t>
            </w:r>
            <w:r>
              <w:rPr>
                <w:rFonts w:ascii="Arial" w:eastAsia="Arial" w:hAnsi="Arial" w:cs="Arial"/>
                <w:b w:val="0"/>
                <w:i w:val="0"/>
                <w:sz w:val="18"/>
              </w:rPr>
              <w:t xml:space="preserve"> he held </w:t>
            </w:r>
            <w:r>
              <w:rPr>
                <w:rFonts w:ascii="Arial" w:eastAsia="Arial" w:hAnsi="Arial" w:cs="Arial"/>
                <w:b w:val="0"/>
                <w:i w:val="0"/>
                <w:sz w:val="18"/>
              </w:rPr>
              <w:t>s</w:t>
            </w:r>
            <w:r>
              <w:rPr>
                <w:rFonts w:ascii="Arial" w:eastAsia="Arial" w:hAnsi="Arial" w:cs="Arial"/>
                <w:b w:val="0"/>
                <w:i w:val="0"/>
                <w:sz w:val="18"/>
              </w:rPr>
              <w:t xml:space="preserve">ince </w:t>
            </w:r>
            <w:r>
              <w:rPr>
                <w:rFonts w:ascii="Arial" w:eastAsia="Arial" w:hAnsi="Arial" w:cs="Arial"/>
                <w:b w:val="0"/>
                <w:i w:val="0"/>
                <w:sz w:val="18"/>
              </w:rPr>
              <w:t>December 2016. He previously served as Executive Vice President and Joint Chief Operating Officer of the Company since our formation in 2001 and has also been a director throughout this time. He has led our mergers and acquisitions operations, including overseeing our transaction sourcing, due diligence, and negotiations processes. In 1994, Mr. O’Shea joined Dominic Silvester in his run-off business venture in Bermuda, and he served as a director and Executive Vice President of Enstar Limited, which is now a subsidiary of the Company, from 1995 until 2001. Prior to co-founding the Company, he served as the Executive Vice President, Chief Operating Officer and a director of Belvedere Group/Caliban Group from 1985 until 1994.</w:t>
            </w:r>
          </w:p>
          <w:p>
            <w:pPr>
              <w:pageBreakBefore w:val="0"/>
              <w:numPr>
                <w:ilvl w:val="0"/>
                <w:numId w:val="0"/>
              </w:numPr>
              <w:spacing w:before="100" w:after="40" w:line="288" w:lineRule="auto"/>
              <w:ind w:left="180" w:right="0" w:firstLine="0"/>
              <w:jc w:val="both"/>
              <w:outlineLvl w:val="9"/>
              <w:rPr>
                <w:rFonts w:ascii="Arial" w:eastAsia="Arial" w:hAnsi="Arial" w:cs="Arial"/>
                <w:b/>
                <w:i w:val="0"/>
                <w:color w:val="4495D1"/>
                <w:sz w:val="18"/>
                <w:u w:val="none"/>
              </w:rPr>
            </w:pPr>
            <w:r>
              <w:rPr>
                <w:rFonts w:ascii="Arial" w:eastAsia="Arial" w:hAnsi="Arial" w:cs="Arial"/>
                <w:b/>
                <w:i w:val="0"/>
                <w:color w:val="4495D1"/>
                <w:sz w:val="18"/>
                <w:u w:val="none"/>
              </w:rPr>
              <w:t>Certain Other Directorships</w:t>
            </w:r>
          </w:p>
          <w:p>
            <w:pPr>
              <w:pageBreakBefore w:val="0"/>
              <w:numPr>
                <w:ilvl w:val="0"/>
                <w:numId w:val="0"/>
              </w:numPr>
              <w:spacing w:before="40" w:after="40" w:line="288" w:lineRule="auto"/>
              <w:ind w:left="180" w:right="0" w:firstLine="0"/>
              <w:jc w:val="both"/>
              <w:outlineLvl w:val="9"/>
              <w:rPr>
                <w:rFonts w:ascii="Arial" w:eastAsia="Arial" w:hAnsi="Arial" w:cs="Arial"/>
                <w:b w:val="0"/>
                <w:i w:val="0"/>
                <w:sz w:val="18"/>
              </w:rPr>
            </w:pPr>
            <w:r>
              <w:rPr>
                <w:rFonts w:ascii="Arial" w:eastAsia="Arial" w:hAnsi="Arial" w:cs="Arial"/>
                <w:b w:val="0"/>
                <w:i w:val="0"/>
                <w:sz w:val="18"/>
              </w:rPr>
              <w:t xml:space="preserve">Mr. O'Shea serves as the Company's director representative on the board of directors of Core Specialty Holdings, a privately held property casualty insurer. </w:t>
            </w:r>
          </w:p>
          <w:p>
            <w:pPr>
              <w:pageBreakBefore w:val="0"/>
              <w:numPr>
                <w:ilvl w:val="0"/>
                <w:numId w:val="0"/>
              </w:numPr>
              <w:spacing w:before="10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Skills and Qualifications</w:t>
            </w:r>
          </w:p>
          <w:p>
            <w:pPr>
              <w:pageBreakBefore w:val="0"/>
              <w:numPr>
                <w:ilvl w:val="0"/>
                <w:numId w:val="0"/>
              </w:numPr>
              <w:spacing w:before="40" w:after="40" w:line="288" w:lineRule="auto"/>
              <w:ind w:left="180" w:right="0" w:firstLine="0"/>
              <w:jc w:val="left"/>
              <w:outlineLvl w:val="9"/>
              <w:rPr>
                <w:rFonts w:ascii="Arial" w:eastAsia="Arial" w:hAnsi="Arial" w:cs="Arial"/>
                <w:b w:val="0"/>
                <w:i/>
                <w:sz w:val="18"/>
              </w:rPr>
            </w:pPr>
            <w:r>
              <w:rPr>
                <w:rFonts w:ascii="Arial" w:eastAsia="Arial" w:hAnsi="Arial" w:cs="Arial"/>
                <w:b w:val="0"/>
                <w:i/>
                <w:sz w:val="18"/>
              </w:rPr>
              <w:t>Company leader; long track record of successful acquisitions; industry expertise</w:t>
            </w:r>
          </w:p>
          <w:p>
            <w:pPr>
              <w:pageBreakBefore w:val="0"/>
              <w:numPr>
                <w:ilvl w:val="0"/>
                <w:numId w:val="0"/>
              </w:numPr>
              <w:spacing w:before="0" w:after="30" w:line="288" w:lineRule="auto"/>
              <w:ind w:left="180" w:right="0" w:firstLine="0"/>
              <w:jc w:val="both"/>
              <w:outlineLvl w:val="9"/>
              <w:rPr>
                <w:rFonts w:ascii="Arial" w:eastAsia="Arial" w:hAnsi="Arial" w:cs="Arial"/>
                <w:b w:val="0"/>
                <w:i w:val="0"/>
                <w:sz w:val="18"/>
              </w:rPr>
            </w:pPr>
            <w:r>
              <w:rPr>
                <w:rFonts w:ascii="Arial" w:eastAsia="Arial" w:hAnsi="Arial" w:cs="Arial"/>
                <w:b w:val="0"/>
                <w:i w:val="0"/>
                <w:sz w:val="18"/>
              </w:rPr>
              <w:t xml:space="preserve">Mr. O’Shea is a qualified chartered accountant who has spent more than 30 years in the insurance and reinsurance industry, including many years in senior management roles. As a co-founder of the Company, Mr. O’Shea has intimate knowledge and expertise regarding the Company and our industry. </w:t>
            </w:r>
            <w:r>
              <w:rPr>
                <w:rFonts w:ascii="Arial" w:eastAsia="Arial" w:hAnsi="Arial" w:cs="Arial"/>
                <w:b w:val="0"/>
                <w:i w:val="0"/>
                <w:sz w:val="18"/>
              </w:rPr>
              <w:t xml:space="preserve">As an </w:t>
            </w:r>
            <w:r>
              <w:rPr>
                <w:rFonts w:ascii="Arial" w:eastAsia="Arial" w:hAnsi="Arial" w:cs="Arial"/>
                <w:b w:val="0"/>
                <w:i w:val="0"/>
                <w:sz w:val="18"/>
              </w:rPr>
              <w:t>executive</w:t>
            </w:r>
            <w:r>
              <w:rPr>
                <w:rFonts w:ascii="Arial" w:eastAsia="Arial" w:hAnsi="Arial" w:cs="Arial"/>
                <w:b w:val="0"/>
                <w:i w:val="0"/>
                <w:sz w:val="18"/>
              </w:rPr>
              <w:t xml:space="preserve">, </w:t>
            </w:r>
            <w:r>
              <w:rPr>
                <w:rFonts w:ascii="Arial" w:eastAsia="Arial" w:hAnsi="Arial" w:cs="Arial"/>
                <w:b w:val="0"/>
                <w:i w:val="0"/>
                <w:sz w:val="18"/>
              </w:rPr>
              <w:t>h</w:t>
            </w:r>
            <w:r>
              <w:rPr>
                <w:rFonts w:ascii="Arial" w:eastAsia="Arial" w:hAnsi="Arial" w:cs="Arial"/>
                <w:b w:val="0"/>
                <w:i w:val="0"/>
                <w:sz w:val="18"/>
              </w:rPr>
              <w:t xml:space="preserve">e was </w:t>
            </w:r>
            <w:r>
              <w:rPr>
                <w:rFonts w:ascii="Arial" w:eastAsia="Arial" w:hAnsi="Arial" w:cs="Arial"/>
                <w:b w:val="0"/>
                <w:i w:val="0"/>
                <w:sz w:val="18"/>
              </w:rPr>
              <w:t xml:space="preserve">instrumental in sourcing, negotiating and completing numerous significant transactions </w:t>
            </w:r>
            <w:r>
              <w:rPr>
                <w:rFonts w:ascii="Arial" w:eastAsia="Arial" w:hAnsi="Arial" w:cs="Arial"/>
                <w:b w:val="0"/>
                <w:i w:val="0"/>
                <w:sz w:val="18"/>
              </w:rPr>
              <w:t>since our formation.</w:t>
            </w:r>
          </w:p>
        </w:tc>
      </w:tr>
      <w:tr>
        <w:tblPrEx>
          <w:tblW w:w="10260" w:type="dxa"/>
          <w:jc w:val="left"/>
          <w:tblInd w:w="0" w:type="dxa"/>
          <w:tblLayout w:type="fixed"/>
          <w:tblCellMar>
            <w:left w:w="108" w:type="dxa"/>
            <w:right w:w="108" w:type="dxa"/>
          </w:tblCellMar>
        </w:tblPrEx>
        <w:trPr>
          <w:cantSplit/>
          <w:trHeight w:hRule="exact" w:val="124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105"/>
          <w:jc w:val="left"/>
        </w:trPr>
        <w:tc>
          <w:tcPr>
            <w:tcW w:w="2205" w:type="dxa"/>
            <w:tcBorders>
              <w:top w:val="nil"/>
              <w:left w:val="nil"/>
              <w:bottom w:val="nil"/>
              <w:right w:val="single" w:sz="12" w:space="0" w:color="4494D1"/>
            </w:tcBorders>
            <w:tcMar>
              <w:top w:w="0" w:type="dxa"/>
              <w:left w:w="0" w:type="dxa"/>
              <w:bottom w:w="0" w:type="dxa"/>
              <w:right w:w="0" w:type="dxa"/>
            </w:tcMar>
            <w:vAlign w:val="bottom"/>
          </w:tcPr>
          <w:p>
            <w:pPr>
              <w:keepNext/>
              <w:pageBreakBefore w:val="0"/>
              <w:spacing w:before="0" w:after="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05"/>
          <w:jc w:val="left"/>
        </w:trPr>
        <w:tc>
          <w:tcPr>
            <w:tcW w:w="2205" w:type="dxa"/>
            <w:vMerge w:val="restart"/>
            <w:tcBorders>
              <w:top w:val="nil"/>
              <w:left w:val="nil"/>
              <w:bottom w:val="nil"/>
              <w:right w:val="single" w:sz="12" w:space="0" w:color="4494D1"/>
            </w:tcBorders>
            <w:tcMar>
              <w:top w:w="0" w:type="dxa"/>
              <w:left w:w="53" w:type="dxa"/>
              <w:bottom w:w="0" w:type="dxa"/>
              <w:right w:w="53" w:type="dxa"/>
            </w:tcMar>
            <w:vAlign w:val="top"/>
          </w:tcPr>
          <w:p>
            <w:pPr>
              <w:keepNext/>
              <w:pageBreakBefore w:val="0"/>
              <w:numPr>
                <w:ilvl w:val="0"/>
                <w:numId w:val="0"/>
              </w:numPr>
              <w:spacing w:before="53" w:after="100" w:line="288" w:lineRule="auto"/>
              <w:ind w:left="-43" w:right="72" w:firstLine="0"/>
              <w:jc w:val="left"/>
              <w:outlineLvl w:val="9"/>
              <w:rPr>
                <w:rFonts w:ascii="Arial" w:eastAsia="Arial" w:hAnsi="Arial" w:cs="Arial"/>
                <w:b/>
                <w:i w:val="0"/>
                <w:sz w:val="16"/>
              </w:rPr>
            </w:pPr>
            <w:r>
              <w:rPr>
                <w:rFonts w:ascii="Arial" w:eastAsia="Arial" w:hAnsi="Arial" w:cs="Arial"/>
                <w:b/>
                <w:i w:val="0"/>
                <w:sz w:val="16"/>
              </w:rPr>
              <w:t xml:space="preserve">Director Since: </w:t>
            </w:r>
            <w:r>
              <w:rPr>
                <w:rFonts w:ascii="Arial" w:eastAsia="Arial" w:hAnsi="Arial" w:cs="Arial"/>
                <w:b w:val="0"/>
                <w:i w:val="0"/>
                <w:color w:val="000000"/>
                <w:sz w:val="16"/>
                <w:u w:val="none"/>
              </w:rPr>
              <w:t>2001</w:t>
            </w:r>
          </w:p>
          <w:p>
            <w:pPr>
              <w:pageBreakBefore w:val="0"/>
              <w:numPr>
                <w:ilvl w:val="0"/>
                <w:numId w:val="0"/>
              </w:numPr>
              <w:spacing w:before="100" w:after="100" w:line="288" w:lineRule="auto"/>
              <w:ind w:left="-43" w:right="72" w:firstLine="0"/>
              <w:jc w:val="left"/>
              <w:outlineLvl w:val="9"/>
              <w:rPr>
                <w:rFonts w:ascii="Arial" w:eastAsia="Arial" w:hAnsi="Arial" w:cs="Arial"/>
                <w:b/>
                <w:i w:val="0"/>
                <w:sz w:val="16"/>
              </w:rPr>
            </w:pPr>
            <w:r>
              <w:rPr>
                <w:rFonts w:ascii="Arial" w:eastAsia="Arial" w:hAnsi="Arial" w:cs="Arial"/>
                <w:b/>
                <w:i w:val="0"/>
                <w:sz w:val="16"/>
              </w:rPr>
              <w:t xml:space="preserve">Age: </w:t>
            </w:r>
            <w:r>
              <w:rPr>
                <w:rFonts w:ascii="Arial" w:eastAsia="Arial" w:hAnsi="Arial" w:cs="Arial"/>
                <w:b w:val="0"/>
                <w:i w:val="0"/>
                <w:color w:val="000000"/>
                <w:sz w:val="16"/>
                <w:u w:val="none"/>
              </w:rPr>
              <w:t>66</w:t>
            </w:r>
          </w:p>
          <w:p>
            <w:pPr>
              <w:pageBreakBefore w:val="0"/>
              <w:numPr>
                <w:ilvl w:val="0"/>
                <w:numId w:val="0"/>
              </w:numPr>
              <w:spacing w:before="100" w:after="100" w:line="288" w:lineRule="auto"/>
              <w:ind w:left="-43" w:right="72" w:firstLine="0"/>
              <w:jc w:val="left"/>
              <w:outlineLvl w:val="9"/>
              <w:rPr>
                <w:rFonts w:ascii="Arial" w:eastAsia="Arial" w:hAnsi="Arial" w:cs="Arial"/>
                <w:b/>
                <w:i w:val="0"/>
                <w:sz w:val="16"/>
              </w:rPr>
            </w:pPr>
            <w:r>
              <w:rPr>
                <w:rFonts w:ascii="Arial" w:eastAsia="Arial" w:hAnsi="Arial" w:cs="Arial"/>
                <w:b/>
                <w:i w:val="0"/>
                <w:sz w:val="16"/>
              </w:rPr>
              <w:t xml:space="preserve">Enstar Committees: </w:t>
            </w:r>
            <w:r>
              <w:rPr>
                <w:rFonts w:ascii="Arial" w:eastAsia="Arial" w:hAnsi="Arial" w:cs="Arial"/>
                <w:b w:val="0"/>
                <w:i w:val="0"/>
                <w:color w:val="000000"/>
                <w:sz w:val="16"/>
                <w:u w:val="none"/>
              </w:rPr>
              <w:t>Executive</w:t>
            </w:r>
          </w:p>
          <w:p>
            <w:pPr>
              <w:pageBreakBefore w:val="0"/>
              <w:numPr>
                <w:ilvl w:val="0"/>
                <w:numId w:val="0"/>
              </w:numPr>
              <w:spacing w:before="0" w:after="0" w:line="288" w:lineRule="auto"/>
              <w:ind w:left="-43" w:right="0" w:firstLine="0"/>
              <w:jc w:val="left"/>
              <w:outlineLvl w:val="9"/>
              <w:rPr>
                <w:rFonts w:ascii="Arial" w:eastAsia="Arial" w:hAnsi="Arial" w:cs="Arial"/>
                <w:b/>
                <w:i w:val="0"/>
                <w:sz w:val="16"/>
              </w:rPr>
            </w:pPr>
            <w:r>
              <w:rPr>
                <w:rFonts w:ascii="Arial" w:eastAsia="Arial" w:hAnsi="Arial" w:cs="Arial"/>
                <w:b/>
                <w:i w:val="0"/>
                <w:sz w:val="16"/>
              </w:rPr>
              <w:t>Residency and Citizenship:</w:t>
            </w:r>
          </w:p>
          <w:p>
            <w:pPr>
              <w:pageBreakBefore w:val="0"/>
              <w:numPr>
                <w:ilvl w:val="0"/>
                <w:numId w:val="0"/>
              </w:numPr>
              <w:spacing w:before="0" w:after="30" w:line="288" w:lineRule="auto"/>
              <w:ind w:left="-43"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Bermuda resident  |  Bermuda and Irish citizen</w:t>
            </w: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20"/>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0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31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28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1155"/>
          <w:jc w:val="left"/>
        </w:trPr>
        <w:tc>
          <w:tcPr>
            <w:tcW w:w="2205" w:type="dxa"/>
            <w:vMerge/>
            <w:tcBorders>
              <w:top w:val="nil"/>
              <w:left w:val="nil"/>
              <w:bottom w:val="nil"/>
              <w:right w:val="single" w:sz="12" w:space="0" w:color="4494D1"/>
            </w:tcBorders>
          </w:tcPr>
          <w:p>
            <w:pPr>
              <w:pageBreakBefore w:val="0"/>
            </w:pPr>
          </w:p>
        </w:tc>
        <w:tc>
          <w:tcPr>
            <w:tcW w:w="8055" w:type="dxa"/>
            <w:vMerge/>
            <w:tcBorders>
              <w:top w:val="nil"/>
              <w:left w:val="nil"/>
              <w:bottom w:val="nil"/>
              <w:right w:val="nil"/>
            </w:tcBorders>
          </w:tcPr>
          <w:p>
            <w:pPr>
              <w:pageBreakBefore w:val="0"/>
            </w:pPr>
          </w:p>
        </w:tc>
      </w:tr>
    </w:tbl>
    <w:p>
      <w:pPr>
        <w:keepNext/>
        <w:keepLines w:val="0"/>
        <w:pageBreakBefore w:val="0"/>
        <w:widowControl/>
        <w:numPr>
          <w:ilvl w:val="0"/>
          <w:numId w:val="0"/>
        </w:numPr>
        <w:spacing w:before="120" w:after="120" w:line="288" w:lineRule="auto"/>
        <w:ind w:left="0" w:right="0" w:firstLine="0"/>
        <w:jc w:val="left"/>
        <w:outlineLvl w:val="9"/>
        <w:rPr>
          <w:rFonts w:ascii="Times New Roman" w:eastAsia="Times New Roman" w:hAnsi="Times New Roman" w:cs="Times New Roman"/>
          <w:b w:val="0"/>
          <w:i w:val="0"/>
          <w:color w:val="FF0090"/>
          <w:sz w:val="20"/>
          <w:u w:val="none"/>
        </w:rPr>
      </w:pP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205"/>
        <w:gridCol w:w="805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65"/>
          <w:jc w:val="left"/>
        </w:trPr>
        <w:tc>
          <w:tcPr>
            <w:tcW w:w="22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05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200"/>
          <w:jc w:val="left"/>
        </w:trPr>
        <w:tc>
          <w:tcPr>
            <w:tcW w:w="2205" w:type="dxa"/>
            <w:vMerge w:val="restart"/>
            <w:tcBorders>
              <w:top w:val="nil"/>
              <w:left w:val="nil"/>
              <w:bottom w:val="nil"/>
              <w:right w:val="single" w:sz="12" w:space="0" w:color="4494D1"/>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hanging="90"/>
              <w:jc w:val="center"/>
              <w:outlineLvl w:val="9"/>
              <w:rPr>
                <w:rFonts w:ascii="Arial" w:eastAsia="Arial" w:hAnsi="Arial" w:cs="Arial"/>
                <w:b w:val="0"/>
                <w:i w:val="0"/>
                <w:sz w:val="16"/>
              </w:rPr>
            </w:pPr>
            <w:r>
              <w:pict>
                <v:shape id="_x0000_i1173" type="#_x0000_t75" style="width:107.4pt;height:134.25pt">
                  <v:imagedata r:id="rId55" o:title=""/>
                  <o:lock v:ext="edit" aspectratio="t"/>
                </v:shape>
              </w:pict>
            </w:r>
          </w:p>
        </w:tc>
        <w:tc>
          <w:tcPr>
            <w:tcW w:w="805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40" w:line="288" w:lineRule="auto"/>
              <w:ind w:left="180" w:right="0" w:firstLine="0"/>
              <w:jc w:val="left"/>
              <w:outlineLvl w:val="9"/>
              <w:rPr>
                <w:rFonts w:ascii="Arial" w:eastAsia="Arial" w:hAnsi="Arial" w:cs="Arial"/>
                <w:b/>
                <w:i w:val="0"/>
                <w:color w:val="4495D1"/>
                <w:sz w:val="28"/>
                <w:u w:val="none"/>
              </w:rPr>
            </w:pPr>
            <w:r>
              <w:rPr>
                <w:rFonts w:ascii="Arial" w:eastAsia="Arial" w:hAnsi="Arial" w:cs="Arial"/>
                <w:b/>
                <w:i w:val="0"/>
                <w:color w:val="002060"/>
                <w:sz w:val="28"/>
                <w:u w:val="none"/>
              </w:rPr>
              <w:t>Hitesh Patel</w:t>
            </w:r>
            <w:r>
              <w:rPr>
                <w:rFonts w:ascii="Arial" w:eastAsia="Arial" w:hAnsi="Arial" w:cs="Arial"/>
                <w:b/>
                <w:i w:val="0"/>
                <w:sz w:val="28"/>
              </w:rPr>
              <w:t xml:space="preserve">    </w:t>
            </w:r>
            <w:r>
              <w:rPr>
                <w:rFonts w:ascii="Arial" w:eastAsia="Arial" w:hAnsi="Arial" w:cs="Arial"/>
                <w:b w:val="0"/>
                <w:i w:val="0"/>
                <w:sz w:val="18"/>
              </w:rPr>
              <w:t>Independent</w:t>
            </w:r>
          </w:p>
          <w:p>
            <w:pPr>
              <w:pageBreakBefore w:val="0"/>
              <w:numPr>
                <w:ilvl w:val="0"/>
                <w:numId w:val="0"/>
              </w:numPr>
              <w:spacing w:before="40" w:after="40" w:line="288" w:lineRule="auto"/>
              <w:ind w:left="180" w:right="0" w:firstLine="0"/>
              <w:jc w:val="left"/>
              <w:outlineLvl w:val="9"/>
              <w:rPr>
                <w:rFonts w:ascii="Arial" w:eastAsia="Arial" w:hAnsi="Arial" w:cs="Arial"/>
                <w:b/>
                <w:i w:val="0"/>
                <w:color w:val="4495D1"/>
                <w:sz w:val="18"/>
                <w:u w:val="none"/>
              </w:rPr>
            </w:pPr>
          </w:p>
          <w:p>
            <w:pPr>
              <w:pageBreakBefore w:val="0"/>
              <w:numPr>
                <w:ilvl w:val="0"/>
                <w:numId w:val="0"/>
              </w:numPr>
              <w:spacing w:before="4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Biographical Information</w:t>
            </w:r>
          </w:p>
          <w:p>
            <w:pPr>
              <w:pageBreakBefore w:val="0"/>
              <w:numPr>
                <w:ilvl w:val="0"/>
                <w:numId w:val="0"/>
              </w:numPr>
              <w:spacing w:before="40" w:after="40" w:line="288" w:lineRule="auto"/>
              <w:ind w:left="180" w:right="0" w:firstLine="0"/>
              <w:jc w:val="both"/>
              <w:outlineLvl w:val="9"/>
              <w:rPr>
                <w:rFonts w:ascii="Arial" w:eastAsia="Arial" w:hAnsi="Arial" w:cs="Arial"/>
                <w:b w:val="0"/>
                <w:i w:val="0"/>
                <w:sz w:val="18"/>
              </w:rPr>
            </w:pPr>
            <w:r>
              <w:rPr>
                <w:rFonts w:ascii="Arial" w:eastAsia="Arial" w:hAnsi="Arial" w:cs="Arial"/>
                <w:b w:val="0"/>
                <w:i w:val="0"/>
                <w:color w:val="000000"/>
                <w:sz w:val="18"/>
                <w:u w:val="none"/>
              </w:rPr>
              <w:t>Hitesh Patel</w:t>
            </w:r>
            <w:r>
              <w:rPr>
                <w:rFonts w:ascii="Arial" w:eastAsia="Arial" w:hAnsi="Arial" w:cs="Arial"/>
                <w:b w:val="0"/>
                <w:i w:val="0"/>
                <w:sz w:val="18"/>
              </w:rPr>
              <w:t xml:space="preserve"> is an Independent Non-Executive director who serves on boards of a number of financial services companies</w:t>
            </w:r>
            <w:r>
              <w:rPr>
                <w:rFonts w:ascii="Arial" w:eastAsia="Arial" w:hAnsi="Arial" w:cs="Arial"/>
                <w:b w:val="0"/>
                <w:i w:val="0"/>
                <w:sz w:val="18"/>
              </w:rPr>
              <w:t xml:space="preserve"> </w:t>
            </w:r>
            <w:r>
              <w:rPr>
                <w:rFonts w:ascii="Arial" w:eastAsia="Arial" w:hAnsi="Arial" w:cs="Arial"/>
                <w:b w:val="0"/>
                <w:i w:val="0"/>
                <w:sz w:val="18"/>
              </w:rPr>
              <w:t>as detailed in "</w:t>
            </w:r>
            <w:r>
              <w:rPr>
                <w:rFonts w:ascii="Arial" w:eastAsia="Arial" w:hAnsi="Arial" w:cs="Arial"/>
                <w:b w:val="0"/>
                <w:i w:val="0"/>
                <w:sz w:val="18"/>
              </w:rPr>
              <w:t>C</w:t>
            </w:r>
            <w:r>
              <w:rPr>
                <w:rFonts w:ascii="Arial" w:eastAsia="Arial" w:hAnsi="Arial" w:cs="Arial"/>
                <w:b w:val="0"/>
                <w:i w:val="0"/>
                <w:sz w:val="18"/>
              </w:rPr>
              <w:t>ertain Other Directorships" below.</w:t>
            </w:r>
            <w:r>
              <w:rPr>
                <w:rFonts w:ascii="Arial" w:eastAsia="Arial" w:hAnsi="Arial" w:cs="Arial"/>
                <w:b w:val="0"/>
                <w:i w:val="0"/>
                <w:sz w:val="18"/>
              </w:rPr>
              <w:t xml:space="preserve"> </w:t>
            </w:r>
            <w:r>
              <w:rPr>
                <w:rFonts w:ascii="Arial" w:eastAsia="Arial" w:hAnsi="Arial" w:cs="Arial"/>
                <w:b w:val="0"/>
                <w:i w:val="0"/>
                <w:sz w:val="18"/>
              </w:rPr>
              <w:t xml:space="preserve">Mr. Patel has over 30 years of experience working in the insurance industry, having served in the United Kingdom as KPMG LLP's Lead Partner on Insurance Accounting and Regulatory Services from 2000 to 2007. </w:t>
            </w:r>
            <w:r>
              <w:rPr>
                <w:rFonts w:ascii="Arial" w:eastAsia="Arial" w:hAnsi="Arial" w:cs="Arial"/>
                <w:b w:val="0"/>
                <w:i w:val="0"/>
                <w:sz w:val="18"/>
              </w:rPr>
              <w:t>He served as Chief Executive Officer of Lucida, plc, a UK life insurance company</w:t>
            </w:r>
            <w:r>
              <w:rPr>
                <w:rFonts w:ascii="Arial" w:eastAsia="Arial" w:hAnsi="Arial" w:cs="Arial"/>
                <w:b w:val="0"/>
                <w:i w:val="0"/>
                <w:sz w:val="18"/>
              </w:rPr>
              <w:t>, and prior to that as its Finance Director and Chief Investment Officer</w:t>
            </w:r>
            <w:r>
              <w:rPr>
                <w:rFonts w:ascii="Arial" w:eastAsia="Arial" w:hAnsi="Arial" w:cs="Arial"/>
                <w:b w:val="0"/>
                <w:i w:val="0"/>
                <w:sz w:val="18"/>
              </w:rPr>
              <w:t xml:space="preserve">. </w:t>
            </w:r>
            <w:r>
              <w:rPr>
                <w:rFonts w:ascii="Arial" w:eastAsia="Arial" w:hAnsi="Arial" w:cs="Arial"/>
                <w:b w:val="0"/>
                <w:i w:val="0"/>
                <w:sz w:val="18"/>
              </w:rPr>
              <w:t>He originally joined KPMG in 1982 and trained as an auditor.</w:t>
            </w:r>
          </w:p>
          <w:p>
            <w:pPr>
              <w:pageBreakBefore w:val="0"/>
              <w:numPr>
                <w:ilvl w:val="0"/>
                <w:numId w:val="0"/>
              </w:numPr>
              <w:spacing w:before="10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Certain Other Directorships</w:t>
            </w:r>
          </w:p>
          <w:p>
            <w:pPr>
              <w:pageBreakBefore w:val="0"/>
              <w:numPr>
                <w:ilvl w:val="0"/>
                <w:numId w:val="0"/>
              </w:numPr>
              <w:spacing w:before="40" w:after="40" w:line="288" w:lineRule="auto"/>
              <w:ind w:left="180" w:right="0" w:firstLine="0"/>
              <w:jc w:val="both"/>
              <w:outlineLvl w:val="9"/>
              <w:rPr>
                <w:rFonts w:ascii="Arial" w:eastAsia="Arial" w:hAnsi="Arial" w:cs="Arial"/>
                <w:b w:val="0"/>
                <w:i w:val="0"/>
                <w:sz w:val="18"/>
              </w:rPr>
            </w:pPr>
            <w:r>
              <w:rPr>
                <w:rFonts w:ascii="Arial" w:eastAsia="Arial" w:hAnsi="Arial" w:cs="Arial"/>
                <w:b w:val="0"/>
                <w:i w:val="0"/>
                <w:sz w:val="18"/>
              </w:rPr>
              <w:t xml:space="preserve">Mr. Patel is the Independent Non-Executive Chairman </w:t>
            </w:r>
            <w:r>
              <w:rPr>
                <w:rFonts w:ascii="Arial" w:eastAsia="Arial" w:hAnsi="Arial" w:cs="Arial"/>
                <w:b w:val="0"/>
                <w:i w:val="0"/>
                <w:sz w:val="18"/>
              </w:rPr>
              <w:t>of Capital Home Loans Limited</w:t>
            </w:r>
            <w:r>
              <w:rPr>
                <w:rFonts w:ascii="Arial" w:eastAsia="Arial" w:hAnsi="Arial" w:cs="Arial"/>
                <w:b w:val="0"/>
                <w:i w:val="0"/>
                <w:sz w:val="18"/>
              </w:rPr>
              <w:t xml:space="preserve"> (appointed October 2015)</w:t>
            </w:r>
            <w:r>
              <w:rPr>
                <w:rFonts w:ascii="Arial" w:eastAsia="Arial" w:hAnsi="Arial" w:cs="Arial"/>
                <w:b w:val="0"/>
                <w:i w:val="0"/>
                <w:sz w:val="18"/>
              </w:rPr>
              <w:t>, a privately held buy-to-let mortgage provider</w:t>
            </w:r>
            <w:r>
              <w:rPr>
                <w:rFonts w:ascii="Arial" w:eastAsia="Arial" w:hAnsi="Arial" w:cs="Arial"/>
                <w:b w:val="0"/>
                <w:i w:val="0"/>
                <w:sz w:val="18"/>
              </w:rPr>
              <w:t>,</w:t>
            </w:r>
            <w:r>
              <w:rPr>
                <w:rFonts w:ascii="Arial" w:eastAsia="Arial" w:hAnsi="Arial" w:cs="Arial"/>
                <w:b w:val="0"/>
                <w:i w:val="0"/>
                <w:sz w:val="18"/>
              </w:rPr>
              <w:t xml:space="preserve"> and </w:t>
            </w:r>
            <w:r>
              <w:rPr>
                <w:rFonts w:ascii="Arial" w:eastAsia="Arial" w:hAnsi="Arial" w:cs="Arial"/>
                <w:b w:val="0"/>
                <w:i w:val="0"/>
                <w:sz w:val="18"/>
              </w:rPr>
              <w:t xml:space="preserve">of </w:t>
            </w:r>
            <w:r>
              <w:rPr>
                <w:rFonts w:ascii="Arial" w:eastAsia="Arial" w:hAnsi="Arial" w:cs="Arial"/>
                <w:b w:val="0"/>
                <w:i w:val="0"/>
                <w:sz w:val="18"/>
              </w:rPr>
              <w:t xml:space="preserve">Augusta Ventures Holdings Limited (appointed December 2020), </w:t>
            </w:r>
            <w:r>
              <w:rPr>
                <w:rFonts w:ascii="Arial" w:eastAsia="Arial" w:hAnsi="Arial" w:cs="Arial"/>
                <w:b w:val="0"/>
                <w:i w:val="0"/>
                <w:sz w:val="18"/>
              </w:rPr>
              <w:t xml:space="preserve">a privately held </w:t>
            </w:r>
            <w:r>
              <w:rPr>
                <w:rFonts w:ascii="Arial" w:eastAsia="Arial" w:hAnsi="Arial" w:cs="Arial"/>
                <w:b w:val="0"/>
                <w:i w:val="0"/>
                <w:sz w:val="18"/>
              </w:rPr>
              <w:t>litigation finance</w:t>
            </w:r>
            <w:r>
              <w:rPr>
                <w:rFonts w:ascii="Arial" w:eastAsia="Arial" w:hAnsi="Arial" w:cs="Arial"/>
                <w:b w:val="0"/>
                <w:i w:val="0"/>
                <w:sz w:val="18"/>
              </w:rPr>
              <w:t xml:space="preserve"> provider</w:t>
            </w:r>
            <w:r>
              <w:rPr>
                <w:rFonts w:ascii="Arial" w:eastAsia="Arial" w:hAnsi="Arial" w:cs="Arial"/>
                <w:b w:val="0"/>
                <w:i w:val="0"/>
                <w:sz w:val="18"/>
              </w:rPr>
              <w:t xml:space="preserve">. He is </w:t>
            </w:r>
            <w:r>
              <w:rPr>
                <w:rFonts w:ascii="Arial" w:eastAsia="Arial" w:hAnsi="Arial" w:cs="Arial"/>
                <w:b w:val="0"/>
                <w:i w:val="0"/>
                <w:sz w:val="18"/>
              </w:rPr>
              <w:t>also a non-executive director of Landmark Mortgages Limited</w:t>
            </w:r>
            <w:r>
              <w:rPr>
                <w:rFonts w:ascii="Arial" w:eastAsia="Arial" w:hAnsi="Arial" w:cs="Arial"/>
                <w:b w:val="0"/>
                <w:i w:val="0"/>
                <w:sz w:val="18"/>
              </w:rPr>
              <w:t xml:space="preserve"> (appointed May 2016)</w:t>
            </w:r>
            <w:r>
              <w:rPr>
                <w:rFonts w:ascii="Arial" w:eastAsia="Arial" w:hAnsi="Arial" w:cs="Arial"/>
                <w:b w:val="0"/>
                <w:i w:val="0"/>
                <w:sz w:val="18"/>
              </w:rPr>
              <w:t>, a privately held m</w:t>
            </w:r>
            <w:r>
              <w:rPr>
                <w:rFonts w:ascii="Arial" w:eastAsia="Arial" w:hAnsi="Arial" w:cs="Arial"/>
                <w:b w:val="0"/>
                <w:i w:val="0"/>
                <w:sz w:val="18"/>
              </w:rPr>
              <w:t xml:space="preserve">aster </w:t>
            </w:r>
            <w:r>
              <w:rPr>
                <w:rFonts w:ascii="Arial" w:eastAsia="Arial" w:hAnsi="Arial" w:cs="Arial"/>
                <w:b w:val="0"/>
                <w:i w:val="0"/>
                <w:sz w:val="18"/>
              </w:rPr>
              <w:t>service</w:t>
            </w:r>
            <w:r>
              <w:rPr>
                <w:rFonts w:ascii="Arial" w:eastAsia="Arial" w:hAnsi="Arial" w:cs="Arial"/>
                <w:b w:val="0"/>
                <w:i w:val="0"/>
                <w:sz w:val="18"/>
              </w:rPr>
              <w:t>r</w:t>
            </w:r>
            <w:r>
              <w:rPr>
                <w:rFonts w:ascii="Arial" w:eastAsia="Arial" w:hAnsi="Arial" w:cs="Arial"/>
                <w:b w:val="0"/>
                <w:i w:val="0"/>
                <w:sz w:val="18"/>
              </w:rPr>
              <w:t xml:space="preserve"> and legal title holder</w:t>
            </w:r>
            <w:r>
              <w:rPr>
                <w:rFonts w:ascii="Arial" w:eastAsia="Arial" w:hAnsi="Arial" w:cs="Arial"/>
                <w:b w:val="0"/>
                <w:i w:val="0"/>
                <w:sz w:val="18"/>
              </w:rPr>
              <w:t xml:space="preserve"> providing oversight of mortgage loans secur</w:t>
            </w:r>
            <w:r>
              <w:rPr>
                <w:rFonts w:ascii="Arial" w:eastAsia="Arial" w:hAnsi="Arial" w:cs="Arial"/>
                <w:b w:val="0"/>
                <w:i w:val="0"/>
                <w:sz w:val="18"/>
              </w:rPr>
              <w:t>ed</w:t>
            </w:r>
            <w:r>
              <w:rPr>
                <w:rFonts w:ascii="Arial" w:eastAsia="Arial" w:hAnsi="Arial" w:cs="Arial"/>
                <w:b w:val="0"/>
                <w:i w:val="0"/>
                <w:sz w:val="18"/>
              </w:rPr>
              <w:t xml:space="preserve"> on resi</w:t>
            </w:r>
            <w:r>
              <w:rPr>
                <w:rFonts w:ascii="Arial" w:eastAsia="Arial" w:hAnsi="Arial" w:cs="Arial"/>
                <w:b w:val="0"/>
                <w:i w:val="0"/>
                <w:sz w:val="18"/>
              </w:rPr>
              <w:t>dential properties and unsecured loan</w:t>
            </w:r>
            <w:r>
              <w:rPr>
                <w:rFonts w:ascii="Arial" w:eastAsia="Arial" w:hAnsi="Arial" w:cs="Arial"/>
                <w:b w:val="0"/>
                <w:i w:val="0"/>
                <w:sz w:val="18"/>
              </w:rPr>
              <w:t>s</w:t>
            </w:r>
            <w:r>
              <w:rPr>
                <w:rFonts w:ascii="Arial" w:eastAsia="Arial" w:hAnsi="Arial" w:cs="Arial"/>
                <w:b w:val="0"/>
                <w:i w:val="0"/>
                <w:sz w:val="18"/>
              </w:rPr>
              <w:t xml:space="preserve">. Until December 2019, Mr. Patel served as a non-executive director at Aviva Life Holdings UK Ltd and Aviva Insurance Limited (subsidiaries of Aviva plc) and as Chairman of its Audit Committee and member of the Risk and Investment Committees. </w:t>
            </w:r>
          </w:p>
          <w:p>
            <w:pPr>
              <w:pageBreakBefore w:val="0"/>
              <w:numPr>
                <w:ilvl w:val="0"/>
                <w:numId w:val="0"/>
              </w:numPr>
              <w:spacing w:before="10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Skills and Qualifications</w:t>
            </w:r>
          </w:p>
          <w:p>
            <w:pPr>
              <w:pageBreakBefore w:val="0"/>
              <w:numPr>
                <w:ilvl w:val="0"/>
                <w:numId w:val="0"/>
              </w:numPr>
              <w:spacing w:before="40" w:after="40" w:line="288" w:lineRule="auto"/>
              <w:ind w:left="180" w:right="0" w:firstLine="0"/>
              <w:jc w:val="both"/>
              <w:outlineLvl w:val="9"/>
              <w:rPr>
                <w:rFonts w:ascii="Arial" w:eastAsia="Arial" w:hAnsi="Arial" w:cs="Arial"/>
                <w:b w:val="0"/>
                <w:i/>
                <w:sz w:val="18"/>
              </w:rPr>
            </w:pPr>
            <w:r>
              <w:rPr>
                <w:rFonts w:ascii="Arial" w:eastAsia="Arial" w:hAnsi="Arial" w:cs="Arial"/>
                <w:b w:val="0"/>
                <w:i/>
                <w:sz w:val="18"/>
              </w:rPr>
              <w:t xml:space="preserve">Accounting expertise; regulatory and governance skills; industry experience </w:t>
            </w:r>
          </w:p>
          <w:p>
            <w:pPr>
              <w:pageBreakBefore w:val="0"/>
              <w:numPr>
                <w:ilvl w:val="0"/>
                <w:numId w:val="0"/>
              </w:numPr>
              <w:spacing w:before="40" w:after="30" w:line="288" w:lineRule="auto"/>
              <w:ind w:left="180" w:right="0" w:firstLine="0"/>
              <w:jc w:val="both"/>
              <w:outlineLvl w:val="9"/>
              <w:rPr>
                <w:rFonts w:ascii="Arial" w:eastAsia="Arial" w:hAnsi="Arial" w:cs="Arial"/>
                <w:b w:val="0"/>
                <w:i w:val="0"/>
                <w:sz w:val="18"/>
              </w:rPr>
            </w:pPr>
            <w:r>
              <w:rPr>
                <w:rFonts w:ascii="Arial" w:eastAsia="Arial" w:hAnsi="Arial" w:cs="Arial"/>
                <w:b w:val="0"/>
                <w:i w:val="0"/>
                <w:sz w:val="18"/>
              </w:rPr>
              <w:t>Mr. Patel brings significant accounting expertise to our Board, obtained from over two decades of auditing and advising insurance companies on accounting and regulatory issues, which is highly valuable to our Audit Committee. As a former industry CEO, he also has significant knowledge of risk management best practices, corporate governance matters, and the insurance regulatory environment, which are valuable to our Board, the Risk Committee, and the Nominating and Governance Committee.</w:t>
            </w:r>
          </w:p>
        </w:tc>
      </w:tr>
      <w:tr>
        <w:tblPrEx>
          <w:tblW w:w="10260" w:type="dxa"/>
          <w:jc w:val="left"/>
          <w:tblInd w:w="0" w:type="dxa"/>
          <w:tblLayout w:type="fixed"/>
          <w:tblCellMar>
            <w:left w:w="108" w:type="dxa"/>
            <w:right w:w="108" w:type="dxa"/>
          </w:tblCellMar>
        </w:tblPrEx>
        <w:trPr>
          <w:cantSplit/>
          <w:trHeight w:hRule="exact" w:val="136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105"/>
          <w:jc w:val="left"/>
        </w:trPr>
        <w:tc>
          <w:tcPr>
            <w:tcW w:w="2205" w:type="dxa"/>
            <w:tcBorders>
              <w:top w:val="nil"/>
              <w:left w:val="nil"/>
              <w:bottom w:val="nil"/>
              <w:right w:val="single" w:sz="12" w:space="0" w:color="4494D1"/>
            </w:tcBorders>
            <w:tcMar>
              <w:top w:w="0" w:type="dxa"/>
              <w:left w:w="0" w:type="dxa"/>
              <w:bottom w:w="0" w:type="dxa"/>
              <w:right w:w="0" w:type="dxa"/>
            </w:tcMar>
            <w:vAlign w:val="bottom"/>
          </w:tcPr>
          <w:p>
            <w:pPr>
              <w:keepNext/>
              <w:pageBreakBefore w:val="0"/>
              <w:spacing w:before="0" w:after="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765"/>
          <w:jc w:val="left"/>
        </w:trPr>
        <w:tc>
          <w:tcPr>
            <w:tcW w:w="2205" w:type="dxa"/>
            <w:vMerge w:val="restart"/>
            <w:tcBorders>
              <w:top w:val="nil"/>
              <w:left w:val="nil"/>
              <w:bottom w:val="nil"/>
              <w:right w:val="single" w:sz="12" w:space="0" w:color="4494D1"/>
            </w:tcBorders>
            <w:tcMar>
              <w:top w:w="0" w:type="dxa"/>
              <w:left w:w="53" w:type="dxa"/>
              <w:bottom w:w="0" w:type="dxa"/>
              <w:right w:w="53" w:type="dxa"/>
            </w:tcMar>
            <w:vAlign w:val="top"/>
          </w:tcPr>
          <w:p>
            <w:pPr>
              <w:keepNext/>
              <w:pageBreakBefore w:val="0"/>
              <w:numPr>
                <w:ilvl w:val="0"/>
                <w:numId w:val="0"/>
              </w:numPr>
              <w:spacing w:before="53" w:after="100" w:line="288" w:lineRule="auto"/>
              <w:ind w:left="-43" w:right="0" w:firstLine="0"/>
              <w:jc w:val="left"/>
              <w:outlineLvl w:val="9"/>
              <w:rPr>
                <w:rFonts w:ascii="Arial" w:eastAsia="Arial" w:hAnsi="Arial" w:cs="Arial"/>
                <w:b/>
                <w:i w:val="0"/>
                <w:sz w:val="16"/>
              </w:rPr>
            </w:pPr>
            <w:r>
              <w:rPr>
                <w:rFonts w:ascii="Arial" w:eastAsia="Arial" w:hAnsi="Arial" w:cs="Arial"/>
                <w:b/>
                <w:i w:val="0"/>
                <w:sz w:val="16"/>
              </w:rPr>
              <w:t xml:space="preserve">Director Since: </w:t>
            </w:r>
            <w:r>
              <w:rPr>
                <w:rFonts w:ascii="Arial" w:eastAsia="Arial" w:hAnsi="Arial" w:cs="Arial"/>
                <w:b w:val="0"/>
                <w:i w:val="0"/>
                <w:color w:val="000000"/>
                <w:sz w:val="16"/>
                <w:u w:val="none"/>
              </w:rPr>
              <w:t>2015</w:t>
            </w:r>
          </w:p>
          <w:p>
            <w:pPr>
              <w:pageBreakBefore w:val="0"/>
              <w:numPr>
                <w:ilvl w:val="0"/>
                <w:numId w:val="0"/>
              </w:numPr>
              <w:spacing w:before="100" w:after="100" w:line="288" w:lineRule="auto"/>
              <w:ind w:left="-43" w:right="0" w:firstLine="0"/>
              <w:jc w:val="left"/>
              <w:outlineLvl w:val="9"/>
              <w:rPr>
                <w:rFonts w:ascii="Arial" w:eastAsia="Arial" w:hAnsi="Arial" w:cs="Arial"/>
                <w:b/>
                <w:i w:val="0"/>
                <w:sz w:val="16"/>
              </w:rPr>
            </w:pPr>
            <w:r>
              <w:rPr>
                <w:rFonts w:ascii="Arial" w:eastAsia="Arial" w:hAnsi="Arial" w:cs="Arial"/>
                <w:b/>
                <w:i w:val="0"/>
                <w:sz w:val="16"/>
              </w:rPr>
              <w:t xml:space="preserve">Age: </w:t>
            </w:r>
            <w:r>
              <w:rPr>
                <w:rFonts w:ascii="Arial" w:eastAsia="Arial" w:hAnsi="Arial" w:cs="Arial"/>
                <w:b w:val="0"/>
                <w:i w:val="0"/>
                <w:color w:val="000000"/>
                <w:sz w:val="16"/>
                <w:u w:val="none"/>
              </w:rPr>
              <w:t>63</w:t>
            </w:r>
          </w:p>
          <w:p>
            <w:pPr>
              <w:pageBreakBefore w:val="0"/>
              <w:numPr>
                <w:ilvl w:val="0"/>
                <w:numId w:val="0"/>
              </w:numPr>
              <w:spacing w:before="0" w:after="0" w:line="288" w:lineRule="auto"/>
              <w:ind w:left="-43" w:right="0" w:firstLine="0"/>
              <w:jc w:val="left"/>
              <w:outlineLvl w:val="9"/>
              <w:rPr>
                <w:rFonts w:ascii="Arial" w:eastAsia="Arial" w:hAnsi="Arial" w:cs="Arial"/>
                <w:b/>
                <w:i w:val="0"/>
                <w:sz w:val="16"/>
              </w:rPr>
            </w:pPr>
            <w:r>
              <w:rPr>
                <w:rFonts w:ascii="Arial" w:eastAsia="Arial" w:hAnsi="Arial" w:cs="Arial"/>
                <w:b/>
                <w:i w:val="0"/>
                <w:sz w:val="16"/>
              </w:rPr>
              <w:t xml:space="preserve">Enstar Committees: </w:t>
            </w:r>
          </w:p>
          <w:p>
            <w:pPr>
              <w:pageBreakBefore w:val="0"/>
              <w:numPr>
                <w:ilvl w:val="0"/>
                <w:numId w:val="0"/>
              </w:numPr>
              <w:spacing w:before="0" w:after="100" w:line="288" w:lineRule="auto"/>
              <w:ind w:left="-43"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 xml:space="preserve">Audit  </w:t>
            </w:r>
            <w:r>
              <w:rPr>
                <w:rFonts w:ascii="Webdings" w:eastAsia="Webdings" w:hAnsi="Webdings" w:cs="Webdings"/>
                <w:b w:val="0"/>
                <w:i w:val="0"/>
                <w:color w:val="000000"/>
                <w:sz w:val="16"/>
                <w:u w:val="none"/>
              </w:rPr>
              <w:t xml:space="preserve">| </w:t>
            </w:r>
            <w:r>
              <w:rPr>
                <w:rFonts w:ascii="Arial" w:eastAsia="Arial" w:hAnsi="Arial" w:cs="Arial"/>
                <w:b w:val="0"/>
                <w:i w:val="0"/>
                <w:color w:val="000000"/>
                <w:sz w:val="16"/>
                <w:u w:val="none"/>
              </w:rPr>
              <w:t xml:space="preserve">Nominating and Governance </w:t>
            </w:r>
            <w:r>
              <w:rPr>
                <w:rFonts w:ascii="Webdings" w:eastAsia="Webdings" w:hAnsi="Webdings" w:cs="Webdings"/>
                <w:b w:val="0"/>
                <w:i w:val="0"/>
                <w:color w:val="000000"/>
                <w:sz w:val="16"/>
                <w:u w:val="none"/>
              </w:rPr>
              <w:t xml:space="preserve">| </w:t>
            </w:r>
            <w:r>
              <w:rPr>
                <w:rFonts w:ascii="Arial" w:eastAsia="Arial" w:hAnsi="Arial" w:cs="Arial"/>
                <w:b w:val="0"/>
                <w:i w:val="0"/>
                <w:color w:val="000000"/>
                <w:sz w:val="16"/>
                <w:u w:val="none"/>
              </w:rPr>
              <w:t>Risk (Chair)</w:t>
            </w:r>
          </w:p>
          <w:p>
            <w:pPr>
              <w:pageBreakBefore w:val="0"/>
              <w:numPr>
                <w:ilvl w:val="0"/>
                <w:numId w:val="0"/>
              </w:numPr>
              <w:spacing w:before="0" w:after="0" w:line="288" w:lineRule="auto"/>
              <w:ind w:left="-43" w:right="0" w:firstLine="0"/>
              <w:jc w:val="left"/>
              <w:outlineLvl w:val="9"/>
              <w:rPr>
                <w:rFonts w:ascii="Arial" w:eastAsia="Arial" w:hAnsi="Arial" w:cs="Arial"/>
                <w:b/>
                <w:i w:val="0"/>
                <w:sz w:val="16"/>
              </w:rPr>
            </w:pPr>
            <w:r>
              <w:rPr>
                <w:rFonts w:ascii="Arial" w:eastAsia="Arial" w:hAnsi="Arial" w:cs="Arial"/>
                <w:b/>
                <w:i w:val="0"/>
                <w:sz w:val="16"/>
              </w:rPr>
              <w:t>Residency and Citizenship:</w:t>
            </w:r>
          </w:p>
          <w:p>
            <w:pPr>
              <w:pageBreakBefore w:val="0"/>
              <w:numPr>
                <w:ilvl w:val="0"/>
                <w:numId w:val="0"/>
              </w:numPr>
              <w:spacing w:before="0" w:after="30" w:line="288" w:lineRule="auto"/>
              <w:ind w:left="-43"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UK resident  |  UK citizen</w:t>
            </w: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76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76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76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885"/>
          <w:jc w:val="left"/>
        </w:trPr>
        <w:tc>
          <w:tcPr>
            <w:tcW w:w="2205" w:type="dxa"/>
            <w:vMerge/>
            <w:tcBorders>
              <w:top w:val="nil"/>
              <w:left w:val="nil"/>
              <w:bottom w:val="nil"/>
              <w:right w:val="single" w:sz="12" w:space="0" w:color="4494D1"/>
            </w:tcBorders>
          </w:tcPr>
          <w:p>
            <w:pPr>
              <w:pageBreakBefore w:val="0"/>
            </w:pPr>
          </w:p>
        </w:tc>
        <w:tc>
          <w:tcPr>
            <w:tcW w:w="8055" w:type="dxa"/>
            <w:vMerge/>
            <w:tcBorders>
              <w:top w:val="nil"/>
              <w:left w:val="nil"/>
              <w:bottom w:val="nil"/>
              <w:right w:val="nil"/>
            </w:tcBorders>
          </w:tcPr>
          <w:p>
            <w:pPr>
              <w:pageBreakBefore w:val="0"/>
            </w:pPr>
          </w:p>
        </w:tc>
      </w:tr>
    </w:tbl>
    <w:p>
      <w:pPr>
        <w:keepNext/>
        <w:keepLines w:val="0"/>
        <w:pageBreakBefore w:val="0"/>
        <w:widowControl/>
        <w:numPr>
          <w:ilvl w:val="0"/>
          <w:numId w:val="0"/>
        </w:numPr>
        <w:spacing w:before="120" w:after="120" w:line="288" w:lineRule="auto"/>
        <w:ind w:left="0" w:right="0" w:firstLine="0"/>
        <w:jc w:val="left"/>
        <w:outlineLvl w:val="9"/>
        <w:rPr>
          <w:rFonts w:ascii="Times New Roman" w:eastAsia="Times New Roman" w:hAnsi="Times New Roman" w:cs="Times New Roman"/>
          <w:b w:val="0"/>
          <w:i w:val="0"/>
          <w:color w:val="FF0090"/>
          <w:sz w:val="20"/>
          <w:u w:val="none"/>
        </w:rPr>
      </w:pP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205"/>
        <w:gridCol w:w="805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65"/>
          <w:jc w:val="left"/>
        </w:trPr>
        <w:tc>
          <w:tcPr>
            <w:tcW w:w="22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05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200"/>
          <w:jc w:val="left"/>
        </w:trPr>
        <w:tc>
          <w:tcPr>
            <w:tcW w:w="2205" w:type="dxa"/>
            <w:vMerge w:val="restart"/>
            <w:tcBorders>
              <w:top w:val="nil"/>
              <w:left w:val="nil"/>
              <w:bottom w:val="nil"/>
              <w:right w:val="single" w:sz="12" w:space="0" w:color="4494D1"/>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hanging="90"/>
              <w:jc w:val="center"/>
              <w:outlineLvl w:val="9"/>
              <w:rPr>
                <w:rFonts w:ascii="Arial" w:eastAsia="Arial" w:hAnsi="Arial" w:cs="Arial"/>
                <w:b w:val="0"/>
                <w:i w:val="0"/>
                <w:sz w:val="16"/>
              </w:rPr>
            </w:pPr>
            <w:r>
              <w:pict>
                <v:shape id="_x0000_i1174" type="#_x0000_t75" style="width:122.4pt;height:127.33pt">
                  <v:imagedata r:id="rId56" o:title=""/>
                  <o:lock v:ext="edit" aspectratio="t"/>
                </v:shape>
              </w:pict>
            </w:r>
          </w:p>
        </w:tc>
        <w:tc>
          <w:tcPr>
            <w:tcW w:w="805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40" w:line="288" w:lineRule="auto"/>
              <w:ind w:left="180" w:right="0" w:firstLine="0"/>
              <w:jc w:val="left"/>
              <w:outlineLvl w:val="9"/>
              <w:rPr>
                <w:rFonts w:ascii="Arial" w:eastAsia="Arial" w:hAnsi="Arial" w:cs="Arial"/>
                <w:b/>
                <w:i w:val="0"/>
                <w:color w:val="4495D1"/>
                <w:sz w:val="28"/>
                <w:u w:val="none"/>
              </w:rPr>
            </w:pPr>
            <w:r>
              <w:rPr>
                <w:rFonts w:ascii="Arial" w:eastAsia="Arial" w:hAnsi="Arial" w:cs="Arial"/>
                <w:b/>
                <w:i w:val="0"/>
                <w:color w:val="002060"/>
                <w:sz w:val="28"/>
                <w:u w:val="none"/>
              </w:rPr>
              <w:t>Dominic Silvester</w:t>
            </w:r>
            <w:r>
              <w:rPr>
                <w:rFonts w:ascii="Arial" w:eastAsia="Arial" w:hAnsi="Arial" w:cs="Arial"/>
                <w:b/>
                <w:i w:val="0"/>
                <w:sz w:val="28"/>
              </w:rPr>
              <w:t xml:space="preserve">    </w:t>
            </w:r>
            <w:r>
              <w:rPr>
                <w:rFonts w:ascii="Arial" w:eastAsia="Arial" w:hAnsi="Arial" w:cs="Arial"/>
                <w:b w:val="0"/>
                <w:i w:val="0"/>
                <w:sz w:val="18"/>
              </w:rPr>
              <w:t>Chief Executive Officer, Director</w:t>
            </w:r>
          </w:p>
          <w:p>
            <w:pPr>
              <w:pageBreakBefore w:val="0"/>
              <w:numPr>
                <w:ilvl w:val="0"/>
                <w:numId w:val="0"/>
              </w:numPr>
              <w:spacing w:before="40" w:after="40" w:line="288" w:lineRule="auto"/>
              <w:ind w:left="180" w:right="0" w:firstLine="0"/>
              <w:jc w:val="left"/>
              <w:outlineLvl w:val="9"/>
              <w:rPr>
                <w:rFonts w:ascii="Arial" w:eastAsia="Arial" w:hAnsi="Arial" w:cs="Arial"/>
                <w:b/>
                <w:i w:val="0"/>
                <w:color w:val="4495D1"/>
                <w:sz w:val="18"/>
                <w:u w:val="none"/>
              </w:rPr>
            </w:pPr>
          </w:p>
          <w:p>
            <w:pPr>
              <w:pageBreakBefore w:val="0"/>
              <w:numPr>
                <w:ilvl w:val="0"/>
                <w:numId w:val="0"/>
              </w:numPr>
              <w:spacing w:before="4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Biographical Information</w:t>
            </w:r>
          </w:p>
          <w:p>
            <w:pPr>
              <w:pageBreakBefore w:val="0"/>
              <w:numPr>
                <w:ilvl w:val="0"/>
                <w:numId w:val="0"/>
              </w:numPr>
              <w:spacing w:before="0" w:after="0" w:line="288" w:lineRule="auto"/>
              <w:ind w:left="180" w:right="0" w:firstLine="0"/>
              <w:jc w:val="both"/>
              <w:outlineLvl w:val="9"/>
              <w:rPr>
                <w:rFonts w:ascii="Arial" w:eastAsia="Arial" w:hAnsi="Arial" w:cs="Arial"/>
                <w:b w:val="0"/>
                <w:i w:val="0"/>
                <w:sz w:val="18"/>
              </w:rPr>
            </w:pPr>
            <w:r>
              <w:rPr>
                <w:rFonts w:ascii="Arial" w:eastAsia="Arial" w:hAnsi="Arial" w:cs="Arial"/>
                <w:b w:val="0"/>
                <w:i w:val="0"/>
                <w:color w:val="000000"/>
                <w:sz w:val="18"/>
                <w:u w:val="none"/>
              </w:rPr>
              <w:t>Dominic Silvester</w:t>
            </w:r>
            <w:r>
              <w:rPr>
                <w:rFonts w:ascii="Arial" w:eastAsia="Arial" w:hAnsi="Arial" w:cs="Arial"/>
                <w:b w:val="0"/>
                <w:i w:val="0"/>
                <w:sz w:val="18"/>
              </w:rPr>
              <w:t xml:space="preserve"> has served as a director and the Chief Executive Officer of the Company since its formation in 2001. In 1993, Mr. Silvester began a business venture in Bermuda to provide run-off services to the insurance and reinsurance industry. In 1995, the business was assumed by Enstar Limited, which is now a subsidiary of the Company, and for which Mr. Silvester has since then served as Chief Executive Officer. Prior to co-founding the Company, Mr. Silvester served as the Chief Financial Officer of Anchor Underwriting Managers Limited from 1988 until 1993.</w:t>
            </w:r>
          </w:p>
          <w:p>
            <w:pPr>
              <w:pageBreakBefore w:val="0"/>
              <w:numPr>
                <w:ilvl w:val="0"/>
                <w:numId w:val="0"/>
              </w:numPr>
              <w:spacing w:before="10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Skills and Qualifications</w:t>
            </w:r>
          </w:p>
          <w:p>
            <w:pPr>
              <w:pageBreakBefore w:val="0"/>
              <w:numPr>
                <w:ilvl w:val="0"/>
                <w:numId w:val="0"/>
              </w:numPr>
              <w:spacing w:before="0" w:after="0" w:line="288" w:lineRule="auto"/>
              <w:ind w:left="180" w:right="0" w:firstLine="0"/>
              <w:jc w:val="left"/>
              <w:outlineLvl w:val="9"/>
              <w:rPr>
                <w:rFonts w:ascii="Arial" w:eastAsia="Arial" w:hAnsi="Arial" w:cs="Arial"/>
                <w:b w:val="0"/>
                <w:i/>
                <w:sz w:val="18"/>
              </w:rPr>
            </w:pPr>
            <w:r>
              <w:rPr>
                <w:rFonts w:ascii="Arial" w:eastAsia="Arial" w:hAnsi="Arial" w:cs="Arial"/>
                <w:b w:val="0"/>
                <w:i/>
                <w:sz w:val="18"/>
              </w:rPr>
              <w:t xml:space="preserve">Company leader; industry expertise; corporate strategy </w:t>
            </w:r>
          </w:p>
          <w:p>
            <w:pPr>
              <w:pageBreakBefore w:val="0"/>
              <w:numPr>
                <w:ilvl w:val="0"/>
                <w:numId w:val="0"/>
              </w:numPr>
              <w:spacing w:before="0" w:after="30" w:line="288" w:lineRule="auto"/>
              <w:ind w:left="180" w:right="0" w:firstLine="0"/>
              <w:jc w:val="both"/>
              <w:outlineLvl w:val="9"/>
              <w:rPr>
                <w:rFonts w:ascii="Arial" w:eastAsia="Arial" w:hAnsi="Arial" w:cs="Arial"/>
                <w:b w:val="0"/>
                <w:i w:val="0"/>
                <w:sz w:val="18"/>
              </w:rPr>
            </w:pPr>
            <w:r>
              <w:rPr>
                <w:rFonts w:ascii="Arial" w:eastAsia="Arial" w:hAnsi="Arial" w:cs="Arial"/>
                <w:b w:val="0"/>
                <w:i w:val="0"/>
                <w:sz w:val="18"/>
              </w:rPr>
              <w:t>As a co-founder and CEO of the Company, Mr. Silvester contributes to the Board his intimate knowledge of the Company and the run-off industry. He is well known in the industry and is primarily responsible for identifying and developing our business strategies and acquisition opportunities on a worldwide basis. Mr. Silvester has served as our CEO since the Company's inception, demonstrating his proven ability to manage and grow the business.</w:t>
            </w:r>
          </w:p>
        </w:tc>
      </w:tr>
      <w:tr>
        <w:tblPrEx>
          <w:tblW w:w="10260" w:type="dxa"/>
          <w:jc w:val="left"/>
          <w:tblInd w:w="0" w:type="dxa"/>
          <w:tblLayout w:type="fixed"/>
          <w:tblCellMar>
            <w:left w:w="108" w:type="dxa"/>
            <w:right w:w="108" w:type="dxa"/>
          </w:tblCellMar>
        </w:tblPrEx>
        <w:trPr>
          <w:cantSplit/>
          <w:trHeight w:hRule="exact" w:val="139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105"/>
          <w:jc w:val="left"/>
        </w:trPr>
        <w:tc>
          <w:tcPr>
            <w:tcW w:w="2205" w:type="dxa"/>
            <w:tcBorders>
              <w:top w:val="nil"/>
              <w:left w:val="nil"/>
              <w:bottom w:val="nil"/>
              <w:right w:val="single" w:sz="12" w:space="0" w:color="4494D1"/>
            </w:tcBorders>
            <w:tcMar>
              <w:top w:w="0" w:type="dxa"/>
              <w:left w:w="0" w:type="dxa"/>
              <w:bottom w:w="0" w:type="dxa"/>
              <w:right w:w="0" w:type="dxa"/>
            </w:tcMar>
            <w:vAlign w:val="bottom"/>
          </w:tcPr>
          <w:p>
            <w:pPr>
              <w:keepNext/>
              <w:pageBreakBefore w:val="0"/>
              <w:spacing w:before="0" w:after="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05"/>
          <w:jc w:val="left"/>
        </w:trPr>
        <w:tc>
          <w:tcPr>
            <w:tcW w:w="2205" w:type="dxa"/>
            <w:vMerge w:val="restart"/>
            <w:tcBorders>
              <w:top w:val="nil"/>
              <w:left w:val="nil"/>
              <w:bottom w:val="nil"/>
              <w:right w:val="single" w:sz="12" w:space="0" w:color="4494D1"/>
            </w:tcBorders>
            <w:tcMar>
              <w:top w:w="0" w:type="dxa"/>
              <w:left w:w="53" w:type="dxa"/>
              <w:bottom w:w="0" w:type="dxa"/>
              <w:right w:w="53" w:type="dxa"/>
            </w:tcMar>
            <w:vAlign w:val="top"/>
          </w:tcPr>
          <w:p>
            <w:pPr>
              <w:keepNext/>
              <w:pageBreakBefore w:val="0"/>
              <w:numPr>
                <w:ilvl w:val="0"/>
                <w:numId w:val="0"/>
              </w:numPr>
              <w:spacing w:before="53" w:after="100" w:line="288" w:lineRule="auto"/>
              <w:ind w:left="-43" w:right="72" w:firstLine="0"/>
              <w:jc w:val="left"/>
              <w:outlineLvl w:val="9"/>
              <w:rPr>
                <w:rFonts w:ascii="Arial" w:eastAsia="Arial" w:hAnsi="Arial" w:cs="Arial"/>
                <w:b/>
                <w:i w:val="0"/>
                <w:sz w:val="16"/>
              </w:rPr>
            </w:pPr>
            <w:r>
              <w:rPr>
                <w:rFonts w:ascii="Arial" w:eastAsia="Arial" w:hAnsi="Arial" w:cs="Arial"/>
                <w:b/>
                <w:i w:val="0"/>
                <w:sz w:val="16"/>
              </w:rPr>
              <w:t>Director Since:</w:t>
            </w:r>
            <w:r>
              <w:rPr>
                <w:rFonts w:ascii="Arial" w:eastAsia="Arial" w:hAnsi="Arial" w:cs="Arial"/>
                <w:b w:val="0"/>
                <w:i w:val="0"/>
                <w:sz w:val="16"/>
              </w:rPr>
              <w:t xml:space="preserve"> </w:t>
            </w:r>
            <w:r>
              <w:rPr>
                <w:rFonts w:ascii="Arial" w:eastAsia="Arial" w:hAnsi="Arial" w:cs="Arial"/>
                <w:b w:val="0"/>
                <w:i w:val="0"/>
                <w:color w:val="000000"/>
                <w:sz w:val="16"/>
                <w:u w:val="none"/>
              </w:rPr>
              <w:t>2001</w:t>
            </w:r>
          </w:p>
          <w:p>
            <w:pPr>
              <w:pageBreakBefore w:val="0"/>
              <w:numPr>
                <w:ilvl w:val="0"/>
                <w:numId w:val="0"/>
              </w:numPr>
              <w:spacing w:before="100" w:after="100" w:line="288" w:lineRule="auto"/>
              <w:ind w:left="-43" w:right="72" w:firstLine="0"/>
              <w:jc w:val="left"/>
              <w:outlineLvl w:val="9"/>
              <w:rPr>
                <w:rFonts w:ascii="Arial" w:eastAsia="Arial" w:hAnsi="Arial" w:cs="Arial"/>
                <w:b/>
                <w:i w:val="0"/>
                <w:sz w:val="16"/>
              </w:rPr>
            </w:pPr>
            <w:r>
              <w:rPr>
                <w:rFonts w:ascii="Arial" w:eastAsia="Arial" w:hAnsi="Arial" w:cs="Arial"/>
                <w:b/>
                <w:i w:val="0"/>
                <w:sz w:val="16"/>
              </w:rPr>
              <w:t>Age:</w:t>
            </w:r>
            <w:r>
              <w:rPr>
                <w:rFonts w:ascii="Arial" w:eastAsia="Arial" w:hAnsi="Arial" w:cs="Arial"/>
                <w:b w:val="0"/>
                <w:i w:val="0"/>
                <w:sz w:val="16"/>
              </w:rPr>
              <w:t xml:space="preserve"> </w:t>
            </w:r>
            <w:r>
              <w:rPr>
                <w:rFonts w:ascii="Arial" w:eastAsia="Arial" w:hAnsi="Arial" w:cs="Arial"/>
                <w:b w:val="0"/>
                <w:i w:val="0"/>
                <w:color w:val="000000"/>
                <w:sz w:val="16"/>
                <w:u w:val="none"/>
              </w:rPr>
              <w:t>63</w:t>
            </w:r>
          </w:p>
          <w:p>
            <w:pPr>
              <w:pageBreakBefore w:val="0"/>
              <w:numPr>
                <w:ilvl w:val="0"/>
                <w:numId w:val="0"/>
              </w:numPr>
              <w:spacing w:before="100" w:after="100" w:line="288" w:lineRule="auto"/>
              <w:ind w:left="-43" w:right="72" w:firstLine="0"/>
              <w:jc w:val="left"/>
              <w:outlineLvl w:val="9"/>
              <w:rPr>
                <w:rFonts w:ascii="Arial" w:eastAsia="Arial" w:hAnsi="Arial" w:cs="Arial"/>
                <w:b/>
                <w:i w:val="0"/>
                <w:sz w:val="16"/>
              </w:rPr>
            </w:pPr>
            <w:r>
              <w:rPr>
                <w:rFonts w:ascii="Arial" w:eastAsia="Arial" w:hAnsi="Arial" w:cs="Arial"/>
                <w:b/>
                <w:i w:val="0"/>
                <w:sz w:val="16"/>
              </w:rPr>
              <w:t xml:space="preserve">Enstar Committees: </w:t>
            </w:r>
            <w:r>
              <w:rPr>
                <w:rFonts w:ascii="Arial" w:eastAsia="Arial" w:hAnsi="Arial" w:cs="Arial"/>
                <w:b w:val="0"/>
                <w:i w:val="0"/>
                <w:color w:val="000000"/>
                <w:sz w:val="16"/>
                <w:u w:val="none"/>
              </w:rPr>
              <w:t xml:space="preserve">Investment  </w:t>
            </w:r>
            <w:r>
              <w:rPr>
                <w:rFonts w:ascii="Webdings" w:eastAsia="Webdings" w:hAnsi="Webdings" w:cs="Webdings"/>
                <w:b w:val="0"/>
                <w:i w:val="0"/>
                <w:color w:val="000000"/>
                <w:sz w:val="16"/>
                <w:u w:val="none"/>
              </w:rPr>
              <w:t xml:space="preserve">| </w:t>
            </w:r>
            <w:r>
              <w:rPr>
                <w:rFonts w:ascii="Arial" w:eastAsia="Arial" w:hAnsi="Arial" w:cs="Arial"/>
                <w:b w:val="0"/>
                <w:i w:val="0"/>
                <w:color w:val="000000"/>
                <w:sz w:val="16"/>
                <w:u w:val="none"/>
              </w:rPr>
              <w:t>Executive</w:t>
            </w:r>
          </w:p>
          <w:p>
            <w:pPr>
              <w:pageBreakBefore w:val="0"/>
              <w:numPr>
                <w:ilvl w:val="0"/>
                <w:numId w:val="0"/>
              </w:numPr>
              <w:spacing w:before="0" w:after="0" w:line="288" w:lineRule="auto"/>
              <w:ind w:left="-43" w:right="0" w:firstLine="0"/>
              <w:jc w:val="left"/>
              <w:outlineLvl w:val="9"/>
              <w:rPr>
                <w:rFonts w:ascii="Arial" w:eastAsia="Arial" w:hAnsi="Arial" w:cs="Arial"/>
                <w:b/>
                <w:i w:val="0"/>
                <w:sz w:val="16"/>
              </w:rPr>
            </w:pPr>
            <w:r>
              <w:rPr>
                <w:rFonts w:ascii="Arial" w:eastAsia="Arial" w:hAnsi="Arial" w:cs="Arial"/>
                <w:b/>
                <w:i w:val="0"/>
                <w:sz w:val="16"/>
              </w:rPr>
              <w:t>Residency and Citizenship:</w:t>
            </w:r>
          </w:p>
          <w:p>
            <w:pPr>
              <w:pageBreakBefore w:val="0"/>
              <w:numPr>
                <w:ilvl w:val="0"/>
                <w:numId w:val="0"/>
              </w:numPr>
              <w:spacing w:before="0" w:after="30" w:line="288" w:lineRule="auto"/>
              <w:ind w:left="-43"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Bermuda resident  |  UK citizen</w:t>
            </w: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20"/>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0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31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58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585"/>
          <w:jc w:val="left"/>
        </w:trPr>
        <w:tc>
          <w:tcPr>
            <w:tcW w:w="2205" w:type="dxa"/>
            <w:vMerge/>
            <w:tcBorders>
              <w:top w:val="nil"/>
              <w:left w:val="nil"/>
              <w:bottom w:val="nil"/>
              <w:right w:val="single" w:sz="12" w:space="0" w:color="4494D1"/>
            </w:tcBorders>
          </w:tcPr>
          <w:p>
            <w:pPr>
              <w:pageBreakBefore w:val="0"/>
            </w:pPr>
          </w:p>
        </w:tc>
        <w:tc>
          <w:tcPr>
            <w:tcW w:w="8055" w:type="dxa"/>
            <w:vMerge/>
            <w:tcBorders>
              <w:top w:val="nil"/>
              <w:left w:val="nil"/>
              <w:bottom w:val="nil"/>
              <w:right w:val="nil"/>
            </w:tcBorders>
          </w:tcPr>
          <w:p>
            <w:pPr>
              <w:pageBreakBefore w:val="0"/>
            </w:pPr>
          </w:p>
        </w:tc>
      </w:tr>
    </w:tbl>
    <w:p>
      <w:pPr>
        <w:keepNext/>
        <w:keepLines w:val="0"/>
        <w:pageBreakBefore w:val="0"/>
        <w:widowControl/>
        <w:numPr>
          <w:ilvl w:val="0"/>
          <w:numId w:val="0"/>
        </w:numPr>
        <w:spacing w:before="120" w:after="120" w:line="288" w:lineRule="auto"/>
        <w:ind w:left="0" w:right="0" w:firstLine="0"/>
        <w:jc w:val="left"/>
        <w:outlineLvl w:val="9"/>
        <w:rPr>
          <w:rFonts w:ascii="Times New Roman" w:eastAsia="Times New Roman" w:hAnsi="Times New Roman" w:cs="Times New Roman"/>
          <w:b w:val="0"/>
          <w:i w:val="0"/>
          <w:color w:val="FF0090"/>
          <w:sz w:val="20"/>
          <w:u w:val="none"/>
        </w:rPr>
      </w:pP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205"/>
        <w:gridCol w:w="805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65"/>
          <w:jc w:val="left"/>
        </w:trPr>
        <w:tc>
          <w:tcPr>
            <w:tcW w:w="22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05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200"/>
          <w:jc w:val="left"/>
        </w:trPr>
        <w:tc>
          <w:tcPr>
            <w:tcW w:w="2205" w:type="dxa"/>
            <w:vMerge w:val="restart"/>
            <w:tcBorders>
              <w:top w:val="nil"/>
              <w:left w:val="nil"/>
              <w:bottom w:val="nil"/>
              <w:right w:val="single" w:sz="12" w:space="0" w:color="4494D1"/>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hanging="90"/>
              <w:jc w:val="left"/>
              <w:outlineLvl w:val="9"/>
              <w:rPr>
                <w:rFonts w:ascii="Arial" w:eastAsia="Arial" w:hAnsi="Arial" w:cs="Arial"/>
                <w:b w:val="0"/>
                <w:i w:val="0"/>
                <w:sz w:val="16"/>
              </w:rPr>
            </w:pPr>
            <w:r>
              <w:pict>
                <v:shape id="_x0000_i1175" type="#_x0000_t75" style="width:112.28pt;height:126.75pt">
                  <v:imagedata r:id="rId57" o:title=""/>
                  <o:lock v:ext="edit" aspectratio="t"/>
                </v:shape>
              </w:pict>
            </w:r>
          </w:p>
        </w:tc>
        <w:tc>
          <w:tcPr>
            <w:tcW w:w="805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40" w:line="288" w:lineRule="auto"/>
              <w:ind w:left="180" w:right="0" w:firstLine="0"/>
              <w:jc w:val="left"/>
              <w:outlineLvl w:val="9"/>
              <w:rPr>
                <w:rFonts w:ascii="Arial" w:eastAsia="Arial" w:hAnsi="Arial" w:cs="Arial"/>
                <w:b/>
                <w:i w:val="0"/>
                <w:color w:val="002060"/>
                <w:sz w:val="28"/>
                <w:u w:val="none"/>
              </w:rPr>
            </w:pPr>
            <w:r>
              <w:rPr>
                <w:rFonts w:ascii="Arial" w:eastAsia="Arial" w:hAnsi="Arial" w:cs="Arial"/>
                <w:b/>
                <w:i w:val="0"/>
                <w:color w:val="002060"/>
                <w:sz w:val="28"/>
                <w:u w:val="none"/>
              </w:rPr>
              <w:t>Poul A. Winslow</w:t>
            </w:r>
            <w:r>
              <w:rPr>
                <w:rFonts w:ascii="Arial" w:eastAsia="Arial" w:hAnsi="Arial" w:cs="Arial"/>
                <w:b/>
                <w:i w:val="0"/>
                <w:color w:val="002060"/>
                <w:sz w:val="28"/>
                <w:u w:val="none"/>
              </w:rPr>
              <w:t xml:space="preserve">   </w:t>
            </w:r>
            <w:r>
              <w:rPr>
                <w:rFonts w:ascii="Arial" w:eastAsia="Arial" w:hAnsi="Arial" w:cs="Arial"/>
                <w:b/>
                <w:i w:val="0"/>
                <w:sz w:val="28"/>
              </w:rPr>
              <w:t xml:space="preserve"> </w:t>
            </w:r>
            <w:r>
              <w:rPr>
                <w:rFonts w:ascii="Arial" w:eastAsia="Arial" w:hAnsi="Arial" w:cs="Arial"/>
                <w:b w:val="0"/>
                <w:i w:val="0"/>
                <w:sz w:val="18"/>
              </w:rPr>
              <w:t>Independent</w:t>
            </w:r>
          </w:p>
          <w:p>
            <w:pPr>
              <w:pageBreakBefore w:val="0"/>
              <w:numPr>
                <w:ilvl w:val="0"/>
                <w:numId w:val="0"/>
              </w:numPr>
              <w:spacing w:before="40" w:after="40" w:line="288" w:lineRule="auto"/>
              <w:ind w:left="180" w:right="0" w:firstLine="0"/>
              <w:jc w:val="left"/>
              <w:outlineLvl w:val="9"/>
              <w:rPr>
                <w:rFonts w:ascii="Arial" w:eastAsia="Arial" w:hAnsi="Arial" w:cs="Arial"/>
                <w:b/>
                <w:i w:val="0"/>
                <w:color w:val="4495D1"/>
                <w:sz w:val="18"/>
                <w:u w:val="none"/>
              </w:rPr>
            </w:pPr>
          </w:p>
          <w:p>
            <w:pPr>
              <w:pageBreakBefore w:val="0"/>
              <w:numPr>
                <w:ilvl w:val="0"/>
                <w:numId w:val="0"/>
              </w:numPr>
              <w:spacing w:before="4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Biographical Information</w:t>
            </w:r>
          </w:p>
          <w:p>
            <w:pPr>
              <w:pageBreakBefore w:val="0"/>
              <w:numPr>
                <w:ilvl w:val="0"/>
                <w:numId w:val="0"/>
              </w:numPr>
              <w:spacing w:before="0" w:after="0" w:line="288" w:lineRule="auto"/>
              <w:ind w:left="180" w:right="0" w:firstLine="0"/>
              <w:jc w:val="both"/>
              <w:outlineLvl w:val="9"/>
              <w:rPr>
                <w:rFonts w:ascii="Arial" w:eastAsia="Arial" w:hAnsi="Arial" w:cs="Arial"/>
                <w:b w:val="0"/>
                <w:i w:val="0"/>
                <w:sz w:val="18"/>
              </w:rPr>
            </w:pPr>
            <w:r>
              <w:rPr>
                <w:rFonts w:ascii="Arial" w:eastAsia="Arial" w:hAnsi="Arial" w:cs="Arial"/>
                <w:b w:val="0"/>
                <w:i w:val="0"/>
                <w:color w:val="000000"/>
                <w:sz w:val="18"/>
                <w:u w:val="none"/>
              </w:rPr>
              <w:t>Poul A. Winslow</w:t>
            </w:r>
            <w:r>
              <w:rPr>
                <w:rFonts w:ascii="Arial" w:eastAsia="Arial" w:hAnsi="Arial" w:cs="Arial"/>
                <w:b w:val="0"/>
                <w:i w:val="0"/>
                <w:sz w:val="18"/>
              </w:rPr>
              <w:t xml:space="preserve"> </w:t>
            </w:r>
            <w:r>
              <w:rPr>
                <w:rFonts w:ascii="Arial" w:eastAsia="Arial" w:hAnsi="Arial" w:cs="Arial"/>
                <w:b w:val="0"/>
                <w:i w:val="0"/>
                <w:sz w:val="18"/>
              </w:rPr>
              <w:t>is President of Leaf Creek Advisors Inc.</w:t>
            </w:r>
            <w:r>
              <w:rPr>
                <w:rFonts w:ascii="Arial" w:eastAsia="Arial" w:hAnsi="Arial" w:cs="Arial"/>
                <w:b w:val="0"/>
                <w:i w:val="0"/>
                <w:sz w:val="18"/>
              </w:rPr>
              <w:t xml:space="preserve">, </w:t>
            </w:r>
            <w:r>
              <w:rPr>
                <w:rFonts w:ascii="Arial" w:eastAsia="Arial" w:hAnsi="Arial" w:cs="Arial"/>
                <w:b w:val="0"/>
                <w:i w:val="0"/>
                <w:sz w:val="18"/>
              </w:rPr>
              <w:t>a pr</w:t>
            </w:r>
            <w:r>
              <w:rPr>
                <w:rFonts w:ascii="Arial" w:eastAsia="Arial" w:hAnsi="Arial" w:cs="Arial"/>
                <w:b w:val="0"/>
                <w:i w:val="0"/>
                <w:sz w:val="18"/>
              </w:rPr>
              <w:t>ivately held</w:t>
            </w:r>
            <w:r>
              <w:rPr>
                <w:rFonts w:ascii="Arial" w:eastAsia="Arial" w:hAnsi="Arial" w:cs="Arial"/>
                <w:b w:val="0"/>
                <w:i w:val="0"/>
                <w:sz w:val="18"/>
              </w:rPr>
              <w:t xml:space="preserve"> </w:t>
            </w:r>
            <w:r>
              <w:rPr>
                <w:rFonts w:ascii="Arial" w:eastAsia="Arial" w:hAnsi="Arial" w:cs="Arial"/>
                <w:b w:val="0"/>
                <w:i w:val="0"/>
                <w:sz w:val="18"/>
              </w:rPr>
              <w:t>strategic</w:t>
            </w:r>
            <w:r>
              <w:rPr>
                <w:rFonts w:ascii="Arial" w:eastAsia="Arial" w:hAnsi="Arial" w:cs="Arial"/>
                <w:b w:val="0"/>
                <w:i w:val="0"/>
                <w:sz w:val="18"/>
              </w:rPr>
              <w:t xml:space="preserve"> consultancy </w:t>
            </w:r>
            <w:r>
              <w:rPr>
                <w:rFonts w:ascii="Arial" w:eastAsia="Arial" w:hAnsi="Arial" w:cs="Arial"/>
                <w:b w:val="0"/>
                <w:i w:val="0"/>
                <w:sz w:val="18"/>
              </w:rPr>
              <w:t xml:space="preserve">for investment </w:t>
            </w:r>
            <w:r>
              <w:rPr>
                <w:rFonts w:ascii="Arial" w:eastAsia="Arial" w:hAnsi="Arial" w:cs="Arial"/>
                <w:b w:val="0"/>
                <w:i w:val="0"/>
                <w:sz w:val="18"/>
              </w:rPr>
              <w:t>management firms</w:t>
            </w:r>
            <w:r>
              <w:rPr>
                <w:rFonts w:ascii="Arial" w:eastAsia="Arial" w:hAnsi="Arial" w:cs="Arial"/>
                <w:b w:val="0"/>
                <w:i w:val="0"/>
                <w:sz w:val="18"/>
              </w:rPr>
              <w:t>,</w:t>
            </w:r>
            <w:r>
              <w:rPr>
                <w:rFonts w:ascii="Arial" w:eastAsia="Arial" w:hAnsi="Arial" w:cs="Arial"/>
                <w:b w:val="0"/>
                <w:i w:val="0"/>
                <w:sz w:val="18"/>
              </w:rPr>
              <w:t xml:space="preserve"> </w:t>
            </w:r>
            <w:r>
              <w:rPr>
                <w:rFonts w:ascii="Arial" w:eastAsia="Arial" w:hAnsi="Arial" w:cs="Arial"/>
                <w:b w:val="0"/>
                <w:i w:val="0"/>
                <w:sz w:val="18"/>
              </w:rPr>
              <w:t>a r</w:t>
            </w:r>
            <w:r>
              <w:rPr>
                <w:rFonts w:ascii="Arial" w:eastAsia="Arial" w:hAnsi="Arial" w:cs="Arial"/>
                <w:b w:val="0"/>
                <w:i w:val="0"/>
                <w:sz w:val="18"/>
              </w:rPr>
              <w:t xml:space="preserve">ole he </w:t>
            </w:r>
            <w:r>
              <w:rPr>
                <w:rFonts w:ascii="Arial" w:eastAsia="Arial" w:hAnsi="Arial" w:cs="Arial"/>
                <w:b w:val="0"/>
                <w:i w:val="0"/>
                <w:sz w:val="18"/>
              </w:rPr>
              <w:t>has</w:t>
            </w:r>
            <w:r>
              <w:rPr>
                <w:rFonts w:ascii="Arial" w:eastAsia="Arial" w:hAnsi="Arial" w:cs="Arial"/>
                <w:b w:val="0"/>
                <w:i w:val="0"/>
                <w:sz w:val="18"/>
              </w:rPr>
              <w:t xml:space="preserve"> held since </w:t>
            </w:r>
            <w:r>
              <w:rPr>
                <w:rFonts w:ascii="Arial" w:eastAsia="Arial" w:hAnsi="Arial" w:cs="Arial"/>
                <w:b w:val="0"/>
                <w:i w:val="0"/>
                <w:sz w:val="18"/>
              </w:rPr>
              <w:t>Ma</w:t>
            </w:r>
            <w:r>
              <w:rPr>
                <w:rFonts w:ascii="Arial" w:eastAsia="Arial" w:hAnsi="Arial" w:cs="Arial"/>
                <w:b w:val="0"/>
                <w:i w:val="0"/>
                <w:sz w:val="18"/>
              </w:rPr>
              <w:t>y 2022. Mr. Win</w:t>
            </w:r>
            <w:r>
              <w:rPr>
                <w:rFonts w:ascii="Arial" w:eastAsia="Arial" w:hAnsi="Arial" w:cs="Arial"/>
                <w:b w:val="0"/>
                <w:i w:val="0"/>
                <w:sz w:val="18"/>
              </w:rPr>
              <w:t>slow previously serve</w:t>
            </w:r>
            <w:r>
              <w:rPr>
                <w:rFonts w:ascii="Arial" w:eastAsia="Arial" w:hAnsi="Arial" w:cs="Arial"/>
                <w:b w:val="0"/>
                <w:i w:val="0"/>
                <w:sz w:val="18"/>
              </w:rPr>
              <w:t>d as</w:t>
            </w:r>
            <w:r>
              <w:rPr>
                <w:rFonts w:ascii="Arial" w:eastAsia="Arial" w:hAnsi="Arial" w:cs="Arial"/>
                <w:b w:val="0"/>
                <w:i w:val="0"/>
                <w:sz w:val="18"/>
              </w:rPr>
              <w:t xml:space="preserve"> </w:t>
            </w:r>
            <w:r>
              <w:rPr>
                <w:rFonts w:ascii="Arial" w:eastAsia="Arial" w:hAnsi="Arial" w:cs="Arial"/>
                <w:b w:val="0"/>
                <w:i w:val="0"/>
                <w:sz w:val="18"/>
              </w:rPr>
              <w:t xml:space="preserve">Senior Managing Director &amp; Global Head of Capital Markets and Factor Investing of the Canada Pension Plan Investment Board ("CPP Investments"), </w:t>
            </w:r>
            <w:r>
              <w:rPr>
                <w:rFonts w:ascii="Arial" w:eastAsia="Arial" w:hAnsi="Arial" w:cs="Arial"/>
                <w:b w:val="0"/>
                <w:i w:val="0"/>
                <w:sz w:val="18"/>
              </w:rPr>
              <w:t xml:space="preserve">from 2018 until his retirement in May 2022. </w:t>
            </w:r>
            <w:r>
              <w:rPr>
                <w:rFonts w:ascii="Arial" w:eastAsia="Arial" w:hAnsi="Arial" w:cs="Arial"/>
                <w:b w:val="0"/>
                <w:i w:val="0"/>
                <w:sz w:val="18"/>
              </w:rPr>
              <w:t xml:space="preserve">Previously Mr. Winslow served as Head of External Portfolio Management and Head of Thematic Investing for CPP Investments. Prior to joining CPP Investments in 2009, Mr. Winslow had several senior management and investment roles at Nordea Investment Management in Denmark, Sweden and the United States. He also served as the Chief Investment Officer of Andra AP-Fonden (AP2) in Sweden. </w:t>
            </w:r>
          </w:p>
          <w:p>
            <w:pPr>
              <w:pageBreakBefore w:val="0"/>
              <w:numPr>
                <w:ilvl w:val="0"/>
                <w:numId w:val="0"/>
              </w:numPr>
              <w:spacing w:before="100" w:after="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Certain Other Directorships</w:t>
            </w:r>
          </w:p>
          <w:p>
            <w:pPr>
              <w:pageBreakBefore w:val="0"/>
              <w:numPr>
                <w:ilvl w:val="0"/>
                <w:numId w:val="0"/>
              </w:numPr>
              <w:spacing w:before="0" w:after="0" w:line="288" w:lineRule="auto"/>
              <w:ind w:left="180" w:right="0" w:firstLine="0"/>
              <w:jc w:val="both"/>
              <w:outlineLvl w:val="9"/>
              <w:rPr>
                <w:rFonts w:ascii="Arial" w:eastAsia="Arial" w:hAnsi="Arial" w:cs="Arial"/>
                <w:b w:val="0"/>
                <w:i w:val="0"/>
                <w:sz w:val="18"/>
              </w:rPr>
            </w:pPr>
            <w:r>
              <w:rPr>
                <w:rFonts w:ascii="Arial" w:eastAsia="Arial" w:hAnsi="Arial" w:cs="Arial"/>
                <w:b w:val="0"/>
                <w:i w:val="0"/>
                <w:sz w:val="18"/>
              </w:rPr>
              <w:t>Mr. Wi</w:t>
            </w:r>
            <w:r>
              <w:rPr>
                <w:rFonts w:ascii="Arial" w:eastAsia="Arial" w:hAnsi="Arial" w:cs="Arial"/>
                <w:b w:val="0"/>
                <w:i w:val="0"/>
                <w:sz w:val="18"/>
              </w:rPr>
              <w:t>n</w:t>
            </w:r>
            <w:r>
              <w:rPr>
                <w:rFonts w:ascii="Arial" w:eastAsia="Arial" w:hAnsi="Arial" w:cs="Arial"/>
                <w:b w:val="0"/>
                <w:i w:val="0"/>
                <w:sz w:val="18"/>
              </w:rPr>
              <w:t xml:space="preserve">slow is a director </w:t>
            </w:r>
            <w:r>
              <w:rPr>
                <w:rFonts w:ascii="Arial" w:eastAsia="Arial" w:hAnsi="Arial" w:cs="Arial"/>
                <w:b w:val="0"/>
                <w:i w:val="0"/>
                <w:sz w:val="18"/>
              </w:rPr>
              <w:t xml:space="preserve">of </w:t>
            </w:r>
            <w:r>
              <w:rPr>
                <w:rFonts w:ascii="Arial" w:eastAsia="Arial" w:hAnsi="Arial" w:cs="Arial"/>
                <w:b w:val="0"/>
                <w:i w:val="0"/>
                <w:sz w:val="18"/>
              </w:rPr>
              <w:t>the</w:t>
            </w:r>
            <w:r>
              <w:rPr>
                <w:rFonts w:ascii="Arial" w:eastAsia="Arial" w:hAnsi="Arial" w:cs="Arial"/>
                <w:b w:val="0"/>
                <w:i w:val="0"/>
                <w:sz w:val="18"/>
              </w:rPr>
              <w:t xml:space="preserve"> International Centre of Pension Management (ICPM)</w:t>
            </w:r>
            <w:r>
              <w:rPr>
                <w:rFonts w:ascii="Arial" w:eastAsia="Arial" w:hAnsi="Arial" w:cs="Arial"/>
                <w:b w:val="0"/>
                <w:i w:val="0"/>
                <w:sz w:val="18"/>
              </w:rPr>
              <w:t xml:space="preserve">, </w:t>
            </w:r>
            <w:r>
              <w:rPr>
                <w:rFonts w:ascii="Arial" w:eastAsia="Arial" w:hAnsi="Arial" w:cs="Arial"/>
                <w:b w:val="0"/>
                <w:i w:val="0"/>
                <w:sz w:val="18"/>
              </w:rPr>
              <w:t>a</w:t>
            </w:r>
            <w:r>
              <w:rPr>
                <w:rFonts w:ascii="Arial" w:eastAsia="Arial" w:hAnsi="Arial" w:cs="Arial"/>
                <w:b w:val="0"/>
                <w:i w:val="0"/>
                <w:sz w:val="18"/>
              </w:rPr>
              <w:t xml:space="preserve"> global </w:t>
            </w:r>
            <w:r>
              <w:rPr>
                <w:rFonts w:ascii="Arial" w:eastAsia="Arial" w:hAnsi="Arial" w:cs="Arial"/>
                <w:b w:val="0"/>
                <w:i w:val="0"/>
                <w:sz w:val="18"/>
              </w:rPr>
              <w:t>i</w:t>
            </w:r>
            <w:r>
              <w:rPr>
                <w:rFonts w:ascii="Arial" w:eastAsia="Arial" w:hAnsi="Arial" w:cs="Arial"/>
                <w:b w:val="0"/>
                <w:i w:val="0"/>
                <w:sz w:val="18"/>
              </w:rPr>
              <w:t>ndependent non-profit</w:t>
            </w:r>
            <w:r>
              <w:rPr>
                <w:rFonts w:ascii="Arial" w:eastAsia="Arial" w:hAnsi="Arial" w:cs="Arial"/>
                <w:b w:val="0"/>
                <w:i w:val="0"/>
                <w:sz w:val="18"/>
              </w:rPr>
              <w:t xml:space="preserve"> </w:t>
            </w:r>
            <w:r>
              <w:rPr>
                <w:rFonts w:ascii="Arial" w:eastAsia="Arial" w:hAnsi="Arial" w:cs="Arial"/>
                <w:b w:val="0"/>
                <w:i w:val="0"/>
                <w:sz w:val="18"/>
              </w:rPr>
              <w:t>network of pension organizations that focuses on fostering long-term investing, strengthening governance of pension investments, and improving design and governance of pension schemes.</w:t>
            </w:r>
            <w:r>
              <w:rPr>
                <w:rFonts w:ascii="Arial" w:eastAsia="Arial" w:hAnsi="Arial" w:cs="Arial"/>
                <w:b w:val="0"/>
                <w:i w:val="0"/>
                <w:sz w:val="18"/>
              </w:rPr>
              <w:t xml:space="preserve"> He is also a director of </w:t>
            </w:r>
            <w:r>
              <w:rPr>
                <w:rFonts w:ascii="Arial" w:eastAsia="Arial" w:hAnsi="Arial" w:cs="Arial"/>
                <w:b w:val="0"/>
                <w:i w:val="0"/>
                <w:sz w:val="18"/>
              </w:rPr>
              <w:t xml:space="preserve">Exowave ApS, a </w:t>
            </w:r>
            <w:r>
              <w:rPr>
                <w:rFonts w:ascii="Arial" w:eastAsia="Arial" w:hAnsi="Arial" w:cs="Arial"/>
                <w:b w:val="0"/>
                <w:i w:val="0"/>
                <w:sz w:val="18"/>
              </w:rPr>
              <w:t>privately</w:t>
            </w:r>
            <w:r>
              <w:rPr>
                <w:rFonts w:ascii="Arial" w:eastAsia="Arial" w:hAnsi="Arial" w:cs="Arial"/>
                <w:b w:val="0"/>
                <w:i w:val="0"/>
                <w:sz w:val="18"/>
              </w:rPr>
              <w:t xml:space="preserve"> </w:t>
            </w:r>
            <w:r>
              <w:rPr>
                <w:rFonts w:ascii="Arial" w:eastAsia="Arial" w:hAnsi="Arial" w:cs="Arial"/>
                <w:b w:val="0"/>
                <w:i w:val="0"/>
                <w:sz w:val="18"/>
              </w:rPr>
              <w:t>hel</w:t>
            </w:r>
            <w:r>
              <w:rPr>
                <w:rFonts w:ascii="Arial" w:eastAsia="Arial" w:hAnsi="Arial" w:cs="Arial"/>
                <w:b w:val="0"/>
                <w:i w:val="0"/>
                <w:sz w:val="18"/>
              </w:rPr>
              <w:t xml:space="preserve">d </w:t>
            </w:r>
            <w:r>
              <w:rPr>
                <w:rFonts w:ascii="Arial" w:eastAsia="Arial" w:hAnsi="Arial" w:cs="Arial"/>
                <w:b w:val="0"/>
                <w:i w:val="0"/>
                <w:sz w:val="18"/>
              </w:rPr>
              <w:t xml:space="preserve">Danish wave energy startup. </w:t>
            </w:r>
            <w:r>
              <w:rPr>
                <w:rFonts w:ascii="Arial" w:eastAsia="Arial" w:hAnsi="Arial" w:cs="Arial"/>
                <w:b w:val="0"/>
                <w:i w:val="0"/>
                <w:sz w:val="18"/>
              </w:rPr>
              <w:t xml:space="preserve">Mr. Winslow served as a director for the Standards Board for Alternative Investments, an international standard-setting body for the alternative investment industry, </w:t>
            </w:r>
            <w:r>
              <w:rPr>
                <w:rFonts w:ascii="Arial" w:eastAsia="Arial" w:hAnsi="Arial" w:cs="Arial"/>
                <w:b w:val="0"/>
                <w:i w:val="0"/>
                <w:sz w:val="18"/>
              </w:rPr>
              <w:t xml:space="preserve">from </w:t>
            </w:r>
            <w:r>
              <w:rPr>
                <w:rFonts w:ascii="Arial" w:eastAsia="Arial" w:hAnsi="Arial" w:cs="Arial"/>
                <w:b w:val="0"/>
                <w:i w:val="0"/>
                <w:sz w:val="18"/>
              </w:rPr>
              <w:t>S</w:t>
            </w:r>
            <w:r>
              <w:rPr>
                <w:rFonts w:ascii="Arial" w:eastAsia="Arial" w:hAnsi="Arial" w:cs="Arial"/>
                <w:b w:val="0"/>
                <w:i w:val="0"/>
                <w:sz w:val="18"/>
              </w:rPr>
              <w:t>eptember 2015</w:t>
            </w:r>
            <w:r>
              <w:rPr>
                <w:rFonts w:ascii="Arial" w:eastAsia="Arial" w:hAnsi="Arial" w:cs="Arial"/>
                <w:b w:val="0"/>
                <w:i w:val="0"/>
                <w:sz w:val="18"/>
              </w:rPr>
              <w:t xml:space="preserve"> to </w:t>
            </w:r>
            <w:r>
              <w:rPr>
                <w:rFonts w:ascii="Arial" w:eastAsia="Arial" w:hAnsi="Arial" w:cs="Arial"/>
                <w:b w:val="0"/>
                <w:i w:val="0"/>
                <w:sz w:val="18"/>
              </w:rPr>
              <w:t xml:space="preserve">June 2022. He </w:t>
            </w:r>
            <w:r>
              <w:rPr>
                <w:rFonts w:ascii="Arial" w:eastAsia="Arial" w:hAnsi="Arial" w:cs="Arial"/>
                <w:b w:val="0"/>
                <w:i w:val="0"/>
                <w:sz w:val="18"/>
              </w:rPr>
              <w:t xml:space="preserve">also </w:t>
            </w:r>
            <w:r>
              <w:rPr>
                <w:rFonts w:ascii="Arial" w:eastAsia="Arial" w:hAnsi="Arial" w:cs="Arial"/>
                <w:b w:val="0"/>
                <w:i w:val="0"/>
                <w:sz w:val="18"/>
              </w:rPr>
              <w:t>previously served as a director of Viking Cruises Ltd., a private company, from 2016 to 2018.</w:t>
            </w:r>
          </w:p>
          <w:p>
            <w:pPr>
              <w:pageBreakBefore w:val="0"/>
              <w:numPr>
                <w:ilvl w:val="0"/>
                <w:numId w:val="0"/>
              </w:numPr>
              <w:spacing w:before="100" w:after="40" w:line="288" w:lineRule="auto"/>
              <w:ind w:left="18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Skills and Qualifications</w:t>
            </w:r>
          </w:p>
          <w:p>
            <w:pPr>
              <w:pageBreakBefore w:val="0"/>
              <w:numPr>
                <w:ilvl w:val="0"/>
                <w:numId w:val="0"/>
              </w:numPr>
              <w:spacing w:before="0" w:after="0" w:line="288" w:lineRule="auto"/>
              <w:ind w:left="180" w:right="0" w:firstLine="0"/>
              <w:jc w:val="left"/>
              <w:outlineLvl w:val="9"/>
              <w:rPr>
                <w:rFonts w:ascii="Arial" w:eastAsia="Arial" w:hAnsi="Arial" w:cs="Arial"/>
                <w:b w:val="0"/>
                <w:i/>
                <w:sz w:val="18"/>
              </w:rPr>
            </w:pPr>
            <w:r>
              <w:rPr>
                <w:rFonts w:ascii="Arial" w:eastAsia="Arial" w:hAnsi="Arial" w:cs="Arial"/>
                <w:b w:val="0"/>
                <w:i/>
                <w:sz w:val="18"/>
              </w:rPr>
              <w:t>Investment expertise; compensation and governance experience</w:t>
            </w:r>
          </w:p>
          <w:p>
            <w:pPr>
              <w:pageBreakBefore w:val="0"/>
              <w:numPr>
                <w:ilvl w:val="0"/>
                <w:numId w:val="0"/>
              </w:numPr>
              <w:spacing w:before="0" w:after="30" w:line="288" w:lineRule="auto"/>
              <w:ind w:left="180" w:right="0" w:firstLine="0"/>
              <w:jc w:val="both"/>
              <w:outlineLvl w:val="9"/>
              <w:rPr>
                <w:rFonts w:ascii="Arial" w:eastAsia="Arial" w:hAnsi="Arial" w:cs="Arial"/>
                <w:b w:val="0"/>
                <w:i w:val="0"/>
                <w:sz w:val="18"/>
              </w:rPr>
            </w:pPr>
            <w:r>
              <w:rPr>
                <w:rFonts w:ascii="Arial" w:eastAsia="Arial" w:hAnsi="Arial" w:cs="Arial"/>
                <w:b w:val="0"/>
                <w:i w:val="0"/>
                <w:sz w:val="18"/>
              </w:rPr>
              <w:t>Mr. Winslow brings significant investment expertise to our Board gained from his years in senior investment roles, which is highly valuable to our Investment Committee as it oversees our investment strategies and portfolios. His experiences at CPP Investments, including exposure to compensation and governance policies, are valuable in his role on our Compensation Committee.</w:t>
            </w:r>
          </w:p>
        </w:tc>
      </w:tr>
      <w:tr>
        <w:tblPrEx>
          <w:tblW w:w="10260" w:type="dxa"/>
          <w:jc w:val="left"/>
          <w:tblInd w:w="0" w:type="dxa"/>
          <w:tblLayout w:type="fixed"/>
          <w:tblCellMar>
            <w:left w:w="108" w:type="dxa"/>
            <w:right w:w="108" w:type="dxa"/>
          </w:tblCellMar>
        </w:tblPrEx>
        <w:trPr>
          <w:cantSplit/>
          <w:trHeight w:hRule="exact" w:val="1260"/>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105"/>
          <w:jc w:val="left"/>
        </w:trPr>
        <w:tc>
          <w:tcPr>
            <w:tcW w:w="2205" w:type="dxa"/>
            <w:tcBorders>
              <w:top w:val="nil"/>
              <w:left w:val="nil"/>
              <w:bottom w:val="nil"/>
              <w:right w:val="single" w:sz="12" w:space="0" w:color="4494D1"/>
            </w:tcBorders>
            <w:tcMar>
              <w:top w:w="0" w:type="dxa"/>
              <w:left w:w="0" w:type="dxa"/>
              <w:bottom w:w="0" w:type="dxa"/>
              <w:right w:w="0" w:type="dxa"/>
            </w:tcMar>
            <w:vAlign w:val="bottom"/>
          </w:tcPr>
          <w:p>
            <w:pPr>
              <w:keepNext/>
              <w:pageBreakBefore w:val="0"/>
              <w:spacing w:before="0" w:after="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05"/>
          <w:jc w:val="left"/>
        </w:trPr>
        <w:tc>
          <w:tcPr>
            <w:tcW w:w="2205" w:type="dxa"/>
            <w:vMerge w:val="restart"/>
            <w:tcBorders>
              <w:top w:val="nil"/>
              <w:left w:val="nil"/>
              <w:bottom w:val="nil"/>
              <w:right w:val="single" w:sz="12" w:space="0" w:color="4494D1"/>
            </w:tcBorders>
            <w:tcMar>
              <w:top w:w="0" w:type="dxa"/>
              <w:left w:w="53" w:type="dxa"/>
              <w:bottom w:w="0" w:type="dxa"/>
              <w:right w:w="53" w:type="dxa"/>
            </w:tcMar>
            <w:vAlign w:val="top"/>
          </w:tcPr>
          <w:p>
            <w:pPr>
              <w:keepNext/>
              <w:pageBreakBefore w:val="0"/>
              <w:numPr>
                <w:ilvl w:val="0"/>
                <w:numId w:val="0"/>
              </w:numPr>
              <w:spacing w:before="53" w:after="100" w:line="288" w:lineRule="auto"/>
              <w:ind w:left="-43" w:right="72" w:firstLine="0"/>
              <w:jc w:val="left"/>
              <w:outlineLvl w:val="9"/>
              <w:rPr>
                <w:rFonts w:ascii="Arial" w:eastAsia="Arial" w:hAnsi="Arial" w:cs="Arial"/>
                <w:b/>
                <w:i w:val="0"/>
                <w:sz w:val="16"/>
              </w:rPr>
            </w:pPr>
            <w:r>
              <w:rPr>
                <w:rFonts w:ascii="Arial" w:eastAsia="Arial" w:hAnsi="Arial" w:cs="Arial"/>
                <w:b/>
                <w:i w:val="0"/>
                <w:sz w:val="16"/>
              </w:rPr>
              <w:t>Director Since:</w:t>
            </w:r>
            <w:r>
              <w:rPr>
                <w:rFonts w:ascii="Arial" w:eastAsia="Arial" w:hAnsi="Arial" w:cs="Arial"/>
                <w:b w:val="0"/>
                <w:i w:val="0"/>
                <w:sz w:val="16"/>
              </w:rPr>
              <w:t xml:space="preserve"> </w:t>
            </w:r>
            <w:r>
              <w:rPr>
                <w:rFonts w:ascii="Arial" w:eastAsia="Arial" w:hAnsi="Arial" w:cs="Arial"/>
                <w:b w:val="0"/>
                <w:i w:val="0"/>
                <w:color w:val="000000"/>
                <w:sz w:val="16"/>
                <w:u w:val="none"/>
              </w:rPr>
              <w:t>2015</w:t>
            </w:r>
          </w:p>
          <w:p>
            <w:pPr>
              <w:pageBreakBefore w:val="0"/>
              <w:numPr>
                <w:ilvl w:val="0"/>
                <w:numId w:val="0"/>
              </w:numPr>
              <w:spacing w:before="100" w:after="100" w:line="288" w:lineRule="auto"/>
              <w:ind w:left="-43" w:right="72" w:firstLine="0"/>
              <w:jc w:val="left"/>
              <w:outlineLvl w:val="9"/>
              <w:rPr>
                <w:rFonts w:ascii="Arial" w:eastAsia="Arial" w:hAnsi="Arial" w:cs="Arial"/>
                <w:b/>
                <w:i w:val="0"/>
                <w:sz w:val="16"/>
              </w:rPr>
            </w:pPr>
            <w:r>
              <w:rPr>
                <w:rFonts w:ascii="Arial" w:eastAsia="Arial" w:hAnsi="Arial" w:cs="Arial"/>
                <w:b/>
                <w:i w:val="0"/>
                <w:sz w:val="16"/>
              </w:rPr>
              <w:t>Age:</w:t>
            </w:r>
            <w:r>
              <w:rPr>
                <w:rFonts w:ascii="Arial" w:eastAsia="Arial" w:hAnsi="Arial" w:cs="Arial"/>
                <w:b w:val="0"/>
                <w:i w:val="0"/>
                <w:sz w:val="16"/>
              </w:rPr>
              <w:t xml:space="preserve"> </w:t>
            </w:r>
            <w:r>
              <w:rPr>
                <w:rFonts w:ascii="Arial" w:eastAsia="Arial" w:hAnsi="Arial" w:cs="Arial"/>
                <w:b w:val="0"/>
                <w:i w:val="0"/>
                <w:color w:val="000000"/>
                <w:sz w:val="16"/>
                <w:u w:val="none"/>
              </w:rPr>
              <w:t>58</w:t>
            </w:r>
          </w:p>
          <w:p>
            <w:pPr>
              <w:pageBreakBefore w:val="0"/>
              <w:numPr>
                <w:ilvl w:val="0"/>
                <w:numId w:val="0"/>
              </w:numPr>
              <w:spacing w:before="0" w:after="0" w:line="288" w:lineRule="auto"/>
              <w:ind w:left="-43" w:right="72" w:firstLine="0"/>
              <w:jc w:val="left"/>
              <w:outlineLvl w:val="9"/>
              <w:rPr>
                <w:rFonts w:ascii="Arial" w:eastAsia="Arial" w:hAnsi="Arial" w:cs="Arial"/>
                <w:b/>
                <w:i w:val="0"/>
                <w:sz w:val="16"/>
              </w:rPr>
            </w:pPr>
            <w:r>
              <w:rPr>
                <w:rFonts w:ascii="Arial" w:eastAsia="Arial" w:hAnsi="Arial" w:cs="Arial"/>
                <w:b/>
                <w:i w:val="0"/>
                <w:sz w:val="16"/>
              </w:rPr>
              <w:t xml:space="preserve">Enstar Committees: </w:t>
            </w:r>
          </w:p>
          <w:p>
            <w:pPr>
              <w:pageBreakBefore w:val="0"/>
              <w:numPr>
                <w:ilvl w:val="0"/>
                <w:numId w:val="0"/>
              </w:numPr>
              <w:spacing w:before="0" w:after="100" w:line="288" w:lineRule="auto"/>
              <w:ind w:left="-43" w:right="72" w:firstLine="0"/>
              <w:jc w:val="left"/>
              <w:outlineLvl w:val="9"/>
              <w:rPr>
                <w:rFonts w:ascii="Arial" w:eastAsia="Arial" w:hAnsi="Arial" w:cs="Arial"/>
                <w:b/>
                <w:i w:val="0"/>
                <w:sz w:val="16"/>
              </w:rPr>
            </w:pPr>
            <w:r>
              <w:rPr>
                <w:rFonts w:ascii="Arial" w:eastAsia="Arial" w:hAnsi="Arial" w:cs="Arial"/>
                <w:b w:val="0"/>
                <w:i w:val="0"/>
                <w:color w:val="000000"/>
                <w:sz w:val="16"/>
                <w:u w:val="none"/>
              </w:rPr>
              <w:t xml:space="preserve">Human Resources and Compensation </w:t>
            </w:r>
            <w:r>
              <w:rPr>
                <w:rFonts w:ascii="Webdings" w:eastAsia="Webdings" w:hAnsi="Webdings" w:cs="Webdings"/>
                <w:b w:val="0"/>
                <w:i w:val="0"/>
                <w:color w:val="000000"/>
                <w:sz w:val="16"/>
                <w:u w:val="none"/>
              </w:rPr>
              <w:t xml:space="preserve">| </w:t>
            </w:r>
            <w:r>
              <w:rPr>
                <w:rFonts w:ascii="Arial" w:eastAsia="Arial" w:hAnsi="Arial" w:cs="Arial"/>
                <w:b w:val="0"/>
                <w:i w:val="0"/>
                <w:color w:val="000000"/>
                <w:sz w:val="16"/>
                <w:u w:val="none"/>
              </w:rPr>
              <w:t xml:space="preserve">Investment </w:t>
            </w:r>
            <w:r>
              <w:rPr>
                <w:rFonts w:ascii="Webdings" w:eastAsia="Webdings" w:hAnsi="Webdings" w:cs="Webdings"/>
                <w:b w:val="0"/>
                <w:i w:val="0"/>
                <w:color w:val="000000"/>
                <w:sz w:val="16"/>
                <w:u w:val="none"/>
              </w:rPr>
              <w:t xml:space="preserve">| </w:t>
            </w:r>
            <w:r>
              <w:rPr>
                <w:rFonts w:ascii="Arial" w:eastAsia="Arial" w:hAnsi="Arial" w:cs="Arial"/>
                <w:b w:val="0"/>
                <w:i w:val="0"/>
                <w:color w:val="000000"/>
                <w:sz w:val="16"/>
                <w:u w:val="none"/>
              </w:rPr>
              <w:t>Executive</w:t>
            </w:r>
            <w:r>
              <w:rPr>
                <w:rFonts w:ascii="Arial" w:eastAsia="Arial" w:hAnsi="Arial" w:cs="Arial"/>
                <w:b w:val="0"/>
                <w:i w:val="0"/>
                <w:sz w:val="16"/>
              </w:rPr>
              <w:t xml:space="preserve"> </w:t>
            </w:r>
          </w:p>
          <w:p>
            <w:pPr>
              <w:pageBreakBefore w:val="0"/>
              <w:numPr>
                <w:ilvl w:val="0"/>
                <w:numId w:val="0"/>
              </w:numPr>
              <w:spacing w:before="0" w:after="0" w:line="288" w:lineRule="auto"/>
              <w:ind w:left="-43" w:right="0" w:firstLine="0"/>
              <w:jc w:val="left"/>
              <w:outlineLvl w:val="9"/>
              <w:rPr>
                <w:rFonts w:ascii="Arial" w:eastAsia="Arial" w:hAnsi="Arial" w:cs="Arial"/>
                <w:b w:val="0"/>
                <w:i w:val="0"/>
                <w:sz w:val="16"/>
              </w:rPr>
            </w:pPr>
            <w:r>
              <w:rPr>
                <w:rFonts w:ascii="Arial" w:eastAsia="Arial" w:hAnsi="Arial" w:cs="Arial"/>
                <w:b/>
                <w:i w:val="0"/>
                <w:sz w:val="16"/>
              </w:rPr>
              <w:t xml:space="preserve">Residency and </w:t>
            </w:r>
            <w:r>
              <w:rPr>
                <w:rFonts w:ascii="Arial" w:eastAsia="Arial" w:hAnsi="Arial" w:cs="Arial"/>
                <w:b/>
                <w:i w:val="0"/>
                <w:sz w:val="16"/>
              </w:rPr>
              <w:t>Citizenship:</w:t>
            </w:r>
          </w:p>
          <w:p>
            <w:pPr>
              <w:pageBreakBefore w:val="0"/>
              <w:numPr>
                <w:ilvl w:val="0"/>
                <w:numId w:val="0"/>
              </w:numPr>
              <w:spacing w:before="0" w:after="30" w:line="288" w:lineRule="auto"/>
              <w:ind w:left="-43" w:right="0" w:firstLine="0"/>
              <w:jc w:val="left"/>
              <w:outlineLvl w:val="9"/>
              <w:rPr>
                <w:rFonts w:ascii="Arial" w:eastAsia="Arial" w:hAnsi="Arial" w:cs="Arial"/>
                <w:b w:val="0"/>
                <w:i w:val="0"/>
                <w:sz w:val="16"/>
              </w:rPr>
            </w:pPr>
            <w:r>
              <w:rPr>
                <w:rFonts w:ascii="Arial" w:eastAsia="Arial" w:hAnsi="Arial" w:cs="Arial"/>
                <w:b w:val="0"/>
                <w:i w:val="0"/>
                <w:color w:val="000000"/>
                <w:sz w:val="16"/>
                <w:u w:val="none"/>
              </w:rPr>
              <w:t>Canadian resident  |  Canadian and Danish citizen</w:t>
            </w: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20"/>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40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315"/>
          <w:jc w:val="left"/>
        </w:trPr>
        <w:tc>
          <w:tcPr>
            <w:tcW w:w="2205" w:type="dxa"/>
            <w:vMerge/>
            <w:tcBorders>
              <w:top w:val="nil"/>
              <w:left w:val="nil"/>
              <w:bottom w:val="nil"/>
              <w:right w:val="single" w:sz="12" w:space="0" w:color="4494D1"/>
            </w:tcBorders>
          </w:tcPr>
          <w:p>
            <w:pPr>
              <w:keepNext/>
              <w:pageBreakBefore w:val="0"/>
            </w:pPr>
          </w:p>
        </w:tc>
        <w:tc>
          <w:tcPr>
            <w:tcW w:w="8055" w:type="dxa"/>
            <w:vMerge/>
            <w:tcBorders>
              <w:top w:val="nil"/>
              <w:left w:val="nil"/>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2700"/>
          <w:jc w:val="left"/>
        </w:trPr>
        <w:tc>
          <w:tcPr>
            <w:tcW w:w="2205" w:type="dxa"/>
            <w:vMerge/>
            <w:tcBorders>
              <w:top w:val="nil"/>
              <w:left w:val="nil"/>
              <w:bottom w:val="nil"/>
              <w:right w:val="single" w:sz="12" w:space="0" w:color="4494D1"/>
            </w:tcBorders>
          </w:tcPr>
          <w:p>
            <w:pPr>
              <w:pageBreakBefore w:val="0"/>
            </w:pPr>
          </w:p>
        </w:tc>
        <w:tc>
          <w:tcPr>
            <w:tcW w:w="8055" w:type="dxa"/>
            <w:vMerge/>
            <w:tcBorders>
              <w:top w:val="nil"/>
              <w:left w:val="nil"/>
              <w:bottom w:val="nil"/>
              <w:right w:val="nil"/>
            </w:tcBorders>
          </w:tcPr>
          <w:p>
            <w:pPr>
              <w:pageBreakBefore w:val="0"/>
            </w:pPr>
          </w:p>
        </w:tc>
      </w:tr>
    </w:tbl>
    <w:p>
      <w:pPr>
        <w:keepNext/>
        <w:keepLines w:val="0"/>
        <w:pageBreakBefore w:val="0"/>
        <w:widowControl/>
        <w:numPr>
          <w:ilvl w:val="0"/>
          <w:numId w:val="0"/>
        </w:numPr>
        <w:spacing w:before="0" w:after="120" w:line="288" w:lineRule="auto"/>
        <w:ind w:left="0" w:right="0" w:firstLine="0"/>
        <w:jc w:val="left"/>
        <w:outlineLvl w:val="9"/>
        <w:rPr>
          <w:rFonts w:ascii="Times New Roman" w:eastAsia="Times New Roman" w:hAnsi="Times New Roman" w:cs="Times New Roman"/>
          <w:b w:val="0"/>
          <w:i w:val="0"/>
          <w:color w:val="FF0090"/>
          <w:sz w:val="2"/>
          <w:u w:val="none"/>
        </w:rPr>
      </w:pPr>
    </w:p>
    <w:p>
      <w:pPr>
        <w:keepNext/>
        <w:keepLines w:val="0"/>
        <w:pageBreakBefore w:val="0"/>
        <w:widowControl/>
        <w:numPr>
          <w:ilvl w:val="0"/>
          <w:numId w:val="0"/>
        </w:numPr>
        <w:spacing w:before="0" w:after="120" w:line="288" w:lineRule="auto"/>
        <w:ind w:left="0" w:right="0" w:firstLine="0"/>
        <w:jc w:val="left"/>
        <w:outlineLvl w:val="9"/>
        <w:rPr>
          <w:rFonts w:ascii="Times New Roman" w:eastAsia="Times New Roman" w:hAnsi="Times New Roman" w:cs="Times New Roman"/>
          <w:b w:val="0"/>
          <w:i w:val="0"/>
          <w:color w:val="FF0090"/>
          <w:sz w:val="2"/>
          <w:u w:val="none"/>
        </w:rPr>
        <w:sectPr>
          <w:headerReference w:type="default" r:id="rId95"/>
          <w:footerReference w:type="default" r:id="rId96"/>
          <w:pgSz w:w="12240" w:h="15840"/>
          <w:pgMar w:top="855" w:right="990" w:bottom="855" w:left="990" w:header="27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4"/>
          <w:u w:val="none"/>
        </w:rPr>
      </w:pPr>
      <w:bookmarkStart w:id="26" w:name="Section29"/>
      <w:bookmarkEnd w:id="26"/>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DIRECTORSHIP ARRANGEMENTS</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color w:val="000000"/>
          <w:sz w:val="20"/>
          <w:u w:val="none"/>
        </w:rPr>
        <w:t>O</w:t>
      </w:r>
      <w:r>
        <w:rPr>
          <w:rFonts w:ascii="Arial" w:eastAsia="Arial" w:hAnsi="Arial" w:cs="Arial"/>
          <w:b w:val="0"/>
          <w:i w:val="0"/>
          <w:color w:val="000000"/>
          <w:sz w:val="20"/>
          <w:u w:val="none"/>
        </w:rPr>
        <w:t>n June</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3</w:t>
      </w:r>
      <w:r>
        <w:rPr>
          <w:rFonts w:ascii="Arial" w:eastAsia="Arial" w:hAnsi="Arial" w:cs="Arial"/>
          <w:b w:val="0"/>
          <w:i w:val="0"/>
          <w:color w:val="000000"/>
          <w:sz w:val="20"/>
          <w:u w:val="none"/>
        </w:rPr>
        <w:t>,</w:t>
      </w:r>
      <w:r>
        <w:rPr>
          <w:rFonts w:ascii="Arial" w:eastAsia="Arial" w:hAnsi="Arial" w:cs="Arial"/>
          <w:b w:val="0"/>
          <w:i w:val="0"/>
          <w:color w:val="000000"/>
          <w:sz w:val="20"/>
          <w:u w:val="none"/>
        </w:rPr>
        <w:t xml:space="preserve"> 2015, CPP Investments purchased </w:t>
      </w:r>
      <w:r>
        <w:rPr>
          <w:rFonts w:ascii="Arial" w:eastAsia="Arial" w:hAnsi="Arial" w:cs="Arial"/>
          <w:b w:val="0"/>
          <w:i w:val="0"/>
          <w:color w:val="000000"/>
          <w:sz w:val="20"/>
          <w:u w:val="none"/>
        </w:rPr>
        <w:t>1,501,211</w:t>
      </w:r>
      <w:r>
        <w:rPr>
          <w:rFonts w:ascii="Arial" w:eastAsia="Arial" w:hAnsi="Arial" w:cs="Arial"/>
          <w:b w:val="0"/>
          <w:i w:val="0"/>
          <w:color w:val="000000"/>
          <w:sz w:val="20"/>
          <w:u w:val="none"/>
        </w:rPr>
        <w:t xml:space="preserve"> shares of Enstar from fund partnerships that had acquired shares as consideration in one of our acquisitions. In connection with the 2015 transaction: (i) the selling shareholders' rights terminated; and (ii) we and CPP Investments entered into a new Shareholder Rights Agreement granting CPP Investments contractual shareholder rights that were substantially similar to those rights previously held by the selling shareholders, including the right to designate one representative to our Board.</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CPP Investments designated Poul Winslow as a director of the Company, and he was appointed in September 2015. On May 2, 2022, Mr. Winslow retired from CPP Investments, but he continue</w:t>
      </w:r>
      <w:r>
        <w:rPr>
          <w:rFonts w:ascii="Arial" w:eastAsia="Arial" w:hAnsi="Arial" w:cs="Arial"/>
          <w:b w:val="0"/>
          <w:i w:val="0"/>
          <w:color w:val="000000"/>
          <w:sz w:val="20"/>
          <w:u w:val="none"/>
        </w:rPr>
        <w:t>d</w:t>
      </w:r>
      <w:r>
        <w:rPr>
          <w:rFonts w:ascii="Arial" w:eastAsia="Arial" w:hAnsi="Arial" w:cs="Arial"/>
          <w:b w:val="0"/>
          <w:i w:val="0"/>
          <w:color w:val="000000"/>
          <w:sz w:val="20"/>
          <w:u w:val="none"/>
        </w:rPr>
        <w:t xml:space="preserve"> to serve as </w:t>
      </w:r>
      <w:r>
        <w:rPr>
          <w:rFonts w:ascii="Arial" w:eastAsia="Arial" w:hAnsi="Arial" w:cs="Arial"/>
          <w:b w:val="0"/>
          <w:i w:val="0"/>
          <w:color w:val="000000"/>
          <w:sz w:val="20"/>
          <w:u w:val="none"/>
        </w:rPr>
        <w:t>CPP Investments</w:t>
      </w:r>
      <w:r>
        <w:rPr>
          <w:rFonts w:ascii="Arial" w:eastAsia="Arial" w:hAnsi="Arial" w:cs="Arial"/>
          <w:b w:val="0"/>
          <w:i w:val="0"/>
          <w:color w:val="000000"/>
          <w:sz w:val="20"/>
          <w:u w:val="none"/>
        </w:rPr>
        <w:t>'</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designated director representative </w:t>
      </w:r>
      <w:r>
        <w:rPr>
          <w:rFonts w:ascii="Arial" w:eastAsia="Arial" w:hAnsi="Arial" w:cs="Arial"/>
          <w:b w:val="0"/>
          <w:i w:val="0"/>
          <w:color w:val="000000"/>
          <w:sz w:val="20"/>
          <w:u w:val="none"/>
        </w:rPr>
        <w:t xml:space="preserve">while </w:t>
      </w:r>
      <w:r>
        <w:rPr>
          <w:rFonts w:ascii="Arial" w:eastAsia="Arial" w:hAnsi="Arial" w:cs="Arial"/>
          <w:b w:val="0"/>
          <w:i w:val="0"/>
          <w:color w:val="000000"/>
          <w:sz w:val="20"/>
          <w:u w:val="none"/>
        </w:rPr>
        <w:t xml:space="preserve">its designation right </w:t>
      </w:r>
      <w:r>
        <w:rPr>
          <w:rFonts w:ascii="Arial" w:eastAsia="Arial" w:hAnsi="Arial" w:cs="Arial"/>
          <w:b w:val="0"/>
          <w:i w:val="0"/>
          <w:color w:val="000000"/>
          <w:sz w:val="20"/>
          <w:u w:val="none"/>
        </w:rPr>
        <w:t>remained in for</w:t>
      </w:r>
      <w:r>
        <w:rPr>
          <w:rFonts w:ascii="Arial" w:eastAsia="Arial" w:hAnsi="Arial" w:cs="Arial"/>
          <w:b w:val="0"/>
          <w:i w:val="0"/>
          <w:color w:val="000000"/>
          <w:sz w:val="20"/>
          <w:u w:val="none"/>
        </w:rPr>
        <w:t>ce</w:t>
      </w:r>
      <w:r>
        <w:rPr>
          <w:rFonts w:ascii="Arial" w:eastAsia="Arial" w:hAnsi="Arial" w:cs="Arial"/>
          <w:b w:val="0"/>
          <w:i w:val="0"/>
          <w:color w:val="000000"/>
          <w:sz w:val="20"/>
          <w:u w:val="none"/>
        </w:rPr>
        <w:t xml:space="preserve">.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000000"/>
          <w:sz w:val="20"/>
          <w:u w:val="none"/>
        </w:rPr>
      </w:pPr>
      <w:r>
        <w:rPr>
          <w:rFonts w:ascii="Arial" w:eastAsia="Arial" w:hAnsi="Arial" w:cs="Arial"/>
          <w:b w:val="0"/>
          <w:i w:val="0"/>
          <w:color w:val="000000"/>
          <w:sz w:val="20"/>
          <w:u w:val="none"/>
        </w:rPr>
        <w:t xml:space="preserve">Following the repurchase by the Company of all of its non-voting shares held by CPP Investments on March 28, 2023, </w:t>
      </w:r>
      <w:r>
        <w:rPr>
          <w:rFonts w:ascii="Arial" w:eastAsia="Arial" w:hAnsi="Arial" w:cs="Arial"/>
          <w:b w:val="0"/>
          <w:i w:val="0"/>
          <w:color w:val="000000"/>
          <w:sz w:val="20"/>
          <w:u w:val="none"/>
        </w:rPr>
        <w:t xml:space="preserve">a </w:t>
      </w:r>
      <w:r>
        <w:rPr>
          <w:rFonts w:ascii="Arial" w:eastAsia="Arial" w:hAnsi="Arial" w:cs="Arial"/>
          <w:b w:val="0"/>
          <w:i w:val="0"/>
          <w:color w:val="000000"/>
          <w:sz w:val="20"/>
          <w:u w:val="none"/>
        </w:rPr>
        <w:t>subsequent</w:t>
      </w:r>
      <w:r>
        <w:rPr>
          <w:rFonts w:ascii="Arial" w:eastAsia="Arial" w:hAnsi="Arial" w:cs="Arial"/>
          <w:b w:val="0"/>
          <w:i w:val="0"/>
          <w:color w:val="000000"/>
          <w:sz w:val="20"/>
          <w:u w:val="none"/>
        </w:rPr>
        <w:t xml:space="preserve"> repurchase by t</w:t>
      </w:r>
      <w:r>
        <w:rPr>
          <w:rFonts w:ascii="Arial" w:eastAsia="Arial" w:hAnsi="Arial" w:cs="Arial"/>
          <w:b w:val="0"/>
          <w:i w:val="0"/>
          <w:color w:val="000000"/>
          <w:sz w:val="20"/>
          <w:u w:val="none"/>
        </w:rPr>
        <w:t xml:space="preserve">he Company of </w:t>
      </w:r>
      <w:r>
        <w:rPr>
          <w:rFonts w:ascii="Arial" w:eastAsia="Arial" w:hAnsi="Arial" w:cs="Arial"/>
          <w:b w:val="0"/>
          <w:i w:val="0"/>
          <w:color w:val="000000"/>
          <w:sz w:val="20"/>
          <w:u w:val="none"/>
        </w:rPr>
        <w:t>791,735</w:t>
      </w:r>
      <w:r>
        <w:rPr>
          <w:rFonts w:ascii="Arial" w:eastAsia="Arial" w:hAnsi="Arial" w:cs="Arial"/>
          <w:b w:val="0"/>
          <w:i w:val="0"/>
          <w:color w:val="000000"/>
          <w:sz w:val="20"/>
          <w:u w:val="none"/>
        </w:rPr>
        <w:t xml:space="preserve"> of its voting or</w:t>
      </w:r>
      <w:r>
        <w:rPr>
          <w:rFonts w:ascii="Arial" w:eastAsia="Arial" w:hAnsi="Arial" w:cs="Arial"/>
          <w:b w:val="0"/>
          <w:i w:val="0"/>
          <w:color w:val="000000"/>
          <w:sz w:val="20"/>
          <w:u w:val="none"/>
        </w:rPr>
        <w:t xml:space="preserve">dinary shares from CPP </w:t>
      </w:r>
      <w:r>
        <w:rPr>
          <w:rFonts w:ascii="Arial" w:eastAsia="Arial" w:hAnsi="Arial" w:cs="Arial"/>
          <w:b w:val="0"/>
          <w:i w:val="0"/>
          <w:color w:val="000000"/>
          <w:sz w:val="20"/>
          <w:u w:val="none"/>
        </w:rPr>
        <w:t>Investments</w:t>
      </w:r>
      <w:r>
        <w:rPr>
          <w:rFonts w:ascii="Arial" w:eastAsia="Arial" w:hAnsi="Arial" w:cs="Arial"/>
          <w:b w:val="0"/>
          <w:i w:val="0"/>
          <w:color w:val="000000"/>
          <w:sz w:val="20"/>
          <w:u w:val="none"/>
        </w:rPr>
        <w:t xml:space="preserve"> and </w:t>
      </w:r>
      <w:r>
        <w:rPr>
          <w:rFonts w:ascii="Arial" w:eastAsia="Arial" w:hAnsi="Arial" w:cs="Arial"/>
          <w:b w:val="0"/>
          <w:i w:val="0"/>
          <w:color w:val="000000"/>
          <w:sz w:val="20"/>
          <w:u w:val="none"/>
        </w:rPr>
        <w:t>a</w:t>
      </w:r>
      <w:r>
        <w:rPr>
          <w:rFonts w:ascii="Arial" w:eastAsia="Arial" w:hAnsi="Arial" w:cs="Arial"/>
          <w:b w:val="0"/>
          <w:i w:val="0"/>
          <w:color w:val="000000"/>
          <w:sz w:val="20"/>
          <w:u w:val="none"/>
        </w:rPr>
        <w:t>nother</w:t>
      </w:r>
      <w:r>
        <w:rPr>
          <w:rFonts w:ascii="Arial" w:eastAsia="Arial" w:hAnsi="Arial" w:cs="Arial"/>
          <w:b w:val="0"/>
          <w:i w:val="0"/>
          <w:color w:val="000000"/>
          <w:sz w:val="20"/>
          <w:u w:val="none"/>
        </w:rPr>
        <w:t xml:space="preserve"> related party</w:t>
      </w:r>
      <w:r>
        <w:rPr>
          <w:rFonts w:ascii="Arial" w:eastAsia="Arial" w:hAnsi="Arial" w:cs="Arial"/>
          <w:b w:val="0"/>
          <w:i w:val="0"/>
          <w:color w:val="000000"/>
          <w:sz w:val="20"/>
          <w:u w:val="none"/>
        </w:rPr>
        <w:t xml:space="preserve"> on </w:t>
      </w:r>
      <w:r>
        <w:rPr>
          <w:rFonts w:ascii="Arial" w:eastAsia="Arial" w:hAnsi="Arial" w:cs="Arial"/>
          <w:b w:val="0"/>
          <w:i w:val="0"/>
          <w:color w:val="000000"/>
          <w:sz w:val="20"/>
          <w:u w:val="none"/>
        </w:rPr>
        <w:t>Nove</w:t>
      </w:r>
      <w:r>
        <w:rPr>
          <w:rFonts w:ascii="Arial" w:eastAsia="Arial" w:hAnsi="Arial" w:cs="Arial"/>
          <w:b w:val="0"/>
          <w:i w:val="0"/>
          <w:color w:val="000000"/>
          <w:sz w:val="20"/>
          <w:u w:val="none"/>
        </w:rPr>
        <w:t>mber 14, 2023, and a private sale of 803,500 of the Company's voting ordinary shares by CPP Investments to Elk Evergreen Investments, LLC and Elk C</w:t>
      </w:r>
      <w:r>
        <w:rPr>
          <w:rFonts w:ascii="Arial" w:eastAsia="Arial" w:hAnsi="Arial" w:cs="Arial"/>
          <w:b w:val="0"/>
          <w:i w:val="0"/>
          <w:color w:val="000000"/>
          <w:sz w:val="20"/>
          <w:u w:val="none"/>
        </w:rPr>
        <w:t xml:space="preserve">ypress </w:t>
      </w:r>
      <w:r>
        <w:rPr>
          <w:rFonts w:ascii="Arial" w:eastAsia="Arial" w:hAnsi="Arial" w:cs="Arial"/>
          <w:b w:val="0"/>
          <w:i w:val="0"/>
          <w:color w:val="000000"/>
          <w:sz w:val="20"/>
          <w:u w:val="none"/>
        </w:rPr>
        <w:t>Investments</w:t>
      </w:r>
      <w:r>
        <w:rPr>
          <w:rFonts w:ascii="Arial" w:eastAsia="Arial" w:hAnsi="Arial" w:cs="Arial"/>
          <w:b w:val="0"/>
          <w:i w:val="0"/>
          <w:color w:val="000000"/>
          <w:sz w:val="20"/>
          <w:u w:val="none"/>
        </w:rPr>
        <w:t xml:space="preserve"> LLC</w:t>
      </w:r>
      <w:r>
        <w:rPr>
          <w:rFonts w:ascii="Arial" w:eastAsia="Arial" w:hAnsi="Arial" w:cs="Arial"/>
          <w:b w:val="0"/>
          <w:i w:val="0"/>
          <w:color w:val="000000"/>
          <w:sz w:val="20"/>
          <w:u w:val="none"/>
        </w:rPr>
        <w:t xml:space="preserve"> (collectively, the "Sixth Street Shareholders</w:t>
      </w:r>
      <w:r>
        <w:rPr>
          <w:rFonts w:ascii="Arial" w:eastAsia="Arial" w:hAnsi="Arial" w:cs="Arial"/>
          <w:b w:val="0"/>
          <w:i w:val="0"/>
          <w:color w:val="000000"/>
          <w:sz w:val="20"/>
          <w:u w:val="none"/>
        </w:rPr>
        <w:t>") on November 14, 2023</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the "</w:t>
      </w:r>
      <w:r>
        <w:rPr>
          <w:rFonts w:ascii="Arial" w:eastAsia="Arial" w:hAnsi="Arial" w:cs="Arial"/>
          <w:b w:val="0"/>
          <w:i w:val="0"/>
          <w:color w:val="000000"/>
          <w:sz w:val="20"/>
          <w:u w:val="none"/>
        </w:rPr>
        <w:t>Sixth Street-CPP Transaction</w:t>
      </w:r>
      <w:r>
        <w:rPr>
          <w:rFonts w:ascii="Arial" w:eastAsia="Arial" w:hAnsi="Arial" w:cs="Arial"/>
          <w:b w:val="0"/>
          <w:i w:val="0"/>
          <w:color w:val="000000"/>
          <w:sz w:val="20"/>
          <w:u w:val="none"/>
        </w:rPr>
        <w:t>"</w:t>
      </w:r>
      <w:r>
        <w:rPr>
          <w:rFonts w:ascii="Arial" w:eastAsia="Arial" w:hAnsi="Arial" w:cs="Arial"/>
          <w:b w:val="0"/>
          <w:i w:val="0"/>
          <w:color w:val="000000"/>
          <w:sz w:val="20"/>
          <w:u w:val="none"/>
        </w:rPr>
        <w:t>)</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CPP Investments h</w:t>
      </w:r>
      <w:r>
        <w:rPr>
          <w:rFonts w:ascii="Arial" w:eastAsia="Arial" w:hAnsi="Arial" w:cs="Arial"/>
          <w:b w:val="0"/>
          <w:i w:val="0"/>
          <w:color w:val="000000"/>
          <w:sz w:val="20"/>
          <w:u w:val="none"/>
        </w:rPr>
        <w:t>e</w:t>
      </w:r>
      <w:r>
        <w:rPr>
          <w:rFonts w:ascii="Arial" w:eastAsia="Arial" w:hAnsi="Arial" w:cs="Arial"/>
          <w:b w:val="0"/>
          <w:i w:val="0"/>
          <w:color w:val="000000"/>
          <w:sz w:val="20"/>
          <w:u w:val="none"/>
        </w:rPr>
        <w:t>ld</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4.3%</w:t>
      </w:r>
      <w:r>
        <w:rPr>
          <w:rFonts w:ascii="Arial" w:eastAsia="Arial" w:hAnsi="Arial" w:cs="Arial"/>
          <w:b w:val="0"/>
          <w:i w:val="0"/>
          <w:color w:val="000000"/>
          <w:sz w:val="20"/>
          <w:u w:val="none"/>
        </w:rPr>
        <w:t xml:space="preserve"> of </w:t>
      </w:r>
      <w:r>
        <w:rPr>
          <w:rFonts w:ascii="Arial" w:eastAsia="Arial" w:hAnsi="Arial" w:cs="Arial"/>
          <w:b w:val="0"/>
          <w:i w:val="0"/>
          <w:color w:val="000000"/>
          <w:sz w:val="20"/>
          <w:u w:val="none"/>
        </w:rPr>
        <w:t>the Comp</w:t>
      </w:r>
      <w:r>
        <w:rPr>
          <w:rFonts w:ascii="Arial" w:eastAsia="Arial" w:hAnsi="Arial" w:cs="Arial"/>
          <w:b w:val="0"/>
          <w:i w:val="0"/>
          <w:color w:val="000000"/>
          <w:sz w:val="20"/>
          <w:u w:val="none"/>
        </w:rPr>
        <w:t>any's</w:t>
      </w:r>
      <w:r>
        <w:rPr>
          <w:rFonts w:ascii="Arial" w:eastAsia="Arial" w:hAnsi="Arial" w:cs="Arial"/>
          <w:b w:val="0"/>
          <w:i w:val="0"/>
          <w:color w:val="000000"/>
          <w:sz w:val="20"/>
          <w:u w:val="none"/>
        </w:rPr>
        <w:t xml:space="preserve"> outstanding voting ordinary shares</w:t>
      </w:r>
      <w:r>
        <w:rPr>
          <w:rFonts w:ascii="Arial" w:eastAsia="Arial" w:hAnsi="Arial" w:cs="Arial"/>
          <w:b w:val="0"/>
          <w:i w:val="0"/>
          <w:color w:val="000000"/>
          <w:sz w:val="20"/>
          <w:u w:val="none"/>
        </w:rPr>
        <w:t>,</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and </w:t>
      </w:r>
      <w:r>
        <w:rPr>
          <w:rFonts w:ascii="Arial" w:eastAsia="Arial" w:hAnsi="Arial" w:cs="Arial"/>
          <w:b w:val="0"/>
          <w:i w:val="0"/>
          <w:color w:val="000000"/>
          <w:sz w:val="20"/>
          <w:u w:val="none"/>
        </w:rPr>
        <w:t xml:space="preserve">its </w:t>
      </w:r>
      <w:r>
        <w:rPr>
          <w:rFonts w:ascii="Arial" w:eastAsia="Arial" w:hAnsi="Arial" w:cs="Arial"/>
          <w:b w:val="0"/>
          <w:i w:val="0"/>
          <w:color w:val="000000"/>
          <w:sz w:val="20"/>
          <w:u w:val="none"/>
        </w:rPr>
        <w:t>contractual</w:t>
      </w:r>
      <w:r>
        <w:rPr>
          <w:rFonts w:ascii="Arial" w:eastAsia="Arial" w:hAnsi="Arial" w:cs="Arial"/>
          <w:b w:val="0"/>
          <w:i w:val="0"/>
          <w:color w:val="000000"/>
          <w:sz w:val="20"/>
          <w:u w:val="none"/>
        </w:rPr>
        <w:t xml:space="preserve"> entitle</w:t>
      </w:r>
      <w:r>
        <w:rPr>
          <w:rFonts w:ascii="Arial" w:eastAsia="Arial" w:hAnsi="Arial" w:cs="Arial"/>
          <w:b w:val="0"/>
          <w:i w:val="0"/>
          <w:color w:val="000000"/>
          <w:sz w:val="20"/>
          <w:u w:val="none"/>
        </w:rPr>
        <w:t>ment</w:t>
      </w:r>
      <w:r>
        <w:rPr>
          <w:rFonts w:ascii="Arial" w:eastAsia="Arial" w:hAnsi="Arial" w:cs="Arial"/>
          <w:b w:val="0"/>
          <w:i w:val="0"/>
          <w:color w:val="000000"/>
          <w:sz w:val="20"/>
          <w:u w:val="none"/>
        </w:rPr>
        <w:t xml:space="preserve"> to appoint a director representative on the Company's </w:t>
      </w:r>
      <w:r>
        <w:rPr>
          <w:rFonts w:ascii="Arial" w:eastAsia="Arial" w:hAnsi="Arial" w:cs="Arial"/>
          <w:b w:val="0"/>
          <w:i w:val="0"/>
          <w:color w:val="000000"/>
          <w:sz w:val="20"/>
          <w:u w:val="none"/>
        </w:rPr>
        <w:t xml:space="preserve">Board </w:t>
      </w:r>
      <w:r>
        <w:rPr>
          <w:rFonts w:ascii="Arial" w:eastAsia="Arial" w:hAnsi="Arial" w:cs="Arial"/>
          <w:b w:val="0"/>
          <w:i w:val="0"/>
          <w:color w:val="000000"/>
          <w:sz w:val="20"/>
          <w:u w:val="none"/>
        </w:rPr>
        <w:t>terminated</w:t>
      </w:r>
      <w:r>
        <w:rPr>
          <w:rFonts w:ascii="Arial" w:eastAsia="Arial" w:hAnsi="Arial" w:cs="Arial"/>
          <w:b w:val="0"/>
          <w:i w:val="0"/>
          <w:color w:val="000000"/>
          <w:sz w:val="20"/>
          <w:u w:val="none"/>
        </w:rPr>
        <w:t xml:space="preserve"> at s</w:t>
      </w:r>
      <w:r>
        <w:rPr>
          <w:rFonts w:ascii="Arial" w:eastAsia="Arial" w:hAnsi="Arial" w:cs="Arial"/>
          <w:b w:val="0"/>
          <w:i w:val="0"/>
          <w:color w:val="000000"/>
          <w:sz w:val="20"/>
          <w:u w:val="none"/>
        </w:rPr>
        <w:t>uch time</w:t>
      </w:r>
      <w:r>
        <w:rPr>
          <w:rFonts w:ascii="Arial" w:eastAsia="Arial" w:hAnsi="Arial" w:cs="Arial"/>
          <w:b w:val="0"/>
          <w:i w:val="0"/>
          <w:color w:val="000000"/>
          <w:sz w:val="20"/>
          <w:u w:val="none"/>
        </w:rPr>
        <w:t>.</w:t>
      </w:r>
      <w:r>
        <w:rPr>
          <w:rFonts w:ascii="Arial" w:eastAsia="Arial" w:hAnsi="Arial" w:cs="Arial"/>
          <w:b w:val="0"/>
          <w:i w:val="0"/>
          <w:sz w:val="20"/>
        </w:rPr>
        <w:t xml:space="preserve"> </w:t>
      </w:r>
      <w:r>
        <w:rPr>
          <w:rFonts w:ascii="Arial" w:eastAsia="Arial" w:hAnsi="Arial" w:cs="Arial"/>
          <w:b w:val="0"/>
          <w:i w:val="0"/>
          <w:sz w:val="20"/>
        </w:rPr>
        <w:t>Mr. Winslow</w:t>
      </w:r>
      <w:r>
        <w:rPr>
          <w:rFonts w:ascii="Arial" w:eastAsia="Arial" w:hAnsi="Arial" w:cs="Arial"/>
          <w:b w:val="0"/>
          <w:i w:val="0"/>
          <w:sz w:val="20"/>
        </w:rPr>
        <w:t xml:space="preserve"> ceased to serve </w:t>
      </w:r>
      <w:r>
        <w:rPr>
          <w:rFonts w:ascii="Arial" w:eastAsia="Arial" w:hAnsi="Arial" w:cs="Arial"/>
          <w:b w:val="0"/>
          <w:i w:val="0"/>
          <w:sz w:val="20"/>
        </w:rPr>
        <w:t>as CPP Invest</w:t>
      </w:r>
      <w:r>
        <w:rPr>
          <w:rFonts w:ascii="Arial" w:eastAsia="Arial" w:hAnsi="Arial" w:cs="Arial"/>
          <w:b w:val="0"/>
          <w:i w:val="0"/>
          <w:sz w:val="20"/>
        </w:rPr>
        <w:t xml:space="preserve">ments' director representative </w:t>
      </w:r>
      <w:r>
        <w:rPr>
          <w:rFonts w:ascii="Arial" w:eastAsia="Arial" w:hAnsi="Arial" w:cs="Arial"/>
          <w:b w:val="0"/>
          <w:i w:val="0"/>
          <w:sz w:val="20"/>
        </w:rPr>
        <w:t>on</w:t>
      </w:r>
      <w:r>
        <w:rPr>
          <w:rFonts w:ascii="Arial" w:eastAsia="Arial" w:hAnsi="Arial" w:cs="Arial"/>
          <w:b w:val="0"/>
          <w:i w:val="0"/>
          <w:sz w:val="20"/>
        </w:rPr>
        <w:t xml:space="preserve"> November 14, 2023</w:t>
      </w:r>
      <w:r>
        <w:rPr>
          <w:rFonts w:ascii="Arial" w:eastAsia="Arial" w:hAnsi="Arial" w:cs="Arial"/>
          <w:b w:val="0"/>
          <w:i w:val="0"/>
          <w:sz w:val="20"/>
        </w:rPr>
        <w:t xml:space="preserve">, </w:t>
      </w:r>
      <w:r>
        <w:rPr>
          <w:rFonts w:ascii="Arial" w:eastAsia="Arial" w:hAnsi="Arial" w:cs="Arial"/>
          <w:b w:val="0"/>
          <w:i w:val="0"/>
          <w:sz w:val="20"/>
        </w:rPr>
        <w:t xml:space="preserve">and </w:t>
      </w:r>
      <w:r>
        <w:rPr>
          <w:rFonts w:ascii="Arial" w:eastAsia="Arial" w:hAnsi="Arial" w:cs="Arial"/>
          <w:b w:val="0"/>
          <w:i w:val="0"/>
          <w:sz w:val="20"/>
        </w:rPr>
        <w:t xml:space="preserve">he </w:t>
      </w:r>
      <w:r>
        <w:rPr>
          <w:rFonts w:ascii="Arial" w:eastAsia="Arial" w:hAnsi="Arial" w:cs="Arial"/>
          <w:b w:val="0"/>
          <w:i w:val="0"/>
          <w:sz w:val="20"/>
        </w:rPr>
        <w:t>con</w:t>
      </w:r>
      <w:r>
        <w:rPr>
          <w:rFonts w:ascii="Arial" w:eastAsia="Arial" w:hAnsi="Arial" w:cs="Arial"/>
          <w:b w:val="0"/>
          <w:i w:val="0"/>
          <w:sz w:val="20"/>
        </w:rPr>
        <w:t>tin</w:t>
      </w:r>
      <w:r>
        <w:rPr>
          <w:rFonts w:ascii="Arial" w:eastAsia="Arial" w:hAnsi="Arial" w:cs="Arial"/>
          <w:b w:val="0"/>
          <w:i w:val="0"/>
          <w:sz w:val="20"/>
        </w:rPr>
        <w:t>ue</w:t>
      </w:r>
      <w:r>
        <w:rPr>
          <w:rFonts w:ascii="Arial" w:eastAsia="Arial" w:hAnsi="Arial" w:cs="Arial"/>
          <w:b w:val="0"/>
          <w:i w:val="0"/>
          <w:sz w:val="20"/>
        </w:rPr>
        <w:t xml:space="preserve">s to </w:t>
      </w:r>
      <w:r>
        <w:rPr>
          <w:rFonts w:ascii="Arial" w:eastAsia="Arial" w:hAnsi="Arial" w:cs="Arial"/>
          <w:b w:val="0"/>
          <w:i w:val="0"/>
          <w:sz w:val="20"/>
        </w:rPr>
        <w:t>serv</w:t>
      </w:r>
      <w:r>
        <w:rPr>
          <w:rFonts w:ascii="Arial" w:eastAsia="Arial" w:hAnsi="Arial" w:cs="Arial"/>
          <w:b w:val="0"/>
          <w:i w:val="0"/>
          <w:sz w:val="20"/>
        </w:rPr>
        <w:t>e</w:t>
      </w:r>
      <w:r>
        <w:rPr>
          <w:rFonts w:ascii="Arial" w:eastAsia="Arial" w:hAnsi="Arial" w:cs="Arial"/>
          <w:b w:val="0"/>
          <w:i w:val="0"/>
          <w:sz w:val="20"/>
        </w:rPr>
        <w:t xml:space="preserve"> as an inde</w:t>
      </w:r>
      <w:r>
        <w:rPr>
          <w:rFonts w:ascii="Arial" w:eastAsia="Arial" w:hAnsi="Arial" w:cs="Arial"/>
          <w:b w:val="0"/>
          <w:i w:val="0"/>
          <w:sz w:val="20"/>
        </w:rPr>
        <w:t>pendent director of the Board</w:t>
      </w:r>
      <w:r>
        <w:rPr>
          <w:rFonts w:ascii="Arial" w:eastAsia="Arial" w:hAnsi="Arial" w:cs="Arial"/>
          <w:b w:val="0"/>
          <w:i w:val="0"/>
          <w:sz w:val="20"/>
        </w:rPr>
        <w:t xml:space="preserve"> </w:t>
      </w:r>
      <w:r>
        <w:rPr>
          <w:rFonts w:ascii="Arial" w:eastAsia="Arial" w:hAnsi="Arial" w:cs="Arial"/>
          <w:b w:val="0"/>
          <w:i w:val="0"/>
          <w:sz w:val="20"/>
        </w:rPr>
        <w:t>unaffiliated with CPP Investments.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color w:val="000000"/>
          <w:sz w:val="20"/>
          <w:u w:val="none"/>
        </w:rPr>
        <w:t>In connection with the Sixth Street-CPP Transaction, the Company and the Sixth Street Shareholders entered into a Shareholder Rights</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Agreement (the “Shareholder Rights Agreement”) on November 8, 2023. The Shareholder Rights Agreement grants the Sixth Street </w:t>
      </w:r>
      <w:r>
        <w:rPr>
          <w:rFonts w:ascii="Arial" w:eastAsia="Arial" w:hAnsi="Arial" w:cs="Arial"/>
          <w:b w:val="0"/>
          <w:i w:val="0"/>
          <w:color w:val="000000"/>
          <w:sz w:val="20"/>
          <w:u w:val="none"/>
        </w:rPr>
        <w:t>Shareholders</w:t>
      </w:r>
      <w:r>
        <w:rPr>
          <w:rFonts w:ascii="Arial" w:eastAsia="Arial" w:hAnsi="Arial" w:cs="Arial"/>
          <w:b w:val="0"/>
          <w:i w:val="0"/>
          <w:color w:val="000000"/>
          <w:sz w:val="20"/>
          <w:u w:val="none"/>
        </w:rPr>
        <w:t xml:space="preserve"> c</w:t>
      </w:r>
      <w:r>
        <w:rPr>
          <w:rFonts w:ascii="Arial" w:eastAsia="Arial" w:hAnsi="Arial" w:cs="Arial"/>
          <w:b w:val="0"/>
          <w:i w:val="0"/>
          <w:color w:val="000000"/>
          <w:sz w:val="20"/>
          <w:u w:val="none"/>
        </w:rPr>
        <w:t>ertain contractual shareholder rights, including the right to designate one observer to attend meetings of the Company’s Board of Directors. This</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designation right terminates if the Sixth Street Shareholders cease to beneficially own at least 75% of the total number of Shares acquired by the</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Sixth Street Shareholders at the closing of the Sixth Street-CPP Transaction.</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sectPr>
          <w:headerReference w:type="default" r:id="rId97"/>
          <w:footerReference w:type="default" r:id="rId98"/>
          <w:pgSz w:w="12240" w:h="15840"/>
          <w:pgMar w:top="855" w:right="990" w:bottom="855" w:left="990" w:header="27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4"/>
          <w:u w:val="none"/>
        </w:rPr>
      </w:pPr>
      <w:bookmarkStart w:id="27" w:name="Section30"/>
      <w:bookmarkEnd w:id="27"/>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DIRECTOR INDEPENDENCE</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r>
        <w:rPr>
          <w:rFonts w:ascii="Times New Roman" w:eastAsia="Times New Roman" w:hAnsi="Times New Roman" w:cs="Times New Roman"/>
          <w:b w:val="0"/>
          <w:i w:val="0"/>
          <w:color w:val="FF0090"/>
          <w:sz w:val="20"/>
          <w:u w:val="none"/>
        </w:rPr>
        <w:tab/>
      </w:r>
      <w:r>
        <w:rPr>
          <w:rFonts w:ascii="Times New Roman" w:eastAsia="Times New Roman" w:hAnsi="Times New Roman" w:cs="Times New Roman"/>
          <w:b w:val="0"/>
          <w:i w:val="0"/>
          <w:color w:val="FF0090"/>
          <w:sz w:val="20"/>
          <w:u w:val="none"/>
        </w:rPr>
        <w:tab/>
      </w:r>
      <w:r>
        <w:rPr>
          <w:rFonts w:ascii="Times New Roman" w:eastAsia="Times New Roman" w:hAnsi="Times New Roman" w:cs="Times New Roman"/>
          <w:b w:val="0"/>
          <w:i w:val="0"/>
          <w:color w:val="FF0090"/>
          <w:sz w:val="20"/>
          <w:u w:val="none"/>
        </w:rPr>
        <w:t xml:space="preserve">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FF0090"/>
          <w:sz w:val="20"/>
          <w:u w:val="none"/>
        </w:rPr>
      </w:pPr>
      <w:r>
        <w:rPr>
          <w:rFonts w:ascii="Arial" w:eastAsia="Arial" w:hAnsi="Arial" w:cs="Arial"/>
          <w:b w:val="0"/>
          <w:i w:val="0"/>
          <w:sz w:val="20"/>
        </w:rPr>
        <w:t xml:space="preserve">Our Board currently consists of twelve directors, of which ten are non-employee directors, and eight are independent. The Company's Corporate Governance Guidelines provide, and our Board believes, that a majority of its members should be independent directors who meet the criteria for independence required by the Nasdaq listing standards, as determined by the Board. The Charters of our Audit Committee, Human Resources and Compensation Committee, and Nominating and Governance Committee also require that every member of such committees meet the criteria for independence required by the Nasdaq listing standards, as determined by the Board, and in certain instances, enhanced independence standards within the meaning of SEC rules. These requirements are included in the Corporate Governance Guidelines and the committee charters, which are available at </w:t>
      </w:r>
      <w:r>
        <w:rPr>
          <w:rFonts w:ascii="Arial" w:eastAsia="Arial" w:hAnsi="Arial" w:cs="Arial"/>
          <w:b w:val="0"/>
          <w:i/>
          <w:color w:val="4495D1"/>
          <w:sz w:val="18"/>
          <w:u w:val="none"/>
        </w:rPr>
        <w:t>www.enstargroup.com</w:t>
      </w:r>
      <w:r>
        <w:rPr>
          <w:rFonts w:ascii="Arial" w:eastAsia="Arial" w:hAnsi="Arial" w:cs="Arial"/>
          <w:b w:val="0"/>
          <w:i w:val="0"/>
          <w:sz w:val="20"/>
        </w:rPr>
        <w:t xml:space="preserve"> under </w:t>
      </w:r>
      <w:r>
        <w:rPr>
          <w:rFonts w:ascii="Arial" w:eastAsia="Arial" w:hAnsi="Arial" w:cs="Arial"/>
          <w:b w:val="0"/>
          <w:i/>
          <w:sz w:val="20"/>
        </w:rPr>
        <w:t>"Investor Relations" — "Corporate Governance."</w:t>
      </w:r>
      <w:r>
        <w:rPr>
          <w:rFonts w:ascii="Arial" w:eastAsia="Arial" w:hAnsi="Arial" w:cs="Arial"/>
          <w:b w:val="0"/>
          <w:i w:val="0"/>
          <w:sz w:val="20"/>
        </w:rPr>
        <w:t xml:space="preserve"> </w:t>
      </w:r>
    </w:p>
    <w:p>
      <w:pPr>
        <w:keepNext w:val="0"/>
        <w:keepLines w:val="0"/>
        <w:pageBreakBefore w:val="0"/>
        <w:widowControl/>
        <w:numPr>
          <w:ilvl w:val="0"/>
          <w:numId w:val="0"/>
        </w:numPr>
        <w:spacing w:before="0" w:after="120" w:line="300" w:lineRule="auto"/>
        <w:ind w:left="0" w:right="0" w:firstLine="0"/>
        <w:jc w:val="both"/>
        <w:outlineLvl w:val="9"/>
        <w:rPr>
          <w:rFonts w:ascii="Times New Roman" w:eastAsia="Times New Roman" w:hAnsi="Times New Roman" w:cs="Times New Roman"/>
          <w:b w:val="0"/>
          <w:i w:val="0"/>
          <w:color w:val="FF0090"/>
          <w:sz w:val="20"/>
          <w:u w:val="none"/>
        </w:rPr>
        <w:sectPr>
          <w:headerReference w:type="default" r:id="rId99"/>
          <w:footerReference w:type="default" r:id="rId100"/>
          <w:type w:val="continuous"/>
          <w:pgSz w:w="12240" w:h="15840"/>
          <w:pgMar w:top="855" w:right="990" w:bottom="855" w:left="990" w:header="270" w:footer="270"/>
          <w:cols w:space="708"/>
        </w:sectPr>
      </w:pPr>
    </w:p>
    <w:p>
      <w:pPr>
        <w:keepNext w:val="0"/>
        <w:keepLines w:val="0"/>
        <w:pageBreakBefore w:val="0"/>
        <w:widowControl/>
        <w:numPr>
          <w:ilvl w:val="0"/>
          <w:numId w:val="0"/>
        </w:numPr>
        <w:spacing w:before="240" w:after="120" w:line="288" w:lineRule="auto"/>
        <w:ind w:left="0" w:right="0" w:firstLine="0"/>
        <w:jc w:val="left"/>
        <w:outlineLvl w:val="9"/>
        <w:rPr>
          <w:rFonts w:ascii="Arial" w:eastAsia="Arial" w:hAnsi="Arial" w:cs="Arial"/>
          <w:b/>
          <w:i w:val="0"/>
          <w:color w:val="171449"/>
          <w:sz w:val="24"/>
          <w:u w:val="none"/>
        </w:rPr>
      </w:pPr>
      <w:bookmarkStart w:id="28" w:name="Section31"/>
      <w:bookmarkEnd w:id="28"/>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Independence Assessment</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To assess independence, the Nominating and Governance Committee and the Board review the independence of each director at the time of their appointment and no less than annually thereafter. For a director to be considered independent, the Board must determine that the director meets the definition of independence included in Nasdaq Marketplace Rule 5605(a)(2). This requires a determination that the director does not have any direct or indirect material relationship with us, which in the opinion of the Board, would interfere with the exercise of independent judgment in carrying out the responsibilities of a director. In making such determination, the Nominating and Governance Committee and the Board consider all known relevant facts and circumstances, including but not limited to the director’s commercial, industrial, banking, consulting, legal, accounting, investment, charitable and familial relationships known or reported to us in connection with the preparation of this proxy statement or otherwise.</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color w:val="000000"/>
          <w:sz w:val="20"/>
          <w:u w:val="none"/>
        </w:rPr>
        <w:t xml:space="preserve">In making their independence determination, </w:t>
      </w:r>
      <w:r>
        <w:rPr>
          <w:rFonts w:ascii="Arial" w:eastAsia="Arial" w:hAnsi="Arial" w:cs="Arial"/>
          <w:b w:val="0"/>
          <w:i w:val="0"/>
          <w:color w:val="000000"/>
          <w:sz w:val="20"/>
          <w:u w:val="none"/>
        </w:rPr>
        <w:t>the Nominating and Governance Committee and the Board specifically considered the following transaction during 202</w:t>
      </w:r>
      <w:r>
        <w:rPr>
          <w:rFonts w:ascii="Arial" w:eastAsia="Arial" w:hAnsi="Arial" w:cs="Arial"/>
          <w:b w:val="0"/>
          <w:i w:val="0"/>
          <w:color w:val="000000"/>
          <w:sz w:val="20"/>
          <w:u w:val="none"/>
        </w:rPr>
        <w:t>3</w:t>
      </w:r>
      <w:r>
        <w:rPr>
          <w:rFonts w:ascii="Arial" w:eastAsia="Arial" w:hAnsi="Arial" w:cs="Arial"/>
          <w:b w:val="0"/>
          <w:i w:val="0"/>
          <w:color w:val="000000"/>
          <w:sz w:val="20"/>
          <w:u w:val="none"/>
        </w:rPr>
        <w:t xml:space="preserve"> and concluded it did not impair any director's independence:</w:t>
      </w:r>
    </w:p>
    <w:p>
      <w:pPr>
        <w:keepNext/>
        <w:keepLines w:val="0"/>
        <w:pageBreakBefore w:val="0"/>
        <w:widowControl/>
        <w:numPr>
          <w:ilvl w:val="0"/>
          <w:numId w:val="62"/>
        </w:numPr>
        <w:spacing w:before="0" w:after="120" w:line="300" w:lineRule="auto"/>
        <w:ind w:left="720" w:right="0" w:hanging="360"/>
        <w:jc w:val="both"/>
        <w:outlineLvl w:val="9"/>
        <w:rPr>
          <w:rFonts w:ascii="Arial" w:eastAsia="Arial" w:hAnsi="Arial" w:cs="Arial"/>
          <w:b w:val="0"/>
          <w:i w:val="0"/>
          <w:color w:val="4494D1"/>
          <w:sz w:val="20"/>
          <w:u w:val="none"/>
        </w:rPr>
      </w:pPr>
      <w:r>
        <w:rPr>
          <w:rFonts w:ascii="Arial" w:eastAsia="Arial" w:hAnsi="Arial" w:cs="Arial"/>
          <w:b w:val="0"/>
          <w:i w:val="0"/>
          <w:sz w:val="20"/>
        </w:rPr>
        <w:t xml:space="preserve">Upon the recommendation of an independent broker, </w:t>
      </w:r>
      <w:r>
        <w:rPr>
          <w:rFonts w:ascii="Arial" w:eastAsia="Arial" w:hAnsi="Arial" w:cs="Arial"/>
          <w:b w:val="0"/>
          <w:i w:val="0"/>
          <w:sz w:val="20"/>
        </w:rPr>
        <w:t>o</w:t>
      </w:r>
      <w:r>
        <w:rPr>
          <w:rFonts w:ascii="Arial" w:eastAsia="Arial" w:hAnsi="Arial" w:cs="Arial"/>
          <w:b w:val="0"/>
          <w:i w:val="0"/>
          <w:sz w:val="20"/>
        </w:rPr>
        <w:t>ne of our subsidiaries lease</w:t>
      </w:r>
      <w:r>
        <w:rPr>
          <w:rFonts w:ascii="Arial" w:eastAsia="Arial" w:hAnsi="Arial" w:cs="Arial"/>
          <w:b w:val="0"/>
          <w:i w:val="0"/>
          <w:sz w:val="20"/>
        </w:rPr>
        <w:t>d</w:t>
      </w:r>
      <w:r>
        <w:rPr>
          <w:rFonts w:ascii="Arial" w:eastAsia="Arial" w:hAnsi="Arial" w:cs="Arial"/>
          <w:b w:val="0"/>
          <w:i w:val="0"/>
          <w:sz w:val="20"/>
        </w:rPr>
        <w:t xml:space="preserve"> a corporate apartment in a building in Bermuda that is owned by a company in which Ms. Cross and her spouse hold a 40% interest, and in which Ms. Cross's spouse serves as President. </w:t>
      </w:r>
      <w:r>
        <w:rPr>
          <w:rFonts w:ascii="Arial" w:eastAsia="Arial" w:hAnsi="Arial" w:cs="Arial"/>
          <w:b w:val="0"/>
          <w:i w:val="0"/>
          <w:sz w:val="20"/>
        </w:rPr>
        <w:t xml:space="preserve">The lease ended in </w:t>
      </w:r>
      <w:r>
        <w:rPr>
          <w:rFonts w:ascii="Arial" w:eastAsia="Arial" w:hAnsi="Arial" w:cs="Arial"/>
          <w:b w:val="0"/>
          <w:i w:val="0"/>
          <w:sz w:val="20"/>
        </w:rPr>
        <w:t xml:space="preserve">March 2023. </w:t>
      </w:r>
      <w:r>
        <w:rPr>
          <w:rFonts w:ascii="Arial" w:eastAsia="Arial" w:hAnsi="Arial" w:cs="Arial"/>
          <w:b w:val="0"/>
          <w:i w:val="0"/>
          <w:sz w:val="20"/>
        </w:rPr>
        <w:t>Ms. Cross was not involved in the sourcing or negotiations of the transaction. This transaction involved dollar amounts below the amounts that would preclude a finding of independence under Nasdaq listing standards or qualify it as a related party transaction.</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Consistent with these considerations and based on the report and recommendation of the Nominating and Governance Committee, the Board affirmatively determined that:</w:t>
      </w:r>
    </w:p>
    <w:p>
      <w:pPr>
        <w:keepNext w:val="0"/>
        <w:keepLines w:val="0"/>
        <w:pageBreakBefore w:val="0"/>
        <w:widowControl/>
        <w:numPr>
          <w:ilvl w:val="0"/>
          <w:numId w:val="63"/>
        </w:numPr>
        <w:spacing w:before="0" w:after="120" w:line="300" w:lineRule="auto"/>
        <w:ind w:left="720" w:right="0" w:hanging="360"/>
        <w:jc w:val="both"/>
        <w:outlineLvl w:val="9"/>
        <w:rPr>
          <w:rFonts w:ascii="Arial" w:eastAsia="Arial" w:hAnsi="Arial" w:cs="Arial"/>
          <w:b w:val="0"/>
          <w:i w:val="0"/>
          <w:color w:val="4494D1"/>
          <w:sz w:val="20"/>
          <w:u w:val="none"/>
        </w:rPr>
      </w:pPr>
      <w:r>
        <w:rPr>
          <w:rFonts w:ascii="Arial" w:eastAsia="Arial" w:hAnsi="Arial" w:cs="Arial"/>
          <w:b w:val="0"/>
          <w:i w:val="0"/>
          <w:sz w:val="20"/>
        </w:rPr>
        <w:t>Messrs. Campbell, Becker, Gerhardt, Hendry, Patel, and Winslow and Mmes. Beesley, and Cross qualify as non-employee directors within the meaning of Rule 16b-3 under the Securities Exchange Act of 1934, as amended (the "Exchange Act"), and are independent within the meaning of Nasdaq Marketplace Rule 5605(a)(2);</w:t>
      </w:r>
    </w:p>
    <w:p>
      <w:pPr>
        <w:keepNext w:val="0"/>
        <w:keepLines w:val="0"/>
        <w:pageBreakBefore w:val="0"/>
        <w:widowControl/>
        <w:numPr>
          <w:ilvl w:val="0"/>
          <w:numId w:val="64"/>
        </w:numPr>
        <w:spacing w:before="0" w:after="120" w:line="300" w:lineRule="auto"/>
        <w:ind w:left="720" w:right="0" w:hanging="360"/>
        <w:jc w:val="both"/>
        <w:outlineLvl w:val="9"/>
        <w:rPr>
          <w:rFonts w:ascii="Arial" w:eastAsia="Arial" w:hAnsi="Arial" w:cs="Arial"/>
          <w:b w:val="0"/>
          <w:i w:val="0"/>
          <w:color w:val="4494D1"/>
          <w:sz w:val="20"/>
          <w:u w:val="none"/>
        </w:rPr>
      </w:pPr>
      <w:r>
        <w:rPr>
          <w:rFonts w:ascii="Arial" w:eastAsia="Arial" w:hAnsi="Arial" w:cs="Arial"/>
          <w:b w:val="0"/>
          <w:i w:val="0"/>
          <w:sz w:val="20"/>
        </w:rPr>
        <w:t>Messrs. Campbell, Becker, and Patel and Ms. Cross meet the enhanced independence standards defined in Nasdaq Marketplace Rule 5605(c)(2) and Rule 10A-3(b) of the Exchange Act, with respect to members of the Audit Committee;</w:t>
      </w:r>
    </w:p>
    <w:p>
      <w:pPr>
        <w:keepNext w:val="0"/>
        <w:keepLines w:val="0"/>
        <w:pageBreakBefore w:val="0"/>
        <w:widowControl/>
        <w:numPr>
          <w:ilvl w:val="0"/>
          <w:numId w:val="65"/>
        </w:numPr>
        <w:spacing w:before="0" w:after="120" w:line="300" w:lineRule="auto"/>
        <w:ind w:left="720" w:right="0" w:hanging="360"/>
        <w:jc w:val="both"/>
        <w:outlineLvl w:val="9"/>
        <w:rPr>
          <w:rFonts w:ascii="Arial" w:eastAsia="Arial" w:hAnsi="Arial" w:cs="Arial"/>
          <w:b w:val="0"/>
          <w:i w:val="0"/>
          <w:color w:val="4494D1"/>
          <w:sz w:val="20"/>
          <w:u w:val="none"/>
        </w:rPr>
      </w:pPr>
      <w:r>
        <w:rPr>
          <w:rFonts w:ascii="Arial" w:eastAsia="Arial" w:hAnsi="Arial" w:cs="Arial"/>
          <w:b w:val="0"/>
          <w:i w:val="0"/>
          <w:sz w:val="20"/>
        </w:rPr>
        <w:t>Messrs. Campbell, Becker, Gerhardt, and Winslow meet the enhanced independence standards defined in Nasdaq Marketplace Rule 5605(d)(2)(A) and Rule 10C-1(b)(1)(ii)(A) and (B) of the Exchange Act, with respect to members of the Human Resources and Compensation Committee;</w:t>
      </w:r>
    </w:p>
    <w:p>
      <w:pPr>
        <w:keepNext w:val="0"/>
        <w:keepLines w:val="0"/>
        <w:pageBreakBefore w:val="0"/>
        <w:widowControl/>
        <w:numPr>
          <w:ilvl w:val="0"/>
          <w:numId w:val="66"/>
        </w:numPr>
        <w:spacing w:before="0" w:after="120" w:line="300" w:lineRule="auto"/>
        <w:ind w:left="720" w:right="0" w:hanging="360"/>
        <w:jc w:val="both"/>
        <w:outlineLvl w:val="9"/>
        <w:rPr>
          <w:rFonts w:ascii="Arial" w:eastAsia="Arial" w:hAnsi="Arial" w:cs="Arial"/>
          <w:b w:val="0"/>
          <w:i w:val="0"/>
          <w:color w:val="4494D1"/>
          <w:sz w:val="20"/>
          <w:u w:val="none"/>
        </w:rPr>
      </w:pPr>
      <w:r>
        <w:rPr>
          <w:rFonts w:ascii="Arial" w:eastAsia="Arial" w:hAnsi="Arial" w:cs="Arial"/>
          <w:b w:val="0"/>
          <w:i w:val="0"/>
          <w:sz w:val="20"/>
        </w:rPr>
        <w:t xml:space="preserve">Mr. Carey is a non-employee director within the meaning of Rule 16b-3 under the Exchange Act, but is not independent within the meaning of Nasdaq Marketplace Rule 5605(a)(2) due to matters described under "Certain Relationships and Related Transactions" beginning on page </w:t>
      </w:r>
      <w:r>
        <w:rPr>
          <w:rFonts w:ascii="Arial" w:eastAsia="Arial" w:hAnsi="Arial" w:cs="Arial"/>
          <w:b w:val="0"/>
          <w:i w:val="0"/>
          <w:color w:val="0000FF"/>
          <w:sz w:val="20"/>
          <w:u w:val="single"/>
        </w:rPr>
        <w:fldChar w:fldCharType="begin"/>
      </w:r>
      <w:r>
        <w:rPr>
          <w:rFonts w:ascii="Arial" w:eastAsia="Arial" w:hAnsi="Arial" w:cs="Arial"/>
          <w:b w:val="0"/>
          <w:i w:val="0"/>
          <w:color w:val="0000FF"/>
          <w:sz w:val="20"/>
          <w:u w:val="single"/>
        </w:rPr>
        <w:instrText xml:space="preserve"> PAGEREF </w:instrText>
      </w:r>
      <w:r>
        <w:rPr>
          <w:rFonts w:ascii="Arial" w:eastAsia="Arial" w:hAnsi="Arial" w:cs="Arial"/>
          <w:b w:val="0"/>
          <w:i w:val="0"/>
          <w:color w:val="0000FF"/>
          <w:sz w:val="20"/>
          <w:u w:val="single"/>
        </w:rPr>
        <w:instrText xml:space="preserve"> </w:instrText>
      </w:r>
      <w:r>
        <w:rPr>
          <w:rFonts w:ascii="Arial" w:eastAsia="Arial" w:hAnsi="Arial" w:cs="Arial"/>
          <w:b w:val="0"/>
          <w:i w:val="0"/>
          <w:color w:val="0000FF"/>
          <w:sz w:val="20"/>
          <w:u w:val="single"/>
        </w:rPr>
        <w:instrText>Section131</w:instrText>
      </w:r>
      <w:r>
        <w:rPr>
          <w:rFonts w:ascii="Arial" w:eastAsia="Arial" w:hAnsi="Arial" w:cs="Arial"/>
          <w:b w:val="0"/>
          <w:i w:val="0"/>
          <w:color w:val="0000FF"/>
          <w:sz w:val="20"/>
          <w:u w:val="single"/>
        </w:rPr>
        <w:instrText xml:space="preserve"> \h</w:instrText>
      </w:r>
      <w:r>
        <w:rPr>
          <w:rFonts w:ascii="Arial" w:eastAsia="Arial" w:hAnsi="Arial" w:cs="Arial"/>
          <w:b w:val="0"/>
          <w:i w:val="0"/>
          <w:color w:val="0000FF"/>
          <w:sz w:val="20"/>
          <w:u w:val="single"/>
        </w:rPr>
        <w:fldChar w:fldCharType="separate"/>
      </w:r>
      <w:r>
        <w:rPr>
          <w:rFonts w:ascii="Arial" w:eastAsia="Arial" w:hAnsi="Arial" w:cs="Arial"/>
          <w:b w:val="0"/>
          <w:i w:val="0"/>
          <w:color w:val="0000FF"/>
          <w:sz w:val="20"/>
          <w:u w:val="single"/>
        </w:rPr>
        <w:t>104</w:t>
      </w:r>
      <w:r>
        <w:rPr>
          <w:rFonts w:ascii="Arial" w:eastAsia="Arial" w:hAnsi="Arial" w:cs="Arial"/>
          <w:b w:val="0"/>
          <w:i w:val="0"/>
          <w:color w:val="0000FF"/>
          <w:sz w:val="20"/>
          <w:u w:val="single"/>
        </w:rPr>
        <w:fldChar w:fldCharType="end"/>
      </w:r>
      <w:r>
        <w:rPr>
          <w:rFonts w:ascii="Arial" w:eastAsia="Arial" w:hAnsi="Arial" w:cs="Arial"/>
          <w:b w:val="0"/>
          <w:i w:val="0"/>
          <w:sz w:val="20"/>
        </w:rPr>
        <w:t xml:space="preserve"> of this proxy statement;</w:t>
      </w:r>
    </w:p>
    <w:p>
      <w:pPr>
        <w:keepNext w:val="0"/>
        <w:keepLines w:val="0"/>
        <w:pageBreakBefore w:val="0"/>
        <w:widowControl/>
        <w:numPr>
          <w:ilvl w:val="0"/>
          <w:numId w:val="67"/>
        </w:numPr>
        <w:spacing w:before="0" w:after="120" w:line="300" w:lineRule="auto"/>
        <w:ind w:left="720" w:right="0" w:hanging="360"/>
        <w:jc w:val="both"/>
        <w:outlineLvl w:val="9"/>
        <w:rPr>
          <w:rFonts w:ascii="Arial" w:eastAsia="Arial" w:hAnsi="Arial" w:cs="Arial"/>
          <w:b w:val="0"/>
          <w:i w:val="0"/>
          <w:color w:val="4494D1"/>
          <w:sz w:val="20"/>
          <w:u w:val="none"/>
        </w:rPr>
      </w:pPr>
      <w:r>
        <w:rPr>
          <w:rFonts w:ascii="Arial" w:eastAsia="Arial" w:hAnsi="Arial" w:cs="Arial"/>
          <w:b w:val="0"/>
          <w:i w:val="0"/>
          <w:sz w:val="20"/>
        </w:rPr>
        <w:t>Mr. O'Shea is a non-employee director within the meaning of Rule 16b-3 under the Exchange Act, but is not independent within the meaning of Nasdaq Marketplace Rule 5605(a)(2) due to his recent service with us as an executive officer; and</w:t>
      </w:r>
    </w:p>
    <w:p>
      <w:pPr>
        <w:keepNext w:val="0"/>
        <w:keepLines w:val="0"/>
        <w:pageBreakBefore w:val="0"/>
        <w:widowControl/>
        <w:numPr>
          <w:ilvl w:val="0"/>
          <w:numId w:val="68"/>
        </w:numPr>
        <w:spacing w:before="0" w:after="120" w:line="300" w:lineRule="auto"/>
        <w:ind w:left="720" w:right="0" w:hanging="360"/>
        <w:jc w:val="both"/>
        <w:outlineLvl w:val="9"/>
        <w:rPr>
          <w:rFonts w:ascii="Arial" w:eastAsia="Arial" w:hAnsi="Arial" w:cs="Arial"/>
          <w:b w:val="0"/>
          <w:i w:val="0"/>
          <w:color w:val="4494D1"/>
          <w:sz w:val="20"/>
          <w:u w:val="none"/>
        </w:rPr>
      </w:pPr>
      <w:r>
        <w:rPr>
          <w:rFonts w:ascii="Arial" w:eastAsia="Arial" w:hAnsi="Arial" w:cs="Arial"/>
          <w:b w:val="0"/>
          <w:i w:val="0"/>
          <w:sz w:val="20"/>
        </w:rPr>
        <w:t>Mr. Silvester and Ms. Gregory are management directors and are not independent due to their service with us as executive officers.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For details about certain relationships and transactions among us and our executive officers and directors, see "Certain Relationships and Related Transactions."</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101"/>
          <w:footerReference w:type="default" r:id="rId102"/>
          <w:type w:val="continuous"/>
          <w:pgSz w:w="12240" w:h="15840"/>
          <w:pgMar w:top="855" w:right="990" w:bottom="855" w:left="990" w:header="27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4"/>
          <w:u w:val="none"/>
        </w:rPr>
      </w:pPr>
      <w:bookmarkStart w:id="29" w:name="Section32"/>
      <w:bookmarkEnd w:id="29"/>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COMMITTEES OF THE BOARD</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Our Board has six standing committees: the Audit Committee, the Human Resources and Compensation Committee, the Nominating and Governance Committee, the Risk Committee, the Investment Committee, and the Executive Committee. Details of the composition and primary responsibilities of each of the Board's standing committees are summarized in the sections titled "Committee Membership" and "Information about our Committees" below.</w:t>
      </w:r>
    </w:p>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sectPr>
          <w:headerReference w:type="default" r:id="rId103"/>
          <w:footerReference w:type="default" r:id="rId104"/>
          <w:type w:val="continuous"/>
          <w:pgSz w:w="12240" w:h="15840"/>
          <w:pgMar w:top="855" w:right="990" w:bottom="855" w:left="990" w:header="270" w:footer="270"/>
          <w:cols w:space="708"/>
        </w:sectPr>
      </w:pPr>
    </w:p>
    <w:p>
      <w:pPr>
        <w:keepNext w:val="0"/>
        <w:keepLines w:val="0"/>
        <w:pageBreakBefore w:val="0"/>
        <w:widowControl/>
        <w:numPr>
          <w:ilvl w:val="0"/>
          <w:numId w:val="0"/>
        </w:numPr>
        <w:spacing w:before="240" w:after="120" w:line="288" w:lineRule="auto"/>
        <w:ind w:left="0" w:right="0" w:firstLine="0"/>
        <w:jc w:val="left"/>
        <w:outlineLvl w:val="9"/>
        <w:rPr>
          <w:rFonts w:ascii="Arial" w:eastAsia="Arial" w:hAnsi="Arial" w:cs="Arial"/>
          <w:b/>
          <w:i w:val="0"/>
          <w:color w:val="171449"/>
          <w:sz w:val="24"/>
          <w:u w:val="none"/>
        </w:rPr>
      </w:pPr>
      <w:bookmarkStart w:id="30" w:name="Section33"/>
      <w:bookmarkEnd w:id="30"/>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Committee Membership</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 Board appoints members of its committees annually, with the Nominating and Governance Committee reviewing and recommending committee membership. Interim changes to committee membership may be made by the Board, upon recommendation from the Nominating and Governance Committee, following director appointments, resignations, or periodic reviews considering the changing needs of our business or Board. When determining committee composition and leadership, both the Nominating and Governance Committee and the Board may consider a variety of factors including: committee composition requirements set out in each committee's charter, individual director experience and qualifications, director independence, time commitments and constraints, the results of previous Board or committee evaluations, director tenure, succession planning and refreshment needs, diversity, and such other factors as thought appropriate from time to time.</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105"/>
          <w:footerReference w:type="default" r:id="rId106"/>
          <w:type w:val="continuous"/>
          <w:pgSz w:w="12240" w:h="15840"/>
          <w:pgMar w:top="855" w:right="990" w:bottom="855" w:left="990" w:header="27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31" w:name="Section34"/>
      <w:bookmarkEnd w:id="31"/>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Information About Our Committees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i w:val="0"/>
          <w:sz w:val="20"/>
        </w:rPr>
      </w:pPr>
      <w:r>
        <w:rPr>
          <w:rFonts w:ascii="Arial" w:eastAsia="Arial" w:hAnsi="Arial" w:cs="Arial"/>
          <w:b w:val="0"/>
          <w:i w:val="0"/>
          <w:sz w:val="20"/>
        </w:rPr>
        <w:t xml:space="preserve">Our committees operate under written charters that have been approved by the Board, and each Committee reviews its charter annually and recommends any proposed changes to the Board. Current copies of the charters for all of our committees are available on our website at </w:t>
      </w:r>
      <w:r>
        <w:rPr>
          <w:rFonts w:ascii="Arial" w:eastAsia="Arial" w:hAnsi="Arial" w:cs="Arial"/>
          <w:b w:val="0"/>
          <w:i/>
          <w:color w:val="4495D1"/>
          <w:sz w:val="18"/>
          <w:u w:val="none"/>
        </w:rPr>
        <w:t>http://www.enstargroup.com/corporate-governance.</w:t>
      </w:r>
      <w:r>
        <w:rPr>
          <w:rFonts w:ascii="Arial" w:eastAsia="Arial" w:hAnsi="Arial" w:cs="Arial"/>
          <w:b w:val="0"/>
          <w:i w:val="0"/>
          <w:sz w:val="20"/>
        </w:rPr>
        <w:t xml:space="preserve"> In addition, any shareholder may receive copies of these documents in print, without charge, by contacting the Corporate Secretary at </w:t>
      </w:r>
      <w:r>
        <w:rPr>
          <w:rFonts w:ascii="Arial" w:eastAsia="Arial" w:hAnsi="Arial" w:cs="Arial"/>
          <w:b w:val="0"/>
          <w:i w:val="0"/>
          <w:color w:val="000000"/>
          <w:sz w:val="20"/>
          <w:u w:val="none"/>
        </w:rPr>
        <w:t>Enstar Group Limited, P.O. Box HM 2267, A.S. Cooper Building, 4th Floor, 26 Reid Street, Hamilton, HM 11, Bermuda</w:t>
      </w:r>
      <w:r>
        <w:rPr>
          <w:rFonts w:ascii="Arial" w:eastAsia="Arial" w:hAnsi="Arial" w:cs="Arial"/>
          <w:b w:val="0"/>
          <w:i w:val="0"/>
          <w:sz w:val="20"/>
        </w:rPr>
        <w:t>. The primary responsibilities of each of our committees are described below.</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500"/>
        <w:gridCol w:w="1305"/>
        <w:gridCol w:w="1305"/>
        <w:gridCol w:w="1305"/>
        <w:gridCol w:w="1305"/>
        <w:gridCol w:w="180"/>
        <w:gridCol w:w="1800"/>
        <w:gridCol w:w="1560"/>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65"/>
        </w:trPr>
        <w:tc>
          <w:tcPr>
            <w:tcW w:w="6720" w:type="dxa"/>
            <w:gridSpan w:val="5"/>
            <w:tcBorders>
              <w:top w:val="single" w:sz="12" w:space="0" w:color="4494D1"/>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i w:val="0"/>
                <w:color w:val="4494D1"/>
                <w:sz w:val="24"/>
                <w:u w:val="none"/>
              </w:rPr>
            </w:pPr>
            <w:r>
              <w:rPr>
                <w:rFonts w:ascii="Arial" w:eastAsia="Arial" w:hAnsi="Arial" w:cs="Arial"/>
                <w:b/>
                <w:i w:val="0"/>
                <w:color w:val="4494D1"/>
                <w:sz w:val="24"/>
                <w:u w:val="none"/>
              </w:rPr>
              <w:t>Audit Committee</w:t>
            </w:r>
          </w:p>
        </w:tc>
        <w:tc>
          <w:tcPr>
            <w:tcW w:w="180"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1560"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60"/>
        </w:trPr>
        <w:tc>
          <w:tcPr>
            <w:tcW w:w="6720" w:type="dxa"/>
            <w:gridSpan w:val="5"/>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8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85"/>
        </w:trPr>
        <w:tc>
          <w:tcPr>
            <w:tcW w:w="15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4494D1"/>
                <w:sz w:val="18"/>
                <w:u w:val="none"/>
              </w:rPr>
              <w:t>CHAIR</w:t>
            </w:r>
          </w:p>
        </w:tc>
        <w:tc>
          <w:tcPr>
            <w:tcW w:w="13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4494D1"/>
                <w:sz w:val="18"/>
                <w:u w:val="none"/>
              </w:rPr>
              <w:t>MEMBERS</w:t>
            </w: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4494D1"/>
                <w:sz w:val="18"/>
                <w:u w:val="none"/>
              </w:rPr>
              <w:t xml:space="preserve">MEETINGS HELD </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85"/>
        </w:trPr>
        <w:tc>
          <w:tcPr>
            <w:tcW w:w="1500"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76" type="#_x0000_t75" style="width:37.47pt;height:43.5pt">
                  <v:imagedata r:id="rId48" o:title=""/>
                  <o:lock v:ext="edit" aspectratio="t"/>
                </v:shape>
              </w:pict>
            </w:r>
          </w:p>
        </w:tc>
        <w:tc>
          <w:tcPr>
            <w:tcW w:w="1305"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77" type="#_x0000_t75" style="width:37.94pt;height:43.5pt">
                  <v:imagedata r:id="rId46" o:title=""/>
                  <o:lock v:ext="edit" aspectratio="t"/>
                </v:shape>
              </w:pict>
            </w:r>
          </w:p>
        </w:tc>
        <w:tc>
          <w:tcPr>
            <w:tcW w:w="1305"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78" type="#_x0000_t75" style="width:38.03pt;height:43.5pt">
                  <v:imagedata r:id="rId50" o:title=""/>
                  <o:lock v:ext="edit" aspectratio="t"/>
                </v:shape>
              </w:pict>
            </w:r>
          </w:p>
        </w:tc>
        <w:tc>
          <w:tcPr>
            <w:tcW w:w="1305"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79" type="#_x0000_t75" style="width:34.83pt;height:43.5pt">
                  <v:imagedata r:id="rId55" o:title=""/>
                  <o:lock v:ext="edit" aspectratio="t"/>
                </v:shape>
              </w:pict>
            </w:r>
          </w:p>
        </w:tc>
        <w:tc>
          <w:tcPr>
            <w:tcW w:w="1305" w:type="dxa"/>
            <w:vMerge w:val="restart"/>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88" w:lineRule="auto"/>
              <w:ind w:left="0" w:right="0" w:firstLine="0"/>
              <w:jc w:val="left"/>
              <w:outlineLvl w:val="9"/>
              <w:rPr>
                <w:rFonts w:ascii="Arial" w:eastAsia="Arial" w:hAnsi="Arial" w:cs="Arial"/>
                <w:b/>
                <w:i w:val="0"/>
                <w:color w:val="4494D1"/>
                <w:sz w:val="18"/>
                <w:u w:val="none"/>
              </w:rPr>
            </w:pPr>
            <w:r>
              <w:rPr>
                <w:rFonts w:ascii="Arial" w:eastAsia="Arial" w:hAnsi="Arial" w:cs="Arial"/>
                <w:b/>
                <w:i w:val="0"/>
                <w:color w:val="4494D1"/>
                <w:sz w:val="18"/>
                <w:u w:val="none"/>
              </w:rPr>
              <w:t xml:space="preserve">IN </w:t>
            </w:r>
            <w:r>
              <w:rPr>
                <w:rFonts w:ascii="Arial" w:eastAsia="Arial" w:hAnsi="Arial" w:cs="Arial"/>
                <w:b/>
                <w:i w:val="0"/>
                <w:color w:val="4494D1"/>
                <w:sz w:val="18"/>
                <w:u w:val="none"/>
              </w:rPr>
              <w:t>2023</w:t>
            </w:r>
            <w:r>
              <w:rPr>
                <w:rFonts w:ascii="Arial" w:eastAsia="Arial" w:hAnsi="Arial" w:cs="Arial"/>
                <w:b/>
                <w:i w:val="0"/>
                <w:color w:val="4494D1"/>
                <w:sz w:val="18"/>
                <w:u w:val="none"/>
              </w:rPr>
              <w:t>:</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85"/>
        </w:trPr>
        <w:tc>
          <w:tcPr>
            <w:tcW w:w="1500"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i w:val="0"/>
                <w:sz w:val="28"/>
              </w:rPr>
            </w:pPr>
            <w:r>
              <w:rPr>
                <w:rFonts w:ascii="Arial" w:eastAsia="Arial" w:hAnsi="Arial" w:cs="Arial"/>
                <w:b/>
                <w:i w:val="0"/>
                <w:color w:val="000000"/>
                <w:sz w:val="28"/>
                <w:u w:val="none"/>
              </w:rPr>
              <w:t>7</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165"/>
        </w:trPr>
        <w:tc>
          <w:tcPr>
            <w:tcW w:w="1500"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195"/>
        </w:trPr>
        <w:tc>
          <w:tcPr>
            <w:tcW w:w="1500"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3360" w:type="dxa"/>
            <w:gridSpan w:val="2"/>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4494D1"/>
                <w:sz w:val="18"/>
                <w:u w:val="none"/>
              </w:rPr>
              <w:t>INDEPENDENCE</w:t>
            </w:r>
          </w:p>
        </w:tc>
      </w:tr>
      <w:tr>
        <w:tblPrEx>
          <w:tblW w:w="10260" w:type="dxa"/>
          <w:tblInd w:w="0" w:type="dxa"/>
          <w:tblLayout w:type="fixed"/>
          <w:tblCellMar>
            <w:left w:w="108" w:type="dxa"/>
            <w:right w:w="108" w:type="dxa"/>
          </w:tblCellMar>
        </w:tblPrEx>
        <w:trPr>
          <w:cantSplit/>
          <w:trHeight w:hRule="exact" w:val="435"/>
        </w:trPr>
        <w:tc>
          <w:tcPr>
            <w:tcW w:w="1500" w:type="dxa"/>
            <w:tcBorders>
              <w:top w:val="nil"/>
              <w:left w:val="nil"/>
              <w:bottom w:val="nil"/>
              <w:right w:val="nil"/>
            </w:tcBorders>
            <w:tcMar>
              <w:top w:w="0" w:type="dxa"/>
              <w:left w:w="53" w:type="dxa"/>
              <w:bottom w:w="0" w:type="dxa"/>
              <w:right w:w="53" w:type="dxa"/>
            </w:tcMar>
            <w:vAlign w:val="bottom"/>
          </w:tcPr>
          <w:p>
            <w:pPr>
              <w:keepNext/>
              <w:pageBreakBefore w:val="0"/>
              <w:spacing w:before="53" w:line="240" w:lineRule="auto"/>
              <w:ind w:left="90" w:hanging="90"/>
              <w:jc w:val="left"/>
            </w:pPr>
            <w:r>
              <w:rPr>
                <w:rFonts w:ascii="Arial" w:eastAsia="Arial" w:hAnsi="Arial" w:cs="Arial"/>
                <w:b/>
                <w:i w:val="0"/>
                <w:color w:val="000000"/>
                <w:sz w:val="18"/>
                <w:u w:val="none"/>
              </w:rPr>
              <w:t>Robert J.</w:t>
            </w:r>
          </w:p>
          <w:p>
            <w:pPr>
              <w:spacing w:after="30" w:line="240" w:lineRule="auto"/>
              <w:ind w:left="90" w:hanging="90"/>
              <w:jc w:val="left"/>
            </w:pPr>
            <w:r>
              <w:rPr>
                <w:rFonts w:ascii="Arial" w:eastAsia="Arial" w:hAnsi="Arial" w:cs="Arial"/>
                <w:b/>
                <w:i w:val="0"/>
                <w:color w:val="000000"/>
                <w:sz w:val="18"/>
                <w:u w:val="none"/>
              </w:rPr>
              <w:t>Campbell</w:t>
            </w:r>
          </w:p>
        </w:tc>
        <w:tc>
          <w:tcPr>
            <w:tcW w:w="13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B. Frederick Becker</w:t>
            </w:r>
          </w:p>
        </w:tc>
        <w:tc>
          <w:tcPr>
            <w:tcW w:w="13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Susan L. Cross</w:t>
            </w:r>
          </w:p>
        </w:tc>
        <w:tc>
          <w:tcPr>
            <w:tcW w:w="1305" w:type="dxa"/>
            <w:tcBorders>
              <w:top w:val="nil"/>
              <w:left w:val="nil"/>
              <w:bottom w:val="nil"/>
              <w:right w:val="nil"/>
            </w:tcBorders>
            <w:tcMar>
              <w:top w:w="0" w:type="dxa"/>
              <w:left w:w="53" w:type="dxa"/>
              <w:bottom w:w="0" w:type="dxa"/>
              <w:right w:w="53" w:type="dxa"/>
            </w:tcMar>
            <w:vAlign w:val="top"/>
          </w:tcPr>
          <w:p>
            <w:pPr>
              <w:keepNext/>
              <w:pageBreakBefore w:val="0"/>
              <w:spacing w:before="53" w:line="240" w:lineRule="auto"/>
              <w:jc w:val="left"/>
            </w:pPr>
            <w:r>
              <w:rPr>
                <w:rFonts w:ascii="Arial" w:eastAsia="Arial" w:hAnsi="Arial" w:cs="Arial"/>
                <w:b/>
                <w:i w:val="0"/>
                <w:color w:val="000000"/>
                <w:sz w:val="18"/>
                <w:u w:val="none"/>
              </w:rPr>
              <w:t xml:space="preserve">Hitesh </w:t>
            </w:r>
          </w:p>
          <w:p>
            <w:pPr>
              <w:spacing w:after="30" w:line="240" w:lineRule="auto"/>
              <w:jc w:val="left"/>
            </w:pPr>
            <w:r>
              <w:rPr>
                <w:rFonts w:ascii="Arial" w:eastAsia="Arial" w:hAnsi="Arial" w:cs="Arial"/>
                <w:b/>
                <w:i w:val="0"/>
                <w:color w:val="000000"/>
                <w:sz w:val="18"/>
                <w:u w:val="none"/>
              </w:rPr>
              <w:t>Patel</w:t>
            </w: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i w:val="0"/>
                <w:sz w:val="20"/>
              </w:rPr>
            </w:pPr>
            <w:r>
              <w:rPr>
                <w:rFonts w:ascii="Arial" w:eastAsia="Arial" w:hAnsi="Arial" w:cs="Arial"/>
                <w:b/>
                <w:i w:val="0"/>
                <w:sz w:val="28"/>
              </w:rPr>
              <w:t>4</w:t>
            </w:r>
            <w:r>
              <w:rPr>
                <w:rFonts w:ascii="Arial" w:eastAsia="Arial" w:hAnsi="Arial" w:cs="Arial"/>
                <w:b/>
                <w:i w:val="0"/>
                <w:sz w:val="20"/>
              </w:rPr>
              <w:t xml:space="preserve"> out of 4</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60"/>
        </w:trPr>
        <w:tc>
          <w:tcPr>
            <w:tcW w:w="150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8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60"/>
        </w:trPr>
        <w:tc>
          <w:tcPr>
            <w:tcW w:w="15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445"/>
        </w:trPr>
        <w:tc>
          <w:tcPr>
            <w:tcW w:w="2805" w:type="dxa"/>
            <w:gridSpan w:val="2"/>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0" w:line="240" w:lineRule="auto"/>
              <w:ind w:left="0" w:right="0" w:firstLine="0"/>
              <w:jc w:val="left"/>
              <w:outlineLvl w:val="9"/>
              <w:rPr>
                <w:rFonts w:ascii="Arial" w:eastAsia="Arial" w:hAnsi="Arial" w:cs="Arial"/>
                <w:b/>
                <w:i w:val="0"/>
                <w:color w:val="4494D1"/>
                <w:sz w:val="6"/>
                <w:u w:val="none"/>
              </w:rPr>
            </w:pPr>
            <w:r>
              <w:rPr>
                <w:rFonts w:ascii="Arial" w:eastAsia="Arial" w:hAnsi="Arial" w:cs="Arial"/>
                <w:b/>
                <w:i w:val="0"/>
                <w:color w:val="4494D1"/>
                <w:sz w:val="8"/>
                <w:u w:val="none"/>
              </w:rPr>
              <w:t xml:space="preserve"> </w:t>
            </w:r>
          </w:p>
          <w:p>
            <w:pPr>
              <w:pageBreakBefore w:val="0"/>
              <w:numPr>
                <w:ilvl w:val="0"/>
                <w:numId w:val="0"/>
              </w:numPr>
              <w:spacing w:before="0" w:after="0" w:line="240" w:lineRule="auto"/>
              <w:ind w:left="0" w:right="0" w:firstLine="0"/>
              <w:jc w:val="left"/>
              <w:outlineLvl w:val="9"/>
              <w:rPr>
                <w:rFonts w:ascii="Arial" w:eastAsia="Arial" w:hAnsi="Arial" w:cs="Arial"/>
                <w:b/>
                <w:i w:val="0"/>
                <w:color w:val="4494D1"/>
                <w:sz w:val="18"/>
                <w:u w:val="none"/>
              </w:rPr>
            </w:pPr>
            <w:r>
              <w:rPr>
                <w:rFonts w:ascii="Arial" w:eastAsia="Arial" w:hAnsi="Arial" w:cs="Arial"/>
                <w:b/>
                <w:i w:val="0"/>
                <w:color w:val="4494D1"/>
                <w:sz w:val="18"/>
                <w:u w:val="none"/>
              </w:rPr>
              <w:t>Additional Information</w:t>
            </w:r>
          </w:p>
          <w:p>
            <w:pPr>
              <w:pageBreakBefore w:val="0"/>
              <w:numPr>
                <w:ilvl w:val="0"/>
                <w:numId w:val="0"/>
              </w:numPr>
              <w:spacing w:before="0" w:after="0" w:line="288" w:lineRule="auto"/>
              <w:ind w:left="0" w:right="0" w:firstLine="0"/>
              <w:jc w:val="center"/>
              <w:outlineLvl w:val="9"/>
              <w:rPr>
                <w:rFonts w:ascii="Arial" w:eastAsia="Arial" w:hAnsi="Arial" w:cs="Arial"/>
                <w:b w:val="0"/>
                <w:i w:val="0"/>
                <w:color w:val="929292"/>
                <w:sz w:val="12"/>
                <w:u w:val="none"/>
              </w:rPr>
            </w:pPr>
          </w:p>
          <w:p>
            <w:pPr>
              <w:pageBreakBefore w:val="0"/>
              <w:numPr>
                <w:ilvl w:val="0"/>
                <w:numId w:val="0"/>
              </w:numPr>
              <w:spacing w:before="0" w:after="30" w:line="240" w:lineRule="auto"/>
              <w:ind w:left="0" w:right="0" w:firstLine="0"/>
              <w:jc w:val="left"/>
              <w:outlineLvl w:val="9"/>
              <w:rPr>
                <w:rFonts w:ascii="Arial" w:eastAsia="Arial" w:hAnsi="Arial" w:cs="Arial"/>
                <w:b w:val="0"/>
                <w:i w:val="0"/>
                <w:color w:val="929292"/>
                <w:sz w:val="18"/>
                <w:u w:val="none"/>
              </w:rPr>
            </w:pPr>
            <w:r>
              <w:rPr>
                <w:rFonts w:ascii="Arial" w:eastAsia="Arial" w:hAnsi="Arial" w:cs="Arial"/>
                <w:b w:val="0"/>
                <w:i w:val="0"/>
                <w:color w:val="929292"/>
                <w:sz w:val="18"/>
                <w:u w:val="none"/>
              </w:rPr>
              <w:t xml:space="preserve">The Audit Committee's Report is set forth beginning on page </w:t>
            </w:r>
            <w:r>
              <w:rPr>
                <w:rFonts w:ascii="Arial" w:eastAsia="Arial" w:hAnsi="Arial" w:cs="Arial"/>
                <w:b w:val="0"/>
                <w:i w:val="0"/>
                <w:color w:val="3051F2"/>
                <w:sz w:val="18"/>
                <w:u w:val="single"/>
              </w:rPr>
              <w:fldChar w:fldCharType="begin"/>
            </w:r>
            <w:r>
              <w:rPr>
                <w:rFonts w:ascii="Arial" w:eastAsia="Arial" w:hAnsi="Arial" w:cs="Arial"/>
                <w:b w:val="0"/>
                <w:i w:val="0"/>
                <w:color w:val="3051F2"/>
                <w:sz w:val="18"/>
                <w:u w:val="single"/>
              </w:rPr>
              <w:instrText xml:space="preserve"> PAGEREF </w:instrText>
            </w:r>
            <w:r>
              <w:rPr>
                <w:rFonts w:ascii="Arial" w:eastAsia="Arial" w:hAnsi="Arial" w:cs="Arial"/>
                <w:b w:val="0"/>
                <w:i w:val="0"/>
                <w:color w:val="3051F2"/>
                <w:sz w:val="18"/>
                <w:u w:val="single"/>
              </w:rPr>
              <w:instrText xml:space="preserve"> </w:instrText>
            </w:r>
            <w:r>
              <w:rPr>
                <w:rFonts w:ascii="Arial" w:eastAsia="Arial" w:hAnsi="Arial" w:cs="Arial"/>
                <w:b w:val="0"/>
                <w:i w:val="0"/>
                <w:color w:val="3051F2"/>
                <w:sz w:val="18"/>
                <w:u w:val="single"/>
              </w:rPr>
              <w:instrText>Section124</w:instrText>
            </w:r>
            <w:r>
              <w:rPr>
                <w:rFonts w:ascii="Arial" w:eastAsia="Arial" w:hAnsi="Arial" w:cs="Arial"/>
                <w:b w:val="0"/>
                <w:i w:val="0"/>
                <w:color w:val="3051F2"/>
                <w:sz w:val="18"/>
                <w:u w:val="single"/>
              </w:rPr>
              <w:instrText xml:space="preserve"> \h</w:instrText>
            </w:r>
            <w:r>
              <w:rPr>
                <w:rFonts w:ascii="Arial" w:eastAsia="Arial" w:hAnsi="Arial" w:cs="Arial"/>
                <w:b w:val="0"/>
                <w:i w:val="0"/>
                <w:color w:val="3051F2"/>
                <w:sz w:val="18"/>
                <w:u w:val="single"/>
              </w:rPr>
              <w:fldChar w:fldCharType="separate"/>
            </w:r>
            <w:r>
              <w:rPr>
                <w:rFonts w:ascii="Arial" w:eastAsia="Arial" w:hAnsi="Arial" w:cs="Arial"/>
                <w:b w:val="0"/>
                <w:i w:val="0"/>
                <w:color w:val="3051F2"/>
                <w:sz w:val="18"/>
                <w:u w:val="single"/>
              </w:rPr>
              <w:t>98</w:t>
            </w:r>
            <w:r>
              <w:rPr>
                <w:rFonts w:ascii="Arial" w:eastAsia="Arial" w:hAnsi="Arial" w:cs="Arial"/>
                <w:b w:val="0"/>
                <w:i w:val="0"/>
                <w:color w:val="3051F2"/>
                <w:sz w:val="18"/>
                <w:u w:val="single"/>
              </w:rPr>
              <w:fldChar w:fldCharType="end"/>
            </w:r>
            <w:r>
              <w:rPr>
                <w:rFonts w:ascii="Arial" w:eastAsia="Arial" w:hAnsi="Arial" w:cs="Arial"/>
                <w:b w:val="0"/>
                <w:i w:val="0"/>
                <w:color w:val="929292"/>
                <w:sz w:val="18"/>
                <w:u w:val="none"/>
              </w:rPr>
              <w:t xml:space="preserve"> of this proxy statement.</w:t>
            </w:r>
          </w:p>
        </w:tc>
        <w:tc>
          <w:tcPr>
            <w:tcW w:w="7455" w:type="dxa"/>
            <w:gridSpan w:val="6"/>
            <w:vMerge w:val="restart"/>
            <w:tcBorders>
              <w:top w:val="nil"/>
              <w:left w:val="single" w:sz="8" w:space="0" w:color="4494D1"/>
              <w:bottom w:val="nil"/>
              <w:right w:val="nil"/>
            </w:tcBorders>
            <w:tcMar>
              <w:top w:w="0" w:type="dxa"/>
              <w:left w:w="53" w:type="dxa"/>
              <w:bottom w:w="0" w:type="dxa"/>
              <w:right w:w="53" w:type="dxa"/>
            </w:tcMar>
            <w:vAlign w:val="top"/>
          </w:tcPr>
          <w:p>
            <w:pPr>
              <w:keepNext/>
              <w:pageBreakBefore w:val="0"/>
              <w:numPr>
                <w:ilvl w:val="0"/>
                <w:numId w:val="0"/>
              </w:numPr>
              <w:spacing w:before="53" w:after="0" w:line="240" w:lineRule="auto"/>
              <w:ind w:left="90" w:right="0" w:firstLine="0"/>
              <w:jc w:val="left"/>
              <w:outlineLvl w:val="9"/>
              <w:rPr>
                <w:rFonts w:ascii="Arial" w:eastAsia="Arial" w:hAnsi="Arial" w:cs="Arial"/>
                <w:b/>
                <w:i w:val="0"/>
                <w:color w:val="4494D1"/>
                <w:sz w:val="6"/>
                <w:u w:val="none"/>
              </w:rPr>
            </w:pPr>
          </w:p>
          <w:p>
            <w:pPr>
              <w:pageBreakBefore w:val="0"/>
              <w:numPr>
                <w:ilvl w:val="0"/>
                <w:numId w:val="0"/>
              </w:numPr>
              <w:spacing w:before="0" w:after="120" w:line="240" w:lineRule="auto"/>
              <w:ind w:left="90" w:right="0" w:firstLine="0"/>
              <w:jc w:val="left"/>
              <w:outlineLvl w:val="9"/>
              <w:rPr>
                <w:rFonts w:ascii="Arial" w:eastAsia="Arial" w:hAnsi="Arial" w:cs="Arial"/>
                <w:b/>
                <w:i w:val="0"/>
                <w:color w:val="4494D1"/>
                <w:sz w:val="20"/>
                <w:u w:val="none"/>
              </w:rPr>
            </w:pPr>
            <w:r>
              <w:rPr>
                <w:rFonts w:ascii="Arial" w:eastAsia="Arial" w:hAnsi="Arial" w:cs="Arial"/>
                <w:b/>
                <w:i w:val="0"/>
                <w:color w:val="4494D1"/>
                <w:sz w:val="20"/>
                <w:u w:val="none"/>
              </w:rPr>
              <w:t>Primary Responsibilities</w:t>
            </w:r>
          </w:p>
          <w:p>
            <w:pPr>
              <w:pageBreakBefore w:val="0"/>
              <w:numPr>
                <w:ilvl w:val="0"/>
                <w:numId w:val="69"/>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Overseeing our accounting and financial reporting process, including our internal controls over financial reporting.</w:t>
            </w:r>
          </w:p>
          <w:p>
            <w:pPr>
              <w:pageBreakBefore w:val="0"/>
              <w:numPr>
                <w:ilvl w:val="0"/>
                <w:numId w:val="70"/>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Overseeing the quality and integrity of our</w:t>
            </w:r>
            <w:r>
              <w:rPr>
                <w:rFonts w:ascii="Arial" w:eastAsia="Arial" w:hAnsi="Arial" w:cs="Arial"/>
                <w:b w:val="0"/>
                <w:i w:val="0"/>
                <w:sz w:val="20"/>
              </w:rPr>
              <w:t xml:space="preserve"> consolidated</w:t>
            </w:r>
            <w:r>
              <w:rPr>
                <w:rFonts w:ascii="Arial" w:eastAsia="Arial" w:hAnsi="Arial" w:cs="Arial"/>
                <w:b w:val="0"/>
                <w:i w:val="0"/>
                <w:sz w:val="20"/>
              </w:rPr>
              <w:t xml:space="preserve"> financial statements.</w:t>
            </w:r>
          </w:p>
          <w:p>
            <w:pPr>
              <w:pageBreakBefore w:val="0"/>
              <w:numPr>
                <w:ilvl w:val="0"/>
                <w:numId w:val="71"/>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Engaging and overseeing the Company's independent registered public accounting firm (taking into account the vote on shareholder ratification) and considering the independence, qualifications and performance of our independent auditors.</w:t>
            </w:r>
          </w:p>
          <w:p>
            <w:pPr>
              <w:pageBreakBefore w:val="0"/>
              <w:numPr>
                <w:ilvl w:val="0"/>
                <w:numId w:val="72"/>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 xml:space="preserve">Pre-approving compensation, fees and services of our independent auditors and reviewing the scope and results of their audit. </w:t>
            </w:r>
          </w:p>
          <w:p>
            <w:pPr>
              <w:pageBreakBefore w:val="0"/>
              <w:numPr>
                <w:ilvl w:val="0"/>
                <w:numId w:val="73"/>
              </w:numPr>
              <w:spacing w:before="0" w:after="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Reviewing the performance of our internal audit function.</w:t>
            </w:r>
          </w:p>
          <w:p>
            <w:pPr>
              <w:pageBreakBefore w:val="0"/>
              <w:numPr>
                <w:ilvl w:val="0"/>
                <w:numId w:val="74"/>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Reviewing, and where appropriate approving, our internal audit function's audit plan, staffing, budget, responsibilities and performance.</w:t>
            </w:r>
          </w:p>
          <w:p>
            <w:pPr>
              <w:pageBreakBefore w:val="0"/>
              <w:numPr>
                <w:ilvl w:val="0"/>
                <w:numId w:val="75"/>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Reviewing all related party transactions.</w:t>
            </w:r>
          </w:p>
          <w:p>
            <w:pPr>
              <w:pageBreakBefore w:val="0"/>
              <w:numPr>
                <w:ilvl w:val="0"/>
                <w:numId w:val="76"/>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Periodically reviewing our risk exposures and the adequacy of our controls over such exposures in coordination with our Risk Committee.</w:t>
            </w:r>
          </w:p>
          <w:p>
            <w:pPr>
              <w:pageBreakBefore w:val="0"/>
              <w:numPr>
                <w:ilvl w:val="0"/>
                <w:numId w:val="77"/>
              </w:numPr>
              <w:spacing w:before="0" w:after="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Periodically reviewing the adequacy and effectiveness of the controls and procedures (including the level of assurance) applicable to our key ESG disclosures.</w:t>
            </w:r>
          </w:p>
          <w:p>
            <w:pPr>
              <w:pageBreakBefore w:val="0"/>
              <w:numPr>
                <w:ilvl w:val="0"/>
                <w:numId w:val="0"/>
              </w:numPr>
              <w:spacing w:before="0" w:after="120" w:line="288" w:lineRule="auto"/>
              <w:ind w:left="90" w:right="90" w:firstLine="180"/>
              <w:jc w:val="left"/>
              <w:outlineLvl w:val="9"/>
              <w:rPr>
                <w:rFonts w:ascii="Arial" w:eastAsia="Arial" w:hAnsi="Arial" w:cs="Arial"/>
                <w:b/>
                <w:i w:val="0"/>
                <w:color w:val="4494D1"/>
                <w:sz w:val="18"/>
                <w:u w:val="none"/>
              </w:rPr>
            </w:pPr>
            <w:r>
              <w:rPr>
                <w:rFonts w:ascii="Arial" w:eastAsia="Arial" w:hAnsi="Arial" w:cs="Arial"/>
                <w:b/>
                <w:i w:val="0"/>
                <w:color w:val="4494D1"/>
                <w:sz w:val="12"/>
                <w:u w:val="none"/>
              </w:rPr>
              <w:t xml:space="preserve"> </w:t>
            </w:r>
          </w:p>
          <w:p>
            <w:pPr>
              <w:pageBreakBefore w:val="0"/>
              <w:numPr>
                <w:ilvl w:val="0"/>
                <w:numId w:val="0"/>
              </w:numPr>
              <w:spacing w:before="60" w:after="60" w:line="288" w:lineRule="auto"/>
              <w:ind w:left="90" w:right="90" w:firstLine="0"/>
              <w:jc w:val="both"/>
              <w:outlineLvl w:val="9"/>
              <w:rPr>
                <w:rFonts w:ascii="Arial" w:eastAsia="Arial" w:hAnsi="Arial" w:cs="Arial"/>
                <w:b/>
                <w:i w:val="0"/>
                <w:color w:val="4494D1"/>
                <w:sz w:val="20"/>
                <w:u w:val="none"/>
              </w:rPr>
            </w:pPr>
            <w:r>
              <w:rPr>
                <w:rFonts w:ascii="Arial" w:eastAsia="Arial" w:hAnsi="Arial" w:cs="Arial"/>
                <w:b/>
                <w:i w:val="0"/>
                <w:color w:val="4494D1"/>
                <w:sz w:val="20"/>
                <w:u w:val="none"/>
              </w:rPr>
              <w:t>2023</w:t>
            </w:r>
            <w:r>
              <w:rPr>
                <w:rFonts w:ascii="Arial" w:eastAsia="Arial" w:hAnsi="Arial" w:cs="Arial"/>
                <w:b/>
                <w:i w:val="0"/>
                <w:color w:val="4494D1"/>
                <w:sz w:val="20"/>
                <w:u w:val="none"/>
              </w:rPr>
              <w:t xml:space="preserve"> Highlights</w:t>
            </w:r>
          </w:p>
          <w:p>
            <w:pPr>
              <w:pageBreakBefore w:val="0"/>
              <w:numPr>
                <w:ilvl w:val="0"/>
                <w:numId w:val="78"/>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O</w:t>
            </w:r>
            <w:r>
              <w:rPr>
                <w:rFonts w:ascii="Arial" w:eastAsia="Arial" w:hAnsi="Arial" w:cs="Arial"/>
                <w:b w:val="0"/>
                <w:i w:val="0"/>
                <w:sz w:val="20"/>
              </w:rPr>
              <w:t xml:space="preserve">versaw the recruitment and </w:t>
            </w:r>
            <w:r>
              <w:rPr>
                <w:rFonts w:ascii="Arial" w:eastAsia="Arial" w:hAnsi="Arial" w:cs="Arial"/>
                <w:b w:val="0"/>
                <w:i w:val="0"/>
                <w:sz w:val="20"/>
              </w:rPr>
              <w:t xml:space="preserve">appointment of a new </w:t>
            </w:r>
            <w:r>
              <w:rPr>
                <w:rFonts w:ascii="Arial" w:eastAsia="Arial" w:hAnsi="Arial" w:cs="Arial"/>
                <w:b w:val="0"/>
                <w:i w:val="0"/>
                <w:sz w:val="20"/>
              </w:rPr>
              <w:t>Chief Audit Executive</w:t>
            </w:r>
            <w:r>
              <w:rPr>
                <w:rFonts w:ascii="Arial" w:eastAsia="Arial" w:hAnsi="Arial" w:cs="Arial"/>
                <w:b w:val="0"/>
                <w:i w:val="0"/>
                <w:sz w:val="20"/>
              </w:rPr>
              <w:t>.</w:t>
            </w:r>
          </w:p>
          <w:p>
            <w:pPr>
              <w:pageBreakBefore w:val="0"/>
              <w:numPr>
                <w:ilvl w:val="0"/>
                <w:numId w:val="79"/>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O</w:t>
            </w:r>
            <w:r>
              <w:rPr>
                <w:rFonts w:ascii="Arial" w:eastAsia="Arial" w:hAnsi="Arial" w:cs="Arial"/>
                <w:b w:val="0"/>
                <w:i w:val="0"/>
                <w:sz w:val="20"/>
              </w:rPr>
              <w:t>versaw and approved a change in accounting principle related to deferred charge assets in order to better reflect the economics of our run-off transactions</w:t>
            </w:r>
            <w:r>
              <w:rPr>
                <w:rFonts w:ascii="Arial" w:eastAsia="Arial" w:hAnsi="Arial" w:cs="Arial"/>
                <w:b w:val="0"/>
                <w:i w:val="0"/>
                <w:sz w:val="20"/>
              </w:rPr>
              <w:t>, which</w:t>
            </w:r>
            <w:r>
              <w:rPr>
                <w:rFonts w:ascii="Arial" w:eastAsia="Arial" w:hAnsi="Arial" w:cs="Arial"/>
                <w:b w:val="0"/>
                <w:i w:val="0"/>
                <w:sz w:val="20"/>
              </w:rPr>
              <w:t xml:space="preserve"> was </w:t>
            </w:r>
            <w:r>
              <w:rPr>
                <w:rFonts w:ascii="Arial" w:eastAsia="Arial" w:hAnsi="Arial" w:cs="Arial"/>
                <w:b w:val="0"/>
                <w:i w:val="0"/>
                <w:sz w:val="20"/>
              </w:rPr>
              <w:t>effected</w:t>
            </w:r>
            <w:r>
              <w:rPr>
                <w:rFonts w:ascii="Arial" w:eastAsia="Arial" w:hAnsi="Arial" w:cs="Arial"/>
                <w:b w:val="0"/>
                <w:i w:val="0"/>
                <w:sz w:val="20"/>
              </w:rPr>
              <w:t xml:space="preserve"> in the</w:t>
            </w:r>
            <w:r>
              <w:rPr>
                <w:rFonts w:ascii="Arial" w:eastAsia="Arial" w:hAnsi="Arial" w:cs="Arial"/>
                <w:b w:val="0"/>
                <w:i w:val="0"/>
                <w:sz w:val="20"/>
              </w:rPr>
              <w:t xml:space="preserve"> </w:t>
            </w:r>
            <w:r>
              <w:rPr>
                <w:rFonts w:ascii="Arial" w:eastAsia="Arial" w:hAnsi="Arial" w:cs="Arial"/>
                <w:b w:val="0"/>
                <w:i w:val="0"/>
                <w:sz w:val="20"/>
              </w:rPr>
              <w:t>consolidated financial statements included in the</w:t>
            </w:r>
            <w:r>
              <w:rPr>
                <w:rFonts w:ascii="Arial" w:eastAsia="Arial" w:hAnsi="Arial" w:cs="Arial"/>
                <w:b w:val="0"/>
                <w:i w:val="0"/>
                <w:sz w:val="20"/>
              </w:rPr>
              <w:t xml:space="preserve"> Company's 2022 Annual Report on Form 10-K</w:t>
            </w:r>
            <w:r>
              <w:rPr>
                <w:rFonts w:ascii="Arial" w:eastAsia="Arial" w:hAnsi="Arial" w:cs="Arial"/>
                <w:b w:val="0"/>
                <w:i w:val="0"/>
                <w:sz w:val="20"/>
              </w:rPr>
              <w:t xml:space="preserve">. </w:t>
            </w:r>
          </w:p>
          <w:p>
            <w:pPr>
              <w:pageBreakBefore w:val="0"/>
              <w:numPr>
                <w:ilvl w:val="0"/>
                <w:numId w:val="80"/>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Reviewed</w:t>
            </w:r>
            <w:r>
              <w:rPr>
                <w:rFonts w:ascii="Arial" w:eastAsia="Arial" w:hAnsi="Arial" w:cs="Arial"/>
                <w:b w:val="0"/>
                <w:i w:val="0"/>
                <w:sz w:val="20"/>
              </w:rPr>
              <w:t xml:space="preserve"> continued enhancements to investor disclosures</w:t>
            </w:r>
            <w:r>
              <w:rPr>
                <w:rFonts w:ascii="Arial" w:eastAsia="Arial" w:hAnsi="Arial" w:cs="Arial"/>
                <w:b w:val="0"/>
                <w:i w:val="0"/>
                <w:sz w:val="20"/>
              </w:rPr>
              <w:t>,</w:t>
            </w:r>
            <w:r>
              <w:rPr>
                <w:rFonts w:ascii="Arial" w:eastAsia="Arial" w:hAnsi="Arial" w:cs="Arial"/>
                <w:b w:val="0"/>
                <w:i w:val="0"/>
                <w:sz w:val="20"/>
              </w:rPr>
              <w:t xml:space="preserve"> in</w:t>
            </w:r>
            <w:r>
              <w:rPr>
                <w:rFonts w:ascii="Arial" w:eastAsia="Arial" w:hAnsi="Arial" w:cs="Arial"/>
                <w:b w:val="0"/>
                <w:i w:val="0"/>
                <w:sz w:val="20"/>
              </w:rPr>
              <w:t xml:space="preserve">cluding our </w:t>
            </w:r>
            <w:r>
              <w:rPr>
                <w:rFonts w:ascii="Arial" w:eastAsia="Arial" w:hAnsi="Arial" w:cs="Arial"/>
                <w:b w:val="0"/>
                <w:i w:val="0"/>
                <w:sz w:val="20"/>
              </w:rPr>
              <w:t xml:space="preserve">earnings podcasts, investor presentations, and </w:t>
            </w:r>
            <w:r>
              <w:rPr>
                <w:rFonts w:ascii="Arial" w:eastAsia="Arial" w:hAnsi="Arial" w:cs="Arial"/>
                <w:b w:val="0"/>
                <w:i w:val="0"/>
                <w:sz w:val="20"/>
              </w:rPr>
              <w:t>ESG Reports</w:t>
            </w:r>
            <w:r>
              <w:rPr>
                <w:rFonts w:ascii="Arial" w:eastAsia="Arial" w:hAnsi="Arial" w:cs="Arial"/>
                <w:b w:val="0"/>
                <w:i w:val="0"/>
                <w:sz w:val="20"/>
              </w:rPr>
              <w:t>,</w:t>
            </w:r>
            <w:r>
              <w:rPr>
                <w:rFonts w:ascii="Arial" w:eastAsia="Arial" w:hAnsi="Arial" w:cs="Arial"/>
                <w:b w:val="0"/>
                <w:i w:val="0"/>
                <w:sz w:val="20"/>
              </w:rPr>
              <w:t xml:space="preserve"> </w:t>
            </w:r>
            <w:r>
              <w:rPr>
                <w:rFonts w:ascii="Arial" w:eastAsia="Arial" w:hAnsi="Arial" w:cs="Arial"/>
                <w:b w:val="0"/>
                <w:i w:val="0"/>
                <w:sz w:val="20"/>
              </w:rPr>
              <w:t xml:space="preserve">supporting the </w:t>
            </w:r>
            <w:r>
              <w:rPr>
                <w:rFonts w:ascii="Arial" w:eastAsia="Arial" w:hAnsi="Arial" w:cs="Arial"/>
                <w:b w:val="0"/>
                <w:i w:val="0"/>
                <w:sz w:val="20"/>
              </w:rPr>
              <w:t xml:space="preserve">further development and </w:t>
            </w:r>
            <w:r>
              <w:rPr>
                <w:rFonts w:ascii="Arial" w:eastAsia="Arial" w:hAnsi="Arial" w:cs="Arial"/>
                <w:b w:val="0"/>
                <w:i w:val="0"/>
                <w:sz w:val="20"/>
              </w:rPr>
              <w:t>exec</w:t>
            </w:r>
            <w:r>
              <w:rPr>
                <w:rFonts w:ascii="Arial" w:eastAsia="Arial" w:hAnsi="Arial" w:cs="Arial"/>
                <w:b w:val="0"/>
                <w:i w:val="0"/>
                <w:sz w:val="20"/>
              </w:rPr>
              <w:t>ution</w:t>
            </w:r>
            <w:r>
              <w:rPr>
                <w:rFonts w:ascii="Arial" w:eastAsia="Arial" w:hAnsi="Arial" w:cs="Arial"/>
                <w:b w:val="0"/>
                <w:i w:val="0"/>
                <w:sz w:val="20"/>
              </w:rPr>
              <w:t xml:space="preserve"> of </w:t>
            </w:r>
            <w:r>
              <w:rPr>
                <w:rFonts w:ascii="Arial" w:eastAsia="Arial" w:hAnsi="Arial" w:cs="Arial"/>
                <w:b w:val="0"/>
                <w:i w:val="0"/>
                <w:sz w:val="20"/>
              </w:rPr>
              <w:t>our</w:t>
            </w:r>
            <w:r>
              <w:rPr>
                <w:rFonts w:ascii="Arial" w:eastAsia="Arial" w:hAnsi="Arial" w:cs="Arial"/>
                <w:b w:val="0"/>
                <w:i w:val="0"/>
                <w:sz w:val="20"/>
              </w:rPr>
              <w:t xml:space="preserve"> </w:t>
            </w:r>
            <w:r>
              <w:rPr>
                <w:rFonts w:ascii="Arial" w:eastAsia="Arial" w:hAnsi="Arial" w:cs="Arial"/>
                <w:b w:val="0"/>
                <w:i w:val="0"/>
                <w:sz w:val="20"/>
              </w:rPr>
              <w:t>in</w:t>
            </w:r>
            <w:r>
              <w:rPr>
                <w:rFonts w:ascii="Arial" w:eastAsia="Arial" w:hAnsi="Arial" w:cs="Arial"/>
                <w:b w:val="0"/>
                <w:i w:val="0"/>
                <w:sz w:val="20"/>
              </w:rPr>
              <w:t xml:space="preserve">vestor </w:t>
            </w:r>
            <w:r>
              <w:rPr>
                <w:rFonts w:ascii="Arial" w:eastAsia="Arial" w:hAnsi="Arial" w:cs="Arial"/>
                <w:b w:val="0"/>
                <w:i w:val="0"/>
                <w:sz w:val="20"/>
              </w:rPr>
              <w:t>r</w:t>
            </w:r>
            <w:r>
              <w:rPr>
                <w:rFonts w:ascii="Arial" w:eastAsia="Arial" w:hAnsi="Arial" w:cs="Arial"/>
                <w:b w:val="0"/>
                <w:i w:val="0"/>
                <w:sz w:val="20"/>
              </w:rPr>
              <w:t xml:space="preserve">elations </w:t>
            </w:r>
            <w:r>
              <w:rPr>
                <w:rFonts w:ascii="Arial" w:eastAsia="Arial" w:hAnsi="Arial" w:cs="Arial"/>
                <w:b w:val="0"/>
                <w:i w:val="0"/>
                <w:sz w:val="20"/>
              </w:rPr>
              <w:t>strategy</w:t>
            </w:r>
            <w:r>
              <w:rPr>
                <w:rFonts w:ascii="Arial" w:eastAsia="Arial" w:hAnsi="Arial" w:cs="Arial"/>
                <w:b w:val="0"/>
                <w:i w:val="0"/>
                <w:sz w:val="20"/>
              </w:rPr>
              <w:t>.</w:t>
            </w:r>
          </w:p>
          <w:p>
            <w:pPr>
              <w:pageBreakBefore w:val="0"/>
              <w:numPr>
                <w:ilvl w:val="0"/>
                <w:numId w:val="81"/>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 xml:space="preserve">Confirmed </w:t>
            </w:r>
            <w:r>
              <w:rPr>
                <w:rFonts w:ascii="Arial" w:eastAsia="Arial" w:hAnsi="Arial" w:cs="Arial"/>
                <w:b w:val="0"/>
                <w:i w:val="0"/>
                <w:sz w:val="20"/>
              </w:rPr>
              <w:t>arms' length pricing</w:t>
            </w:r>
            <w:r>
              <w:rPr>
                <w:rFonts w:ascii="Arial" w:eastAsia="Arial" w:hAnsi="Arial" w:cs="Arial"/>
                <w:b w:val="0"/>
                <w:i w:val="0"/>
                <w:sz w:val="20"/>
              </w:rPr>
              <w:t xml:space="preserve"> of significant </w:t>
            </w:r>
            <w:r>
              <w:rPr>
                <w:rFonts w:ascii="Arial" w:eastAsia="Arial" w:hAnsi="Arial" w:cs="Arial"/>
                <w:b w:val="0"/>
                <w:i w:val="0"/>
                <w:sz w:val="20"/>
              </w:rPr>
              <w:t>block share</w:t>
            </w:r>
            <w:r>
              <w:rPr>
                <w:rFonts w:ascii="Arial" w:eastAsia="Arial" w:hAnsi="Arial" w:cs="Arial"/>
                <w:b w:val="0"/>
                <w:i w:val="0"/>
                <w:sz w:val="20"/>
              </w:rPr>
              <w:t xml:space="preserve"> re</w:t>
            </w:r>
            <w:r>
              <w:rPr>
                <w:rFonts w:ascii="Arial" w:eastAsia="Arial" w:hAnsi="Arial" w:cs="Arial"/>
                <w:b w:val="0"/>
                <w:i w:val="0"/>
                <w:sz w:val="20"/>
              </w:rPr>
              <w:t xml:space="preserve">purchases with </w:t>
            </w:r>
            <w:r>
              <w:rPr>
                <w:rFonts w:ascii="Arial" w:eastAsia="Arial" w:hAnsi="Arial" w:cs="Arial"/>
                <w:b w:val="0"/>
                <w:i w:val="0"/>
                <w:sz w:val="20"/>
              </w:rPr>
              <w:t>CPP</w:t>
            </w:r>
            <w:r>
              <w:rPr>
                <w:rFonts w:ascii="Arial" w:eastAsia="Arial" w:hAnsi="Arial" w:cs="Arial"/>
                <w:b w:val="0"/>
                <w:i w:val="0"/>
                <w:sz w:val="20"/>
              </w:rPr>
              <w:t xml:space="preserve"> </w:t>
            </w:r>
            <w:r>
              <w:rPr>
                <w:rFonts w:ascii="Arial" w:eastAsia="Arial" w:hAnsi="Arial" w:cs="Arial"/>
                <w:b w:val="0"/>
                <w:i w:val="0"/>
                <w:sz w:val="20"/>
              </w:rPr>
              <w:t>Investments and Stone Point</w:t>
            </w:r>
            <w:r>
              <w:rPr>
                <w:rFonts w:ascii="Arial" w:eastAsia="Arial" w:hAnsi="Arial" w:cs="Arial"/>
                <w:b w:val="0"/>
                <w:i w:val="0"/>
                <w:sz w:val="20"/>
              </w:rPr>
              <w:t>, supporting the return of capital to investors.</w:t>
            </w:r>
          </w:p>
          <w:p>
            <w:pPr>
              <w:pageBreakBefore w:val="0"/>
              <w:numPr>
                <w:ilvl w:val="0"/>
                <w:numId w:val="82"/>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C</w:t>
            </w:r>
            <w:r>
              <w:rPr>
                <w:rFonts w:ascii="Arial" w:eastAsia="Arial" w:hAnsi="Arial" w:cs="Arial"/>
                <w:b w:val="0"/>
                <w:i w:val="0"/>
                <w:sz w:val="20"/>
              </w:rPr>
              <w:t>onduc</w:t>
            </w:r>
            <w:r>
              <w:rPr>
                <w:rFonts w:ascii="Arial" w:eastAsia="Arial" w:hAnsi="Arial" w:cs="Arial"/>
                <w:b w:val="0"/>
                <w:i w:val="0"/>
                <w:sz w:val="20"/>
              </w:rPr>
              <w:t>t</w:t>
            </w:r>
            <w:r>
              <w:rPr>
                <w:rFonts w:ascii="Arial" w:eastAsia="Arial" w:hAnsi="Arial" w:cs="Arial"/>
                <w:b w:val="0"/>
                <w:i w:val="0"/>
                <w:sz w:val="20"/>
              </w:rPr>
              <w:t xml:space="preserve">ed the annual review of the independent auditor relationship </w:t>
            </w:r>
            <w:r>
              <w:rPr>
                <w:rFonts w:ascii="Arial" w:eastAsia="Arial" w:hAnsi="Arial" w:cs="Arial"/>
                <w:b w:val="0"/>
                <w:i w:val="0"/>
                <w:sz w:val="20"/>
              </w:rPr>
              <w:t>and fees</w:t>
            </w:r>
            <w:r>
              <w:rPr>
                <w:rFonts w:ascii="Arial" w:eastAsia="Arial" w:hAnsi="Arial" w:cs="Arial"/>
                <w:b w:val="0"/>
                <w:i w:val="0"/>
                <w:sz w:val="20"/>
              </w:rPr>
              <w:t xml:space="preserve">, </w:t>
            </w:r>
            <w:r>
              <w:rPr>
                <w:rFonts w:ascii="Arial" w:eastAsia="Arial" w:hAnsi="Arial" w:cs="Arial"/>
                <w:b w:val="0"/>
                <w:i w:val="0"/>
                <w:sz w:val="20"/>
              </w:rPr>
              <w:t>a</w:t>
            </w:r>
            <w:r>
              <w:rPr>
                <w:rFonts w:ascii="Arial" w:eastAsia="Arial" w:hAnsi="Arial" w:cs="Arial"/>
                <w:b w:val="0"/>
                <w:i w:val="0"/>
                <w:sz w:val="20"/>
              </w:rPr>
              <w:t>nd recommended the ret</w:t>
            </w:r>
            <w:r>
              <w:rPr>
                <w:rFonts w:ascii="Arial" w:eastAsia="Arial" w:hAnsi="Arial" w:cs="Arial"/>
                <w:b w:val="0"/>
                <w:i w:val="0"/>
                <w:sz w:val="20"/>
              </w:rPr>
              <w:t xml:space="preserve">ention of </w:t>
            </w:r>
            <w:r>
              <w:rPr>
                <w:rFonts w:ascii="Arial" w:eastAsia="Arial" w:hAnsi="Arial" w:cs="Arial"/>
                <w:b w:val="0"/>
                <w:i w:val="0"/>
                <w:sz w:val="20"/>
              </w:rPr>
              <w:t xml:space="preserve">PricewaterhouseCoopers LLP as our independent registered public accounting firm for </w:t>
            </w:r>
            <w:r>
              <w:rPr>
                <w:rFonts w:ascii="Arial" w:eastAsia="Arial" w:hAnsi="Arial" w:cs="Arial"/>
                <w:b w:val="0"/>
                <w:i w:val="0"/>
                <w:color w:val="000000"/>
                <w:sz w:val="20"/>
                <w:u w:val="none"/>
              </w:rPr>
              <w:t>2024</w:t>
            </w:r>
            <w:r>
              <w:rPr>
                <w:rFonts w:ascii="Arial" w:eastAsia="Arial" w:hAnsi="Arial" w:cs="Arial"/>
                <w:b w:val="0"/>
                <w:i w:val="0"/>
                <w:sz w:val="20"/>
              </w:rPr>
              <w:t>.</w:t>
            </w:r>
          </w:p>
          <w:p>
            <w:pPr>
              <w:pageBreakBefore w:val="0"/>
              <w:numPr>
                <w:ilvl w:val="0"/>
                <w:numId w:val="83"/>
              </w:numPr>
              <w:spacing w:before="0" w:after="0" w:line="288" w:lineRule="auto"/>
              <w:ind w:left="270" w:right="90" w:hanging="180"/>
              <w:jc w:val="left"/>
              <w:outlineLvl w:val="9"/>
              <w:rPr>
                <w:rFonts w:ascii="Arial" w:eastAsia="Arial" w:hAnsi="Arial" w:cs="Arial"/>
                <w:b w:val="0"/>
                <w:i w:val="0"/>
                <w:color w:val="FFFFFF"/>
                <w:sz w:val="18"/>
                <w:u w:val="none"/>
              </w:rPr>
            </w:pPr>
            <w:r>
              <w:rPr>
                <w:rFonts w:ascii="Arial" w:eastAsia="Arial" w:hAnsi="Arial" w:cs="Arial"/>
                <w:b w:val="0"/>
                <w:i w:val="0"/>
                <w:color w:val="FFFFFF"/>
                <w:sz w:val="12"/>
                <w:u w:val="none"/>
              </w:rPr>
              <w:t xml:space="preserve"> </w:t>
            </w:r>
          </w:p>
          <w:p>
            <w:pPr>
              <w:pageBreakBefore w:val="0"/>
              <w:numPr>
                <w:ilvl w:val="0"/>
                <w:numId w:val="0"/>
              </w:numPr>
              <w:spacing w:before="0" w:after="0" w:line="288" w:lineRule="auto"/>
              <w:ind w:left="0" w:right="90" w:firstLine="90"/>
              <w:jc w:val="left"/>
              <w:outlineLvl w:val="9"/>
              <w:rPr>
                <w:rFonts w:ascii="Arial" w:eastAsia="Arial" w:hAnsi="Arial" w:cs="Arial"/>
                <w:b/>
                <w:i w:val="0"/>
                <w:color w:val="4494D1"/>
                <w:sz w:val="20"/>
                <w:u w:val="none"/>
              </w:rPr>
            </w:pPr>
            <w:r>
              <w:rPr>
                <w:rFonts w:ascii="Arial" w:eastAsia="Arial" w:hAnsi="Arial" w:cs="Arial"/>
                <w:b/>
                <w:i w:val="0"/>
                <w:color w:val="4494D1"/>
                <w:sz w:val="20"/>
                <w:u w:val="none"/>
              </w:rPr>
              <w:t>Independence</w:t>
            </w:r>
          </w:p>
          <w:p>
            <w:pPr>
              <w:pageBreakBefore w:val="0"/>
              <w:numPr>
                <w:ilvl w:val="0"/>
                <w:numId w:val="84"/>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E</w:t>
            </w:r>
            <w:r>
              <w:rPr>
                <w:rFonts w:ascii="Arial" w:eastAsia="Arial" w:hAnsi="Arial" w:cs="Arial"/>
                <w:b w:val="0"/>
                <w:i w:val="0"/>
                <w:sz w:val="20"/>
              </w:rPr>
              <w:t xml:space="preserve">ach member of the Committee is independent </w:t>
            </w:r>
            <w:r>
              <w:rPr>
                <w:rFonts w:ascii="Arial" w:eastAsia="Arial" w:hAnsi="Arial" w:cs="Arial"/>
                <w:b w:val="0"/>
                <w:i w:val="0"/>
                <w:sz w:val="20"/>
              </w:rPr>
              <w:t>as def</w:t>
            </w:r>
            <w:r>
              <w:rPr>
                <w:rFonts w:ascii="Arial" w:eastAsia="Arial" w:hAnsi="Arial" w:cs="Arial"/>
                <w:b w:val="0"/>
                <w:i w:val="0"/>
                <w:sz w:val="20"/>
              </w:rPr>
              <w:t xml:space="preserve">ined </w:t>
            </w:r>
            <w:r>
              <w:rPr>
                <w:rFonts w:ascii="Arial" w:eastAsia="Arial" w:hAnsi="Arial" w:cs="Arial"/>
                <w:b w:val="0"/>
                <w:i w:val="0"/>
                <w:sz w:val="20"/>
              </w:rPr>
              <w:t>in Exchange Act Rule 10A-3, adopted pursuant to the Sarbanes</w:t>
            </w:r>
            <w:r>
              <w:rPr>
                <w:rFonts w:ascii="Arial" w:eastAsia="Arial" w:hAnsi="Arial" w:cs="Arial"/>
                <w:b w:val="0"/>
                <w:i w:val="0"/>
                <w:sz w:val="20"/>
              </w:rPr>
              <w:t>-</w:t>
            </w:r>
            <w:r>
              <w:rPr>
                <w:rFonts w:ascii="Arial" w:eastAsia="Arial" w:hAnsi="Arial" w:cs="Arial"/>
                <w:b w:val="0"/>
                <w:i w:val="0"/>
                <w:sz w:val="20"/>
              </w:rPr>
              <w:t>Oxley Act of 20</w:t>
            </w:r>
            <w:r>
              <w:rPr>
                <w:rFonts w:ascii="Arial" w:eastAsia="Arial" w:hAnsi="Arial" w:cs="Arial"/>
                <w:b w:val="0"/>
                <w:i w:val="0"/>
                <w:sz w:val="20"/>
              </w:rPr>
              <w:t>02, and in a</w:t>
            </w:r>
            <w:r>
              <w:rPr>
                <w:rFonts w:ascii="Arial" w:eastAsia="Arial" w:hAnsi="Arial" w:cs="Arial"/>
                <w:b w:val="0"/>
                <w:i w:val="0"/>
                <w:sz w:val="20"/>
              </w:rPr>
              <w:t>cc</w:t>
            </w:r>
            <w:r>
              <w:rPr>
                <w:rFonts w:ascii="Arial" w:eastAsia="Arial" w:hAnsi="Arial" w:cs="Arial"/>
                <w:b w:val="0"/>
                <w:i w:val="0"/>
                <w:sz w:val="20"/>
              </w:rPr>
              <w:t>or</w:t>
            </w:r>
            <w:r>
              <w:rPr>
                <w:rFonts w:ascii="Arial" w:eastAsia="Arial" w:hAnsi="Arial" w:cs="Arial"/>
                <w:b w:val="0"/>
                <w:i w:val="0"/>
                <w:sz w:val="20"/>
              </w:rPr>
              <w:t>dance</w:t>
            </w:r>
            <w:r>
              <w:rPr>
                <w:rFonts w:ascii="Arial" w:eastAsia="Arial" w:hAnsi="Arial" w:cs="Arial"/>
                <w:b w:val="0"/>
                <w:i w:val="0"/>
                <w:sz w:val="20"/>
              </w:rPr>
              <w:t xml:space="preserve"> with the listing rules of The Nasdaq Stock Market.</w:t>
            </w:r>
          </w:p>
          <w:p>
            <w:pPr>
              <w:pageBreakBefore w:val="0"/>
              <w:numPr>
                <w:ilvl w:val="0"/>
                <w:numId w:val="85"/>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The Board de</w:t>
            </w:r>
            <w:r>
              <w:rPr>
                <w:rFonts w:ascii="Arial" w:eastAsia="Arial" w:hAnsi="Arial" w:cs="Arial"/>
                <w:b w:val="0"/>
                <w:i w:val="0"/>
                <w:sz w:val="20"/>
              </w:rPr>
              <w:t>termined that each member of the Committee satisfies</w:t>
            </w:r>
            <w:r>
              <w:rPr>
                <w:rFonts w:ascii="Arial" w:eastAsia="Arial" w:hAnsi="Arial" w:cs="Arial"/>
                <w:b w:val="0"/>
                <w:i w:val="0"/>
                <w:sz w:val="20"/>
              </w:rPr>
              <w:t xml:space="preserve"> </w:t>
            </w:r>
            <w:r>
              <w:rPr>
                <w:rFonts w:ascii="Arial" w:eastAsia="Arial" w:hAnsi="Arial" w:cs="Arial"/>
                <w:b w:val="0"/>
                <w:i w:val="0"/>
                <w:sz w:val="20"/>
              </w:rPr>
              <w:t>the criteria adopted by the SEC to serve as "audit committee financial experts</w:t>
            </w:r>
            <w:r>
              <w:rPr>
                <w:rFonts w:ascii="Arial" w:eastAsia="Arial" w:hAnsi="Arial" w:cs="Arial"/>
                <w:b w:val="0"/>
                <w:i w:val="0"/>
                <w:sz w:val="20"/>
              </w:rPr>
              <w:t>"</w:t>
            </w:r>
            <w:r>
              <w:rPr>
                <w:rFonts w:ascii="Arial" w:eastAsia="Arial" w:hAnsi="Arial" w:cs="Arial"/>
                <w:b w:val="0"/>
                <w:i w:val="0"/>
                <w:sz w:val="20"/>
              </w:rPr>
              <w:t xml:space="preserve"> </w:t>
            </w:r>
            <w:r>
              <w:rPr>
                <w:rFonts w:ascii="Arial" w:eastAsia="Arial" w:hAnsi="Arial" w:cs="Arial"/>
                <w:b w:val="0"/>
                <w:i w:val="0"/>
                <w:sz w:val="20"/>
              </w:rPr>
              <w:t xml:space="preserve">and each also meets the "financial sophistication" standard of </w:t>
            </w:r>
            <w:r>
              <w:rPr>
                <w:rFonts w:ascii="Arial" w:eastAsia="Arial" w:hAnsi="Arial" w:cs="Arial"/>
                <w:b w:val="0"/>
                <w:i w:val="0"/>
                <w:sz w:val="20"/>
              </w:rPr>
              <w:t>The Nasdaq Stock Market.</w:t>
            </w:r>
            <w:r>
              <w:rPr>
                <w:rFonts w:ascii="Arial" w:eastAsia="Arial" w:hAnsi="Arial" w:cs="Arial"/>
                <w:b w:val="0"/>
                <w:i w:val="0"/>
                <w:sz w:val="20"/>
              </w:rPr>
              <w:t xml:space="preserve"> </w:t>
            </w:r>
          </w:p>
          <w:p>
            <w:pPr>
              <w:pageBreakBefore w:val="0"/>
              <w:numPr>
                <w:ilvl w:val="0"/>
                <w:numId w:val="0"/>
              </w:numPr>
              <w:spacing w:before="0" w:after="30" w:line="288" w:lineRule="auto"/>
              <w:ind w:left="-450" w:right="90" w:firstLine="180"/>
              <w:jc w:val="left"/>
              <w:outlineLvl w:val="9"/>
              <w:rPr>
                <w:rFonts w:ascii="Arial" w:eastAsia="Arial" w:hAnsi="Arial" w:cs="Arial"/>
                <w:b w:val="0"/>
                <w:i w:val="0"/>
                <w:color w:val="FFFFFF"/>
                <w:sz w:val="18"/>
                <w:u w:val="none"/>
              </w:rPr>
            </w:pPr>
          </w:p>
        </w:tc>
      </w:tr>
      <w:tr>
        <w:tblPrEx>
          <w:tblW w:w="10260" w:type="dxa"/>
          <w:tblInd w:w="0" w:type="dxa"/>
          <w:tblLayout w:type="fixed"/>
          <w:tblCellMar>
            <w:left w:w="108" w:type="dxa"/>
            <w:right w:w="108" w:type="dxa"/>
          </w:tblCellMar>
        </w:tblPrEx>
        <w:trPr>
          <w:cantSplit/>
          <w:trHeight w:hRule="exact" w:val="60"/>
        </w:trPr>
        <w:tc>
          <w:tcPr>
            <w:tcW w:w="15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455" w:type="dxa"/>
            <w:gridSpan w:val="6"/>
            <w:vMerge/>
            <w:tcBorders>
              <w:top w:val="nil"/>
              <w:left w:val="single" w:sz="8" w:space="0" w:color="4494D1"/>
              <w:bottom w:val="nil"/>
              <w:right w:val="nil"/>
            </w:tcBorders>
          </w:tcPr>
          <w:p>
            <w:pPr>
              <w:keepNext/>
              <w:pageBreakBefore w:val="0"/>
            </w:pPr>
          </w:p>
        </w:tc>
      </w:tr>
      <w:tr>
        <w:tblPrEx>
          <w:tblW w:w="10260" w:type="dxa"/>
          <w:tblInd w:w="0" w:type="dxa"/>
          <w:tblLayout w:type="fixed"/>
          <w:tblCellMar>
            <w:left w:w="108" w:type="dxa"/>
            <w:right w:w="108" w:type="dxa"/>
          </w:tblCellMar>
        </w:tblPrEx>
        <w:trPr>
          <w:cantSplit/>
          <w:trHeight w:hRule="exact" w:val="9135"/>
        </w:trPr>
        <w:tc>
          <w:tcPr>
            <w:tcW w:w="2805" w:type="dxa"/>
            <w:gridSpan w:val="2"/>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0" w:line="240" w:lineRule="auto"/>
              <w:ind w:left="0" w:right="0" w:firstLine="0"/>
              <w:jc w:val="left"/>
              <w:outlineLvl w:val="9"/>
              <w:rPr>
                <w:rFonts w:ascii="Arial" w:eastAsia="Arial" w:hAnsi="Arial" w:cs="Arial"/>
                <w:b/>
                <w:i w:val="0"/>
                <w:color w:val="4494D1"/>
                <w:sz w:val="6"/>
                <w:u w:val="none"/>
              </w:rPr>
            </w:pPr>
          </w:p>
          <w:p>
            <w:pPr>
              <w:pageBreakBefore w:val="0"/>
              <w:numPr>
                <w:ilvl w:val="0"/>
                <w:numId w:val="0"/>
              </w:numPr>
              <w:spacing w:before="0" w:after="30" w:line="240" w:lineRule="auto"/>
              <w:ind w:left="0" w:right="0" w:firstLine="0"/>
              <w:jc w:val="left"/>
              <w:outlineLvl w:val="9"/>
              <w:rPr>
                <w:rFonts w:ascii="Arial" w:eastAsia="Arial" w:hAnsi="Arial" w:cs="Arial"/>
                <w:b/>
                <w:i w:val="0"/>
                <w:color w:val="4494D1"/>
                <w:sz w:val="18"/>
                <w:u w:val="none"/>
              </w:rPr>
            </w:pPr>
          </w:p>
        </w:tc>
        <w:tc>
          <w:tcPr>
            <w:tcW w:w="7455" w:type="dxa"/>
            <w:gridSpan w:val="6"/>
            <w:vMerge/>
            <w:tcBorders>
              <w:top w:val="nil"/>
              <w:left w:val="single" w:sz="8" w:space="0" w:color="4494D1"/>
              <w:bottom w:val="nil"/>
              <w:right w:val="nil"/>
            </w:tcBorders>
          </w:tcPr>
          <w:p>
            <w:pPr>
              <w:keepNext/>
              <w:pageBreakBefore w:val="0"/>
            </w:pPr>
          </w:p>
        </w:tc>
      </w:tr>
      <w:tr>
        <w:tblPrEx>
          <w:tblW w:w="10260" w:type="dxa"/>
          <w:tblInd w:w="0" w:type="dxa"/>
          <w:tblLayout w:type="fixed"/>
          <w:tblCellMar>
            <w:left w:w="108" w:type="dxa"/>
            <w:right w:w="108" w:type="dxa"/>
          </w:tblCellMar>
        </w:tblPrEx>
        <w:trPr>
          <w:cantSplit/>
          <w:trHeight w:hRule="exact" w:val="135"/>
        </w:trPr>
        <w:tc>
          <w:tcPr>
            <w:tcW w:w="1500"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80"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800"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560"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r>
    </w:tbl>
    <w:p>
      <w:pPr>
        <w:keepNext/>
        <w:keepLines/>
        <w:pageBreakBefore w:val="0"/>
        <w:widowControl w:val="0"/>
        <w:numPr>
          <w:ilvl w:val="0"/>
          <w:numId w:val="0"/>
        </w:numPr>
        <w:spacing w:before="120" w:after="0" w:line="300" w:lineRule="auto"/>
        <w:ind w:left="-720" w:right="0" w:firstLine="720"/>
        <w:jc w:val="both"/>
        <w:outlineLvl w:val="9"/>
        <w:rPr>
          <w:rFonts w:ascii="Arial" w:eastAsia="Arial" w:hAnsi="Arial" w:cs="Arial"/>
          <w:b w:val="0"/>
          <w:i w:val="0"/>
          <w:sz w:val="10"/>
        </w:rPr>
      </w:pP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500"/>
        <w:gridCol w:w="1305"/>
        <w:gridCol w:w="1305"/>
        <w:gridCol w:w="1305"/>
        <w:gridCol w:w="1305"/>
        <w:gridCol w:w="180"/>
        <w:gridCol w:w="1800"/>
        <w:gridCol w:w="1560"/>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65"/>
        </w:trPr>
        <w:tc>
          <w:tcPr>
            <w:tcW w:w="6720" w:type="dxa"/>
            <w:gridSpan w:val="5"/>
            <w:tcBorders>
              <w:top w:val="single" w:sz="12" w:space="0" w:color="4494D1"/>
              <w:left w:val="nil"/>
              <w:bottom w:val="nil"/>
              <w:right w:val="nil"/>
            </w:tcBorders>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color w:val="4494D1"/>
                <w:sz w:val="24"/>
                <w:u w:val="none"/>
              </w:rPr>
            </w:pPr>
            <w:r>
              <w:rPr>
                <w:rFonts w:ascii="Arial" w:eastAsia="Arial" w:hAnsi="Arial" w:cs="Arial"/>
                <w:b/>
                <w:i w:val="0"/>
                <w:color w:val="4494D1"/>
                <w:sz w:val="24"/>
                <w:u w:val="none"/>
              </w:rPr>
              <w:t>Human Resources and Compensation Committee</w:t>
            </w:r>
          </w:p>
        </w:tc>
        <w:tc>
          <w:tcPr>
            <w:tcW w:w="180" w:type="dxa"/>
            <w:tcBorders>
              <w:top w:val="single" w:sz="12" w:space="0" w:color="4494D1"/>
              <w:left w:val="nil"/>
              <w:bottom w:val="nil"/>
              <w:right w:val="nil"/>
            </w:tcBorders>
            <w:tcMar>
              <w:top w:w="0" w:type="dxa"/>
              <w:left w:w="0" w:type="dxa"/>
              <w:bottom w:w="0" w:type="dxa"/>
              <w:right w:w="0" w:type="dxa"/>
            </w:tcMar>
            <w:vAlign w:val="bottom"/>
          </w:tcPr>
          <w:p>
            <w:pPr>
              <w:pageBreakBefore w:val="0"/>
              <w:spacing w:before="0" w:after="0"/>
            </w:pPr>
          </w:p>
        </w:tc>
        <w:tc>
          <w:tcPr>
            <w:tcW w:w="1800" w:type="dxa"/>
            <w:tcBorders>
              <w:top w:val="single" w:sz="12" w:space="0" w:color="4494D1"/>
              <w:left w:val="nil"/>
              <w:bottom w:val="nil"/>
              <w:right w:val="nil"/>
            </w:tcBorders>
            <w:tcMar>
              <w:top w:w="0" w:type="dxa"/>
              <w:left w:w="0" w:type="dxa"/>
              <w:bottom w:w="0" w:type="dxa"/>
              <w:right w:w="0" w:type="dxa"/>
            </w:tcMar>
            <w:vAlign w:val="bottom"/>
          </w:tcPr>
          <w:p>
            <w:pPr>
              <w:pageBreakBefore w:val="0"/>
              <w:spacing w:before="0" w:after="0"/>
            </w:pPr>
          </w:p>
        </w:tc>
        <w:tc>
          <w:tcPr>
            <w:tcW w:w="1560" w:type="dxa"/>
            <w:tcBorders>
              <w:top w:val="single" w:sz="12" w:space="0" w:color="4494D1"/>
              <w:left w:val="nil"/>
              <w:bottom w:val="nil"/>
              <w:right w:val="nil"/>
            </w:tcBorders>
            <w:tcMar>
              <w:top w:w="0" w:type="dxa"/>
              <w:left w:w="0" w:type="dxa"/>
              <w:bottom w:w="0" w:type="dxa"/>
              <w:right w:w="0" w:type="dxa"/>
            </w:tcMar>
            <w:vAlign w:val="bottom"/>
          </w:tcPr>
          <w:p>
            <w:pPr>
              <w:pageBreakBefore w:val="0"/>
              <w:spacing w:before="0" w:after="0"/>
            </w:pPr>
          </w:p>
        </w:tc>
      </w:tr>
      <w:tr>
        <w:tblPrEx>
          <w:tblW w:w="10260" w:type="dxa"/>
          <w:tblInd w:w="0" w:type="dxa"/>
          <w:tblLayout w:type="fixed"/>
          <w:tblCellMar>
            <w:left w:w="108" w:type="dxa"/>
            <w:right w:w="108" w:type="dxa"/>
          </w:tblCellMar>
        </w:tblPrEx>
        <w:trPr>
          <w:cantSplit/>
          <w:trHeight w:hRule="exact" w:val="60"/>
        </w:trPr>
        <w:tc>
          <w:tcPr>
            <w:tcW w:w="6720" w:type="dxa"/>
            <w:gridSpan w:val="5"/>
            <w:tcBorders>
              <w:top w:val="nil"/>
              <w:left w:val="nil"/>
              <w:bottom w:val="nil"/>
              <w:right w:val="nil"/>
            </w:tcBorders>
            <w:shd w:val="clear" w:color="auto" w:fill="DBDBDB"/>
            <w:tcMar>
              <w:top w:w="0" w:type="dxa"/>
              <w:left w:w="0" w:type="dxa"/>
              <w:bottom w:w="0" w:type="dxa"/>
              <w:right w:w="0" w:type="dxa"/>
            </w:tcMar>
            <w:vAlign w:val="bottom"/>
          </w:tcPr>
          <w:p>
            <w:pPr>
              <w:pageBreakBefore w:val="0"/>
              <w:spacing w:before="0" w:after="0"/>
            </w:pPr>
          </w:p>
        </w:tc>
        <w:tc>
          <w:tcPr>
            <w:tcW w:w="180" w:type="dxa"/>
            <w:tcBorders>
              <w:top w:val="nil"/>
              <w:left w:val="nil"/>
              <w:bottom w:val="nil"/>
              <w:right w:val="nil"/>
            </w:tcBorders>
            <w:shd w:val="clear" w:color="auto" w:fill="DBDBDB"/>
            <w:tcMar>
              <w:top w:w="0" w:type="dxa"/>
              <w:left w:w="0" w:type="dxa"/>
              <w:bottom w:w="0" w:type="dxa"/>
              <w:right w:w="0" w:type="dxa"/>
            </w:tcMar>
            <w:vAlign w:val="bottom"/>
          </w:tcPr>
          <w:p>
            <w:pPr>
              <w:pageBreakBefore w:val="0"/>
              <w:spacing w:before="0" w:after="0"/>
            </w:pPr>
          </w:p>
        </w:tc>
        <w:tc>
          <w:tcPr>
            <w:tcW w:w="1800" w:type="dxa"/>
            <w:tcBorders>
              <w:top w:val="nil"/>
              <w:left w:val="nil"/>
              <w:bottom w:val="nil"/>
              <w:right w:val="nil"/>
            </w:tcBorders>
            <w:shd w:val="clear" w:color="auto" w:fill="DBDBDB"/>
            <w:tcMar>
              <w:top w:w="0" w:type="dxa"/>
              <w:left w:w="0" w:type="dxa"/>
              <w:bottom w:w="0" w:type="dxa"/>
              <w:right w:w="0" w:type="dxa"/>
            </w:tcMar>
            <w:vAlign w:val="bottom"/>
          </w:tcPr>
          <w:p>
            <w:pPr>
              <w:pageBreakBefore w:val="0"/>
              <w:spacing w:before="0" w:after="0"/>
            </w:pPr>
          </w:p>
        </w:tc>
        <w:tc>
          <w:tcPr>
            <w:tcW w:w="1560" w:type="dxa"/>
            <w:tcBorders>
              <w:top w:val="nil"/>
              <w:left w:val="nil"/>
              <w:bottom w:val="nil"/>
              <w:right w:val="nil"/>
            </w:tcBorders>
            <w:shd w:val="clear" w:color="auto" w:fill="DBDBDB"/>
            <w:tcMar>
              <w:top w:w="0" w:type="dxa"/>
              <w:left w:w="0" w:type="dxa"/>
              <w:bottom w:w="0" w:type="dxa"/>
              <w:right w:w="0" w:type="dxa"/>
            </w:tcMar>
            <w:vAlign w:val="bottom"/>
          </w:tcPr>
          <w:p>
            <w:pPr>
              <w:pageBreakBefore w:val="0"/>
              <w:spacing w:before="0" w:after="0"/>
            </w:pPr>
          </w:p>
        </w:tc>
      </w:tr>
      <w:tr>
        <w:tblPrEx>
          <w:tblW w:w="10260" w:type="dxa"/>
          <w:tblInd w:w="0" w:type="dxa"/>
          <w:tblLayout w:type="fixed"/>
          <w:tblCellMar>
            <w:left w:w="108" w:type="dxa"/>
            <w:right w:w="108" w:type="dxa"/>
          </w:tblCellMar>
        </w:tblPrEx>
        <w:trPr>
          <w:cantSplit/>
          <w:trHeight w:hRule="exact" w:val="285"/>
        </w:trPr>
        <w:tc>
          <w:tcPr>
            <w:tcW w:w="1500" w:type="dxa"/>
            <w:tcBorders>
              <w:top w:val="nil"/>
              <w:left w:val="nil"/>
              <w:bottom w:val="nil"/>
              <w:right w:val="nil"/>
            </w:tcBorders>
            <w:tcMar>
              <w:top w:w="0" w:type="dxa"/>
              <w:left w:w="53" w:type="dxa"/>
              <w:bottom w:w="0" w:type="dxa"/>
              <w:right w:w="53" w:type="dxa"/>
            </w:tcMar>
            <w:vAlign w:val="bottom"/>
          </w:tcPr>
          <w:p>
            <w:pPr>
              <w:pageBreakBefore w:val="0"/>
              <w:spacing w:before="53" w:after="30" w:line="288" w:lineRule="auto"/>
              <w:jc w:val="left"/>
            </w:pPr>
            <w:r>
              <w:rPr>
                <w:rFonts w:ascii="Arial" w:eastAsia="Arial" w:hAnsi="Arial" w:cs="Arial"/>
                <w:b/>
                <w:i w:val="0"/>
                <w:color w:val="4494D1"/>
                <w:sz w:val="18"/>
                <w:u w:val="none"/>
              </w:rPr>
              <w:t>CHAIR</w:t>
            </w:r>
          </w:p>
        </w:tc>
        <w:tc>
          <w:tcPr>
            <w:tcW w:w="1305" w:type="dxa"/>
            <w:tcBorders>
              <w:top w:val="nil"/>
              <w:left w:val="nil"/>
              <w:bottom w:val="nil"/>
              <w:right w:val="nil"/>
            </w:tcBorders>
            <w:tcMar>
              <w:top w:w="0" w:type="dxa"/>
              <w:left w:w="53" w:type="dxa"/>
              <w:bottom w:w="0" w:type="dxa"/>
              <w:right w:w="53" w:type="dxa"/>
            </w:tcMar>
            <w:vAlign w:val="bottom"/>
          </w:tcPr>
          <w:p>
            <w:pPr>
              <w:pageBreakBefore w:val="0"/>
              <w:spacing w:before="53" w:after="30" w:line="288" w:lineRule="auto"/>
              <w:jc w:val="left"/>
            </w:pPr>
            <w:r>
              <w:rPr>
                <w:rFonts w:ascii="Arial" w:eastAsia="Arial" w:hAnsi="Arial" w:cs="Arial"/>
                <w:b/>
                <w:i w:val="0"/>
                <w:color w:val="4494D1"/>
                <w:sz w:val="18"/>
                <w:u w:val="none"/>
              </w:rPr>
              <w:t>MEMBERS</w:t>
            </w:r>
          </w:p>
        </w:tc>
        <w:tc>
          <w:tcPr>
            <w:tcW w:w="130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80" w:type="dxa"/>
            <w:tcBorders>
              <w:top w:val="nil"/>
              <w:left w:val="dotted" w:sz="8" w:space="0" w:color="4494D1"/>
              <w:bottom w:val="nil"/>
              <w:right w:val="nil"/>
            </w:tcBorders>
            <w:tcMar>
              <w:top w:w="0" w:type="dxa"/>
              <w:left w:w="0" w:type="dxa"/>
              <w:bottom w:w="0" w:type="dxa"/>
              <w:right w:w="0" w:type="dxa"/>
            </w:tcMar>
            <w:vAlign w:val="bottom"/>
          </w:tcPr>
          <w:p>
            <w:pPr>
              <w:pageBreakBefore w:val="0"/>
              <w:spacing w:before="0" w:after="0"/>
            </w:pPr>
          </w:p>
        </w:tc>
        <w:tc>
          <w:tcPr>
            <w:tcW w:w="1800" w:type="dxa"/>
            <w:tcBorders>
              <w:top w:val="nil"/>
              <w:left w:val="nil"/>
              <w:bottom w:val="nil"/>
              <w:right w:val="nil"/>
            </w:tcBorders>
            <w:tcMar>
              <w:top w:w="0" w:type="dxa"/>
              <w:left w:w="53" w:type="dxa"/>
              <w:bottom w:w="0" w:type="dxa"/>
              <w:right w:w="53" w:type="dxa"/>
            </w:tcMar>
            <w:vAlign w:val="bottom"/>
          </w:tcPr>
          <w:p>
            <w:pPr>
              <w:pageBreakBefore w:val="0"/>
              <w:spacing w:before="53" w:after="30" w:line="288" w:lineRule="auto"/>
              <w:jc w:val="left"/>
            </w:pPr>
            <w:r>
              <w:rPr>
                <w:rFonts w:ascii="Arial" w:eastAsia="Arial" w:hAnsi="Arial" w:cs="Arial"/>
                <w:b/>
                <w:i w:val="0"/>
                <w:color w:val="4494D1"/>
                <w:sz w:val="18"/>
                <w:u w:val="none"/>
              </w:rPr>
              <w:t xml:space="preserve">MEETINGS HELD </w:t>
            </w:r>
          </w:p>
        </w:tc>
        <w:tc>
          <w:tcPr>
            <w:tcW w:w="15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r>
        <w:tblPrEx>
          <w:tblW w:w="10260" w:type="dxa"/>
          <w:tblInd w:w="0" w:type="dxa"/>
          <w:tblLayout w:type="fixed"/>
          <w:tblCellMar>
            <w:left w:w="108" w:type="dxa"/>
            <w:right w:w="108" w:type="dxa"/>
          </w:tblCellMar>
        </w:tblPrEx>
        <w:trPr>
          <w:cantSplit/>
          <w:trHeight w:hRule="exact" w:val="285"/>
        </w:trPr>
        <w:tc>
          <w:tcPr>
            <w:tcW w:w="1500"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80" type="#_x0000_t75" style="width:37.94pt;height:43.5pt">
                  <v:imagedata r:id="rId46" o:title=""/>
                  <o:lock v:ext="edit" aspectratio="t"/>
                </v:shape>
              </w:pict>
            </w:r>
          </w:p>
        </w:tc>
        <w:tc>
          <w:tcPr>
            <w:tcW w:w="1305"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81" type="#_x0000_t75" style="width:36.82pt;height:42.75pt">
                  <v:imagedata r:id="rId48" o:title=""/>
                  <o:lock v:ext="edit" aspectratio="t"/>
                </v:shape>
              </w:pict>
            </w:r>
          </w:p>
        </w:tc>
        <w:tc>
          <w:tcPr>
            <w:tcW w:w="130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82" type="#_x0000_t75" style="width:35.9pt;height:45pt">
                  <v:imagedata r:id="rId51" o:title=""/>
                  <o:lock v:ext="edit" aspectratio="t"/>
                </v:shape>
              </w:pict>
            </w:r>
          </w:p>
        </w:tc>
        <w:tc>
          <w:tcPr>
            <w:tcW w:w="1305"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83" type="#_x0000_t75" style="width:38.53pt;height:43.5pt">
                  <v:imagedata r:id="rId57" o:title=""/>
                  <o:lock v:ext="edit" aspectratio="t"/>
                </v:shape>
              </w:pict>
            </w:r>
          </w:p>
        </w:tc>
        <w:tc>
          <w:tcPr>
            <w:tcW w:w="1305" w:type="dxa"/>
            <w:vMerge w:val="restart"/>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300" w:lineRule="auto"/>
              <w:ind w:left="0" w:right="0" w:firstLine="0"/>
              <w:jc w:val="both"/>
              <w:outlineLvl w:val="9"/>
              <w:rPr>
                <w:rFonts w:ascii="Arial" w:eastAsia="Arial" w:hAnsi="Arial" w:cs="Arial"/>
                <w:b w:val="0"/>
                <w:i w:val="0"/>
                <w:sz w:val="20"/>
              </w:rPr>
            </w:pPr>
            <w:r>
              <w:rPr>
                <w:rFonts w:ascii="Arial" w:eastAsia="Arial" w:hAnsi="Arial" w:cs="Arial"/>
                <w:b/>
                <w:i w:val="0"/>
                <w:color w:val="4494D1"/>
                <w:sz w:val="18"/>
                <w:u w:val="none"/>
              </w:rPr>
              <w:t xml:space="preserve">IN </w:t>
            </w:r>
            <w:r>
              <w:rPr>
                <w:rFonts w:ascii="Arial" w:eastAsia="Arial" w:hAnsi="Arial" w:cs="Arial"/>
                <w:b/>
                <w:i w:val="0"/>
                <w:color w:val="4494D1"/>
                <w:sz w:val="18"/>
                <w:u w:val="none"/>
              </w:rPr>
              <w:t>2023</w:t>
            </w:r>
            <w:r>
              <w:rPr>
                <w:rFonts w:ascii="Arial" w:eastAsia="Arial" w:hAnsi="Arial" w:cs="Arial"/>
                <w:b/>
                <w:i w:val="0"/>
                <w:color w:val="4494D1"/>
                <w:sz w:val="18"/>
                <w:u w:val="none"/>
              </w:rPr>
              <w:t>:</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85"/>
        </w:trPr>
        <w:tc>
          <w:tcPr>
            <w:tcW w:w="1500"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i w:val="0"/>
                <w:sz w:val="28"/>
              </w:rPr>
            </w:pPr>
            <w:r>
              <w:rPr>
                <w:rFonts w:ascii="Arial" w:eastAsia="Arial" w:hAnsi="Arial" w:cs="Arial"/>
                <w:b/>
                <w:i w:val="0"/>
                <w:color w:val="000000"/>
                <w:sz w:val="28"/>
                <w:u w:val="none"/>
              </w:rPr>
              <w:t>6</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165"/>
        </w:trPr>
        <w:tc>
          <w:tcPr>
            <w:tcW w:w="1500"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195"/>
        </w:trPr>
        <w:tc>
          <w:tcPr>
            <w:tcW w:w="1500" w:type="dxa"/>
            <w:vMerge/>
            <w:tcBorders>
              <w:top w:val="nil"/>
              <w:left w:val="nil"/>
              <w:bottom w:val="nil"/>
              <w:right w:val="nil"/>
            </w:tcBorders>
          </w:tcPr>
          <w:p>
            <w:pPr>
              <w:pageBreakBefore w:val="0"/>
            </w:pPr>
          </w:p>
        </w:tc>
        <w:tc>
          <w:tcPr>
            <w:tcW w:w="1305" w:type="dxa"/>
            <w:vMerge/>
            <w:tcBorders>
              <w:top w:val="nil"/>
              <w:left w:val="nil"/>
              <w:bottom w:val="nil"/>
              <w:right w:val="nil"/>
            </w:tcBorders>
          </w:tcPr>
          <w:p>
            <w:pPr>
              <w:pageBreakBefore w:val="0"/>
            </w:pPr>
          </w:p>
        </w:tc>
        <w:tc>
          <w:tcPr>
            <w:tcW w:w="1305" w:type="dxa"/>
            <w:vMerge/>
            <w:tcBorders>
              <w:top w:val="nil"/>
              <w:left w:val="nil"/>
              <w:bottom w:val="nil"/>
              <w:right w:val="nil"/>
            </w:tcBorders>
          </w:tcPr>
          <w:p>
            <w:pPr>
              <w:pageBreakBefore w:val="0"/>
            </w:pPr>
          </w:p>
        </w:tc>
        <w:tc>
          <w:tcPr>
            <w:tcW w:w="1305" w:type="dxa"/>
            <w:vMerge/>
            <w:tcBorders>
              <w:top w:val="nil"/>
              <w:left w:val="nil"/>
              <w:bottom w:val="nil"/>
              <w:right w:val="nil"/>
            </w:tcBorders>
          </w:tcPr>
          <w:p>
            <w:pPr>
              <w:pageBreakBefore w:val="0"/>
            </w:pPr>
          </w:p>
        </w:tc>
        <w:tc>
          <w:tcPr>
            <w:tcW w:w="1305" w:type="dxa"/>
            <w:vMerge/>
            <w:tcBorders>
              <w:top w:val="nil"/>
              <w:left w:val="nil"/>
              <w:bottom w:val="nil"/>
              <w:right w:val="nil"/>
            </w:tcBorders>
          </w:tcPr>
          <w:p>
            <w:pPr>
              <w:pageBreakBefore w:val="0"/>
            </w:pPr>
          </w:p>
        </w:tc>
        <w:tc>
          <w:tcPr>
            <w:tcW w:w="180" w:type="dxa"/>
            <w:tcBorders>
              <w:top w:val="nil"/>
              <w:left w:val="dotted" w:sz="8" w:space="0" w:color="4494D1"/>
              <w:bottom w:val="nil"/>
              <w:right w:val="nil"/>
            </w:tcBorders>
            <w:tcMar>
              <w:top w:w="0" w:type="dxa"/>
              <w:left w:w="0" w:type="dxa"/>
              <w:bottom w:w="0" w:type="dxa"/>
              <w:right w:w="0" w:type="dxa"/>
            </w:tcMar>
            <w:vAlign w:val="bottom"/>
          </w:tcPr>
          <w:p>
            <w:pPr>
              <w:pageBreakBefore w:val="0"/>
              <w:spacing w:before="0" w:after="0"/>
            </w:pPr>
          </w:p>
        </w:tc>
        <w:tc>
          <w:tcPr>
            <w:tcW w:w="1800" w:type="dxa"/>
            <w:tcBorders>
              <w:top w:val="nil"/>
              <w:left w:val="nil"/>
              <w:bottom w:val="nil"/>
              <w:right w:val="nil"/>
            </w:tcBorders>
            <w:tcMar>
              <w:top w:w="0" w:type="dxa"/>
              <w:left w:w="53" w:type="dxa"/>
              <w:bottom w:w="0" w:type="dxa"/>
              <w:right w:w="53" w:type="dxa"/>
            </w:tcMar>
            <w:vAlign w:val="bottom"/>
          </w:tcPr>
          <w:p>
            <w:pPr>
              <w:pageBreakBefore w:val="0"/>
              <w:spacing w:before="53" w:after="30" w:line="288" w:lineRule="auto"/>
              <w:jc w:val="left"/>
            </w:pPr>
            <w:r>
              <w:rPr>
                <w:rFonts w:ascii="Arial" w:eastAsia="Arial" w:hAnsi="Arial" w:cs="Arial"/>
                <w:b/>
                <w:i w:val="0"/>
                <w:color w:val="4494D1"/>
                <w:sz w:val="18"/>
                <w:u w:val="none"/>
              </w:rPr>
              <w:t>INDEPENDENCE</w:t>
            </w:r>
          </w:p>
        </w:tc>
        <w:tc>
          <w:tcPr>
            <w:tcW w:w="15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r>
        <w:tblPrEx>
          <w:tblW w:w="10260" w:type="dxa"/>
          <w:tblInd w:w="0" w:type="dxa"/>
          <w:tblLayout w:type="fixed"/>
          <w:tblCellMar>
            <w:left w:w="108" w:type="dxa"/>
            <w:right w:w="108" w:type="dxa"/>
          </w:tblCellMar>
        </w:tblPrEx>
        <w:trPr>
          <w:cantSplit/>
          <w:trHeight w:hRule="exact" w:val="405"/>
        </w:trPr>
        <w:tc>
          <w:tcPr>
            <w:tcW w:w="1500" w:type="dxa"/>
            <w:tcBorders>
              <w:top w:val="nil"/>
              <w:left w:val="nil"/>
              <w:bottom w:val="nil"/>
              <w:right w:val="nil"/>
            </w:tcBorders>
            <w:tcMar>
              <w:top w:w="0" w:type="dxa"/>
              <w:left w:w="53" w:type="dxa"/>
              <w:bottom w:w="0" w:type="dxa"/>
              <w:right w:w="53" w:type="dxa"/>
            </w:tcMar>
            <w:vAlign w:val="bottom"/>
          </w:tcPr>
          <w:p>
            <w:pPr>
              <w:pageBreakBefore w:val="0"/>
              <w:spacing w:before="53" w:line="240" w:lineRule="auto"/>
              <w:ind w:left="90" w:hanging="90"/>
              <w:jc w:val="left"/>
            </w:pPr>
            <w:r>
              <w:rPr>
                <w:rFonts w:ascii="Arial" w:eastAsia="Arial" w:hAnsi="Arial" w:cs="Arial"/>
                <w:b/>
                <w:i w:val="0"/>
                <w:color w:val="000000"/>
                <w:sz w:val="18"/>
                <w:u w:val="none"/>
              </w:rPr>
              <w:t xml:space="preserve">B. Frederick </w:t>
            </w:r>
          </w:p>
          <w:p>
            <w:pPr>
              <w:spacing w:after="30" w:line="240" w:lineRule="auto"/>
              <w:ind w:left="90" w:hanging="90"/>
              <w:jc w:val="left"/>
            </w:pPr>
            <w:r>
              <w:rPr>
                <w:rFonts w:ascii="Arial" w:eastAsia="Arial" w:hAnsi="Arial" w:cs="Arial"/>
                <w:b/>
                <w:i w:val="0"/>
                <w:color w:val="000000"/>
                <w:sz w:val="18"/>
                <w:u w:val="none"/>
              </w:rPr>
              <w:t>Becker</w:t>
            </w:r>
          </w:p>
        </w:tc>
        <w:tc>
          <w:tcPr>
            <w:tcW w:w="1305" w:type="dxa"/>
            <w:tcBorders>
              <w:top w:val="nil"/>
              <w:left w:val="nil"/>
              <w:bottom w:val="nil"/>
              <w:right w:val="nil"/>
            </w:tcBorders>
            <w:tcMar>
              <w:top w:w="0" w:type="dxa"/>
              <w:left w:w="53" w:type="dxa"/>
              <w:bottom w:w="0" w:type="dxa"/>
              <w:right w:w="53" w:type="dxa"/>
            </w:tcMar>
            <w:vAlign w:val="bottom"/>
          </w:tcPr>
          <w:p>
            <w:pPr>
              <w:pageBreakBefore w:val="0"/>
              <w:spacing w:before="53" w:after="30" w:line="240" w:lineRule="auto"/>
              <w:jc w:val="left"/>
            </w:pPr>
            <w:r>
              <w:rPr>
                <w:rFonts w:ascii="Arial" w:eastAsia="Arial" w:hAnsi="Arial" w:cs="Arial"/>
                <w:b/>
                <w:i w:val="0"/>
                <w:color w:val="000000"/>
                <w:sz w:val="18"/>
                <w:u w:val="none"/>
              </w:rPr>
              <w:t>Robert J. Campbell</w:t>
            </w:r>
          </w:p>
        </w:tc>
        <w:tc>
          <w:tcPr>
            <w:tcW w:w="1305" w:type="dxa"/>
            <w:tcBorders>
              <w:top w:val="nil"/>
              <w:left w:val="nil"/>
              <w:bottom w:val="nil"/>
              <w:right w:val="nil"/>
            </w:tcBorders>
            <w:tcMar>
              <w:top w:w="0" w:type="dxa"/>
              <w:left w:w="53" w:type="dxa"/>
              <w:bottom w:w="0" w:type="dxa"/>
              <w:right w:w="53" w:type="dxa"/>
            </w:tcMar>
            <w:vAlign w:val="bottom"/>
          </w:tcPr>
          <w:p>
            <w:pPr>
              <w:pageBreakBefore w:val="0"/>
              <w:spacing w:before="53" w:after="30" w:line="240" w:lineRule="auto"/>
              <w:jc w:val="left"/>
            </w:pPr>
            <w:r>
              <w:rPr>
                <w:rFonts w:ascii="Arial" w:eastAsia="Arial" w:hAnsi="Arial" w:cs="Arial"/>
                <w:b/>
                <w:i w:val="0"/>
                <w:color w:val="000000"/>
                <w:sz w:val="18"/>
                <w:u w:val="none"/>
              </w:rPr>
              <w:t>Hans-Peter Gerhardt</w:t>
            </w:r>
          </w:p>
        </w:tc>
        <w:tc>
          <w:tcPr>
            <w:tcW w:w="1305" w:type="dxa"/>
            <w:tcBorders>
              <w:top w:val="nil"/>
              <w:left w:val="nil"/>
              <w:bottom w:val="nil"/>
              <w:right w:val="nil"/>
            </w:tcBorders>
            <w:tcMar>
              <w:top w:w="0" w:type="dxa"/>
              <w:left w:w="53" w:type="dxa"/>
              <w:bottom w:w="0" w:type="dxa"/>
              <w:right w:w="53" w:type="dxa"/>
            </w:tcMar>
            <w:vAlign w:val="top"/>
          </w:tcPr>
          <w:p>
            <w:pPr>
              <w:pageBreakBefore w:val="0"/>
              <w:spacing w:before="53" w:line="240" w:lineRule="auto"/>
              <w:jc w:val="left"/>
            </w:pPr>
            <w:r>
              <w:rPr>
                <w:rFonts w:ascii="Arial" w:eastAsia="Arial" w:hAnsi="Arial" w:cs="Arial"/>
                <w:b/>
                <w:i w:val="0"/>
                <w:color w:val="000000"/>
                <w:sz w:val="18"/>
                <w:u w:val="none"/>
              </w:rPr>
              <w:t>Poul A.</w:t>
            </w:r>
          </w:p>
          <w:p>
            <w:pPr>
              <w:spacing w:after="30" w:line="240" w:lineRule="auto"/>
              <w:jc w:val="left"/>
            </w:pPr>
            <w:r>
              <w:rPr>
                <w:rFonts w:ascii="Arial" w:eastAsia="Arial" w:hAnsi="Arial" w:cs="Arial"/>
                <w:b/>
                <w:i w:val="0"/>
                <w:color w:val="000000"/>
                <w:sz w:val="18"/>
                <w:u w:val="none"/>
              </w:rPr>
              <w:t>Winslow</w:t>
            </w:r>
          </w:p>
        </w:tc>
        <w:tc>
          <w:tcPr>
            <w:tcW w:w="130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80" w:type="dxa"/>
            <w:tcBorders>
              <w:top w:val="nil"/>
              <w:left w:val="dotted" w:sz="8" w:space="0" w:color="4494D1"/>
              <w:bottom w:val="nil"/>
              <w:right w:val="nil"/>
            </w:tcBorders>
            <w:tcMar>
              <w:top w:w="0" w:type="dxa"/>
              <w:left w:w="0" w:type="dxa"/>
              <w:bottom w:w="0" w:type="dxa"/>
              <w:right w:w="0" w:type="dxa"/>
            </w:tcMar>
            <w:vAlign w:val="bottom"/>
          </w:tcPr>
          <w:p>
            <w:pPr>
              <w:pageBreakBefore w:val="0"/>
              <w:spacing w:before="0" w:after="0"/>
            </w:pPr>
          </w:p>
        </w:tc>
        <w:tc>
          <w:tcPr>
            <w:tcW w:w="180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i w:val="0"/>
                <w:sz w:val="20"/>
              </w:rPr>
            </w:pPr>
            <w:r>
              <w:rPr>
                <w:rFonts w:ascii="Arial" w:eastAsia="Arial" w:hAnsi="Arial" w:cs="Arial"/>
                <w:b/>
                <w:i w:val="0"/>
                <w:sz w:val="28"/>
              </w:rPr>
              <w:t>4</w:t>
            </w:r>
            <w:r>
              <w:rPr>
                <w:rFonts w:ascii="Arial" w:eastAsia="Arial" w:hAnsi="Arial" w:cs="Arial"/>
                <w:b/>
                <w:i w:val="0"/>
                <w:sz w:val="20"/>
              </w:rPr>
              <w:t xml:space="preserve"> out of 4</w:t>
            </w:r>
          </w:p>
        </w:tc>
        <w:tc>
          <w:tcPr>
            <w:tcW w:w="15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r>
        <w:tblPrEx>
          <w:tblW w:w="10260" w:type="dxa"/>
          <w:tblInd w:w="0" w:type="dxa"/>
          <w:tblLayout w:type="fixed"/>
          <w:tblCellMar>
            <w:left w:w="108" w:type="dxa"/>
            <w:right w:w="108" w:type="dxa"/>
          </w:tblCellMar>
        </w:tblPrEx>
        <w:trPr>
          <w:cantSplit/>
          <w:trHeight w:hRule="exact" w:val="60"/>
        </w:trPr>
        <w:tc>
          <w:tcPr>
            <w:tcW w:w="1500" w:type="dxa"/>
            <w:tcBorders>
              <w:top w:val="nil"/>
              <w:left w:val="nil"/>
              <w:bottom w:val="nil"/>
              <w:right w:val="nil"/>
            </w:tcBorders>
            <w:shd w:val="clear" w:color="auto" w:fill="DBDBDB"/>
            <w:tcMar>
              <w:top w:w="0" w:type="dxa"/>
              <w:left w:w="0" w:type="dxa"/>
              <w:bottom w:w="0" w:type="dxa"/>
              <w:right w:w="0" w:type="dxa"/>
            </w:tcMar>
            <w:vAlign w:val="bottom"/>
          </w:tcPr>
          <w:p>
            <w:pPr>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pageBreakBefore w:val="0"/>
              <w:spacing w:before="0" w:after="0"/>
            </w:pPr>
          </w:p>
        </w:tc>
        <w:tc>
          <w:tcPr>
            <w:tcW w:w="180" w:type="dxa"/>
            <w:tcBorders>
              <w:top w:val="nil"/>
              <w:left w:val="nil"/>
              <w:bottom w:val="nil"/>
              <w:right w:val="nil"/>
            </w:tcBorders>
            <w:shd w:val="clear" w:color="auto" w:fill="DBDBDB"/>
            <w:tcMar>
              <w:top w:w="0" w:type="dxa"/>
              <w:left w:w="0" w:type="dxa"/>
              <w:bottom w:w="0" w:type="dxa"/>
              <w:right w:w="0" w:type="dxa"/>
            </w:tcMar>
            <w:vAlign w:val="bottom"/>
          </w:tcPr>
          <w:p>
            <w:pPr>
              <w:pageBreakBefore w:val="0"/>
              <w:spacing w:before="0" w:after="0"/>
            </w:pPr>
          </w:p>
        </w:tc>
        <w:tc>
          <w:tcPr>
            <w:tcW w:w="1800" w:type="dxa"/>
            <w:tcBorders>
              <w:top w:val="nil"/>
              <w:left w:val="nil"/>
              <w:bottom w:val="nil"/>
              <w:right w:val="nil"/>
            </w:tcBorders>
            <w:shd w:val="clear" w:color="auto" w:fill="DBDBDB"/>
            <w:tcMar>
              <w:top w:w="0" w:type="dxa"/>
              <w:left w:w="0" w:type="dxa"/>
              <w:bottom w:w="0" w:type="dxa"/>
              <w:right w:w="0" w:type="dxa"/>
            </w:tcMar>
            <w:vAlign w:val="bottom"/>
          </w:tcPr>
          <w:p>
            <w:pPr>
              <w:pageBreakBefore w:val="0"/>
              <w:spacing w:before="0" w:after="0"/>
            </w:pPr>
          </w:p>
        </w:tc>
        <w:tc>
          <w:tcPr>
            <w:tcW w:w="1560" w:type="dxa"/>
            <w:tcBorders>
              <w:top w:val="nil"/>
              <w:left w:val="nil"/>
              <w:bottom w:val="nil"/>
              <w:right w:val="nil"/>
            </w:tcBorders>
            <w:shd w:val="clear" w:color="auto" w:fill="DBDBDB"/>
            <w:tcMar>
              <w:top w:w="0" w:type="dxa"/>
              <w:left w:w="0" w:type="dxa"/>
              <w:bottom w:w="0" w:type="dxa"/>
              <w:right w:w="0" w:type="dxa"/>
            </w:tcMar>
            <w:vAlign w:val="bottom"/>
          </w:tcPr>
          <w:p>
            <w:pPr>
              <w:pageBreakBefore w:val="0"/>
              <w:spacing w:before="0" w:after="0"/>
            </w:pPr>
          </w:p>
        </w:tc>
      </w:tr>
      <w:tr>
        <w:tblPrEx>
          <w:tblW w:w="10260" w:type="dxa"/>
          <w:tblInd w:w="0" w:type="dxa"/>
          <w:tblLayout w:type="fixed"/>
          <w:tblCellMar>
            <w:left w:w="108" w:type="dxa"/>
            <w:right w:w="108" w:type="dxa"/>
          </w:tblCellMar>
        </w:tblPrEx>
        <w:trPr>
          <w:cantSplit/>
          <w:trHeight w:hRule="exact" w:val="60"/>
        </w:trPr>
        <w:tc>
          <w:tcPr>
            <w:tcW w:w="150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8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80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5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r>
        <w:tblPrEx>
          <w:tblW w:w="10260" w:type="dxa"/>
          <w:tblInd w:w="0" w:type="dxa"/>
          <w:tblLayout w:type="fixed"/>
          <w:tblCellMar>
            <w:left w:w="108" w:type="dxa"/>
            <w:right w:w="108" w:type="dxa"/>
          </w:tblCellMar>
        </w:tblPrEx>
        <w:trPr>
          <w:cantSplit/>
          <w:trHeight w:hRule="exact" w:val="2385"/>
        </w:trPr>
        <w:tc>
          <w:tcPr>
            <w:tcW w:w="2805" w:type="dxa"/>
            <w:gridSpan w:val="2"/>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0" w:line="240" w:lineRule="auto"/>
              <w:ind w:left="0" w:right="0" w:firstLine="0"/>
              <w:jc w:val="center"/>
              <w:outlineLvl w:val="9"/>
              <w:rPr>
                <w:rFonts w:ascii="Arial" w:eastAsia="Arial" w:hAnsi="Arial" w:cs="Arial"/>
                <w:b/>
                <w:i w:val="0"/>
                <w:color w:val="4494D1"/>
                <w:sz w:val="6"/>
                <w:u w:val="none"/>
              </w:rPr>
            </w:pPr>
            <w:r>
              <w:rPr>
                <w:rFonts w:ascii="Arial" w:eastAsia="Arial" w:hAnsi="Arial" w:cs="Arial"/>
                <w:b/>
                <w:i w:val="0"/>
                <w:color w:val="4494D1"/>
                <w:sz w:val="14"/>
                <w:u w:val="none"/>
              </w:rPr>
              <w:t xml:space="preserve"> </w:t>
            </w:r>
            <w:r>
              <w:rPr>
                <w:rFonts w:ascii="Arial" w:eastAsia="Arial" w:hAnsi="Arial" w:cs="Arial"/>
                <w:b/>
                <w:i w:val="0"/>
                <w:color w:val="4494D1"/>
                <w:sz w:val="6"/>
                <w:u w:val="none"/>
              </w:rPr>
              <w:t xml:space="preserve"> </w:t>
            </w:r>
          </w:p>
          <w:p>
            <w:pPr>
              <w:pageBreakBefore w:val="0"/>
              <w:numPr>
                <w:ilvl w:val="0"/>
                <w:numId w:val="0"/>
              </w:numPr>
              <w:spacing w:before="0" w:after="0" w:line="240" w:lineRule="auto"/>
              <w:ind w:left="0" w:right="0" w:firstLine="0"/>
              <w:jc w:val="left"/>
              <w:outlineLvl w:val="9"/>
              <w:rPr>
                <w:rFonts w:ascii="Arial" w:eastAsia="Arial" w:hAnsi="Arial" w:cs="Arial"/>
                <w:b/>
                <w:i w:val="0"/>
                <w:color w:val="4494D1"/>
                <w:sz w:val="18"/>
                <w:u w:val="none"/>
              </w:rPr>
            </w:pPr>
            <w:r>
              <w:rPr>
                <w:rFonts w:ascii="Arial" w:eastAsia="Arial" w:hAnsi="Arial" w:cs="Arial"/>
                <w:b/>
                <w:i w:val="0"/>
                <w:color w:val="4494D1"/>
                <w:sz w:val="18"/>
                <w:u w:val="none"/>
              </w:rPr>
              <w:t>Additional Information</w:t>
            </w:r>
          </w:p>
          <w:p>
            <w:pPr>
              <w:pageBreakBefore w:val="0"/>
              <w:numPr>
                <w:ilvl w:val="0"/>
                <w:numId w:val="0"/>
              </w:numPr>
              <w:spacing w:before="0" w:after="0" w:line="288" w:lineRule="auto"/>
              <w:ind w:left="0" w:right="0" w:firstLine="0"/>
              <w:jc w:val="center"/>
              <w:outlineLvl w:val="9"/>
              <w:rPr>
                <w:rFonts w:ascii="Arial" w:eastAsia="Arial" w:hAnsi="Arial" w:cs="Arial"/>
                <w:b w:val="0"/>
                <w:i w:val="0"/>
                <w:color w:val="929292"/>
                <w:sz w:val="12"/>
                <w:u w:val="none"/>
              </w:rPr>
            </w:pPr>
          </w:p>
          <w:p>
            <w:pPr>
              <w:pageBreakBefore w:val="0"/>
              <w:numPr>
                <w:ilvl w:val="0"/>
                <w:numId w:val="0"/>
              </w:numPr>
              <w:spacing w:before="0" w:after="30" w:line="240" w:lineRule="auto"/>
              <w:ind w:left="0" w:right="0" w:firstLine="0"/>
              <w:jc w:val="left"/>
              <w:outlineLvl w:val="9"/>
              <w:rPr>
                <w:rFonts w:ascii="Arial" w:eastAsia="Arial" w:hAnsi="Arial" w:cs="Arial"/>
                <w:b w:val="0"/>
                <w:i w:val="0"/>
                <w:color w:val="929292"/>
                <w:sz w:val="18"/>
                <w:u w:val="none"/>
              </w:rPr>
            </w:pPr>
            <w:r>
              <w:rPr>
                <w:rFonts w:ascii="Arial" w:eastAsia="Arial" w:hAnsi="Arial" w:cs="Arial"/>
                <w:b w:val="0"/>
                <w:i w:val="0"/>
                <w:color w:val="929292"/>
                <w:sz w:val="18"/>
                <w:u w:val="none"/>
              </w:rPr>
              <w:t>Additional information on the Human Resources and Compensation Committee and the role of management in setting compensation is provided below in "Executive Compensation - Compensation Discussion and Analysis."</w:t>
            </w:r>
          </w:p>
        </w:tc>
        <w:tc>
          <w:tcPr>
            <w:tcW w:w="7455" w:type="dxa"/>
            <w:gridSpan w:val="6"/>
            <w:vMerge w:val="restart"/>
            <w:tcBorders>
              <w:top w:val="nil"/>
              <w:left w:val="single" w:sz="8" w:space="0" w:color="4494D1"/>
              <w:bottom w:val="nil"/>
              <w:right w:val="nil"/>
            </w:tcBorders>
            <w:tcMar>
              <w:top w:w="0" w:type="dxa"/>
              <w:left w:w="53" w:type="dxa"/>
              <w:bottom w:w="0" w:type="dxa"/>
              <w:right w:w="53" w:type="dxa"/>
            </w:tcMar>
            <w:vAlign w:val="top"/>
          </w:tcPr>
          <w:p>
            <w:pPr>
              <w:keepNext/>
              <w:pageBreakBefore w:val="0"/>
              <w:numPr>
                <w:ilvl w:val="0"/>
                <w:numId w:val="0"/>
              </w:numPr>
              <w:spacing w:before="53" w:after="0" w:line="288" w:lineRule="auto"/>
              <w:ind w:left="90" w:right="0" w:firstLine="0"/>
              <w:jc w:val="left"/>
              <w:outlineLvl w:val="9"/>
              <w:rPr>
                <w:rFonts w:ascii="Arial" w:eastAsia="Arial" w:hAnsi="Arial" w:cs="Arial"/>
                <w:b/>
                <w:i w:val="0"/>
                <w:color w:val="4494D1"/>
                <w:sz w:val="4"/>
                <w:u w:val="none"/>
              </w:rPr>
            </w:pPr>
          </w:p>
          <w:p>
            <w:pPr>
              <w:pageBreakBefore w:val="0"/>
              <w:numPr>
                <w:ilvl w:val="0"/>
                <w:numId w:val="0"/>
              </w:numPr>
              <w:spacing w:before="60" w:after="60" w:line="288" w:lineRule="auto"/>
              <w:ind w:left="90" w:right="0" w:firstLine="0"/>
              <w:jc w:val="left"/>
              <w:outlineLvl w:val="9"/>
              <w:rPr>
                <w:rFonts w:ascii="Arial" w:eastAsia="Arial" w:hAnsi="Arial" w:cs="Arial"/>
                <w:b/>
                <w:i w:val="0"/>
                <w:color w:val="4494D1"/>
                <w:sz w:val="20"/>
                <w:u w:val="none"/>
              </w:rPr>
            </w:pPr>
            <w:r>
              <w:rPr>
                <w:rFonts w:ascii="Arial" w:eastAsia="Arial" w:hAnsi="Arial" w:cs="Arial"/>
                <w:b/>
                <w:i w:val="0"/>
                <w:color w:val="4494D1"/>
                <w:sz w:val="20"/>
                <w:u w:val="none"/>
              </w:rPr>
              <w:t>Primary Responsibilities</w:t>
            </w:r>
          </w:p>
          <w:p>
            <w:pPr>
              <w:pageBreakBefore w:val="0"/>
              <w:numPr>
                <w:ilvl w:val="0"/>
                <w:numId w:val="86"/>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Overseeing policies and strategies relating to talent, leadership and culture, including diversity, equity, and inclusion.</w:t>
            </w:r>
          </w:p>
          <w:p>
            <w:pPr>
              <w:pageBreakBefore w:val="0"/>
              <w:numPr>
                <w:ilvl w:val="0"/>
                <w:numId w:val="87"/>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Overseeing our management development and succession plans and processes.</w:t>
            </w:r>
          </w:p>
          <w:p>
            <w:pPr>
              <w:pageBreakBefore w:val="0"/>
              <w:numPr>
                <w:ilvl w:val="0"/>
                <w:numId w:val="88"/>
              </w:numPr>
              <w:spacing w:before="0" w:after="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Determining the compensation of our executive officers.</w:t>
            </w:r>
          </w:p>
          <w:p>
            <w:pPr>
              <w:pageBreakBefore w:val="0"/>
              <w:numPr>
                <w:ilvl w:val="0"/>
                <w:numId w:val="89"/>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Establishing our compensation philosophy.</w:t>
            </w:r>
          </w:p>
          <w:p>
            <w:pPr>
              <w:pageBreakBefore w:val="0"/>
              <w:numPr>
                <w:ilvl w:val="0"/>
                <w:numId w:val="90"/>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Overseeing the development and implementation of our compensation programs, including our incentive plans and equity plans.</w:t>
            </w:r>
          </w:p>
          <w:p>
            <w:pPr>
              <w:pageBreakBefore w:val="0"/>
              <w:numPr>
                <w:ilvl w:val="0"/>
                <w:numId w:val="91"/>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Overseeing the risks associated with the design and operation of our compensation programs, policies and practices.</w:t>
            </w:r>
          </w:p>
          <w:p>
            <w:pPr>
              <w:pageBreakBefore w:val="0"/>
              <w:numPr>
                <w:ilvl w:val="0"/>
                <w:numId w:val="92"/>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Periodically reviewing the compensation of our directors and making recommendations to our Board with respect to the adequacy and structure of compensation.</w:t>
            </w:r>
          </w:p>
          <w:p>
            <w:pPr>
              <w:pageBreakBefore w:val="0"/>
              <w:numPr>
                <w:ilvl w:val="0"/>
                <w:numId w:val="93"/>
              </w:numPr>
              <w:spacing w:before="0" w:after="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Maintaining sole authority to retain, terminate and approve fees and other terms of engagement of its compensation consultant and to obtain advice and assistance from internal or external legal, accounting or other advisors.</w:t>
            </w:r>
          </w:p>
          <w:p>
            <w:pPr>
              <w:pageBreakBefore w:val="0"/>
              <w:numPr>
                <w:ilvl w:val="0"/>
                <w:numId w:val="0"/>
              </w:numPr>
              <w:spacing w:before="0" w:after="0" w:line="288" w:lineRule="auto"/>
              <w:ind w:left="-450" w:right="90" w:firstLine="180"/>
              <w:jc w:val="left"/>
              <w:outlineLvl w:val="9"/>
              <w:rPr>
                <w:rFonts w:ascii="Arial" w:eastAsia="Arial" w:hAnsi="Arial" w:cs="Arial"/>
                <w:b w:val="0"/>
                <w:i w:val="0"/>
                <w:color w:val="FFFFFF"/>
                <w:sz w:val="18"/>
                <w:u w:val="none"/>
              </w:rPr>
            </w:pPr>
            <w:r>
              <w:rPr>
                <w:rFonts w:ascii="Arial" w:eastAsia="Arial" w:hAnsi="Arial" w:cs="Arial"/>
                <w:b w:val="0"/>
                <w:i w:val="0"/>
                <w:color w:val="FFFFFF"/>
                <w:sz w:val="12"/>
                <w:u w:val="none"/>
              </w:rPr>
              <w:t xml:space="preserve"> </w:t>
            </w:r>
          </w:p>
          <w:p>
            <w:pPr>
              <w:pageBreakBefore w:val="0"/>
              <w:numPr>
                <w:ilvl w:val="0"/>
                <w:numId w:val="0"/>
              </w:numPr>
              <w:spacing w:before="60" w:after="60" w:line="288" w:lineRule="auto"/>
              <w:ind w:left="90" w:right="90" w:firstLine="0"/>
              <w:jc w:val="both"/>
              <w:outlineLvl w:val="9"/>
              <w:rPr>
                <w:rFonts w:ascii="Arial" w:eastAsia="Arial" w:hAnsi="Arial" w:cs="Arial"/>
                <w:b/>
                <w:i w:val="0"/>
                <w:color w:val="4494D1"/>
                <w:sz w:val="20"/>
                <w:u w:val="none"/>
              </w:rPr>
            </w:pPr>
            <w:r>
              <w:rPr>
                <w:rFonts w:ascii="Arial" w:eastAsia="Arial" w:hAnsi="Arial" w:cs="Arial"/>
                <w:b/>
                <w:i w:val="0"/>
                <w:color w:val="4494D1"/>
                <w:sz w:val="20"/>
                <w:u w:val="none"/>
              </w:rPr>
              <w:t>2023</w:t>
            </w:r>
            <w:r>
              <w:rPr>
                <w:rFonts w:ascii="Arial" w:eastAsia="Arial" w:hAnsi="Arial" w:cs="Arial"/>
                <w:b/>
                <w:i w:val="0"/>
                <w:color w:val="4494D1"/>
                <w:sz w:val="20"/>
                <w:u w:val="none"/>
              </w:rPr>
              <w:t xml:space="preserve"> Highlights</w:t>
            </w:r>
          </w:p>
          <w:p>
            <w:pPr>
              <w:pageBreakBefore w:val="0"/>
              <w:numPr>
                <w:ilvl w:val="0"/>
                <w:numId w:val="94"/>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Reviewed and recommended compensa</w:t>
            </w:r>
            <w:r>
              <w:rPr>
                <w:rFonts w:ascii="Arial" w:eastAsia="Arial" w:hAnsi="Arial" w:cs="Arial"/>
                <w:b w:val="0"/>
                <w:i w:val="0"/>
                <w:sz w:val="20"/>
              </w:rPr>
              <w:t xml:space="preserve">tion for </w:t>
            </w:r>
            <w:r>
              <w:rPr>
                <w:rFonts w:ascii="Arial" w:eastAsia="Arial" w:hAnsi="Arial" w:cs="Arial"/>
                <w:b w:val="0"/>
                <w:i w:val="0"/>
                <w:sz w:val="20"/>
              </w:rPr>
              <w:t>executive officers</w:t>
            </w:r>
            <w:r>
              <w:rPr>
                <w:rFonts w:ascii="Arial" w:eastAsia="Arial" w:hAnsi="Arial" w:cs="Arial"/>
                <w:b w:val="0"/>
                <w:i w:val="0"/>
                <w:sz w:val="20"/>
              </w:rPr>
              <w:t>.</w:t>
            </w:r>
          </w:p>
          <w:p>
            <w:pPr>
              <w:pageBreakBefore w:val="0"/>
              <w:numPr>
                <w:ilvl w:val="0"/>
                <w:numId w:val="95"/>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Oversaw long-term incenti</w:t>
            </w:r>
            <w:r>
              <w:rPr>
                <w:rFonts w:ascii="Arial" w:eastAsia="Arial" w:hAnsi="Arial" w:cs="Arial"/>
                <w:b w:val="0"/>
                <w:i w:val="0"/>
                <w:sz w:val="20"/>
              </w:rPr>
              <w:t>ve plan awards, including reviewing and establishing robust performance metrics.</w:t>
            </w:r>
          </w:p>
          <w:p>
            <w:pPr>
              <w:pageBreakBefore w:val="0"/>
              <w:numPr>
                <w:ilvl w:val="0"/>
                <w:numId w:val="96"/>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Reviewed quar</w:t>
            </w:r>
            <w:r>
              <w:rPr>
                <w:rFonts w:ascii="Arial" w:eastAsia="Arial" w:hAnsi="Arial" w:cs="Arial"/>
                <w:b w:val="0"/>
                <w:i w:val="0"/>
                <w:sz w:val="20"/>
              </w:rPr>
              <w:t xml:space="preserve">terly updates on </w:t>
            </w:r>
            <w:r>
              <w:rPr>
                <w:rFonts w:ascii="Arial" w:eastAsia="Arial" w:hAnsi="Arial" w:cs="Arial"/>
                <w:b w:val="0"/>
                <w:i w:val="0"/>
                <w:sz w:val="20"/>
              </w:rPr>
              <w:t>executive</w:t>
            </w:r>
            <w:r>
              <w:rPr>
                <w:rFonts w:ascii="Arial" w:eastAsia="Arial" w:hAnsi="Arial" w:cs="Arial"/>
                <w:b w:val="0"/>
                <w:i w:val="0"/>
                <w:sz w:val="20"/>
              </w:rPr>
              <w:t>,</w:t>
            </w:r>
            <w:r>
              <w:rPr>
                <w:rFonts w:ascii="Arial" w:eastAsia="Arial" w:hAnsi="Arial" w:cs="Arial"/>
                <w:b w:val="0"/>
                <w:i w:val="0"/>
                <w:sz w:val="20"/>
              </w:rPr>
              <w:t xml:space="preserve"> and functional progress on individual, corporate scorecard and </w:t>
            </w:r>
            <w:r>
              <w:rPr>
                <w:rFonts w:ascii="Arial" w:eastAsia="Arial" w:hAnsi="Arial" w:cs="Arial"/>
                <w:b w:val="0"/>
                <w:i w:val="0"/>
                <w:sz w:val="20"/>
              </w:rPr>
              <w:t>functional objectives.</w:t>
            </w:r>
          </w:p>
          <w:p>
            <w:pPr>
              <w:pageBreakBefore w:val="0"/>
              <w:numPr>
                <w:ilvl w:val="0"/>
                <w:numId w:val="97"/>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Reviewed Company-wide base salary budget.</w:t>
            </w:r>
          </w:p>
          <w:p>
            <w:pPr>
              <w:pageBreakBefore w:val="0"/>
              <w:numPr>
                <w:ilvl w:val="0"/>
                <w:numId w:val="98"/>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Continued</w:t>
            </w:r>
            <w:r>
              <w:rPr>
                <w:rFonts w:ascii="Arial" w:eastAsia="Arial" w:hAnsi="Arial" w:cs="Arial"/>
                <w:b w:val="0"/>
                <w:i w:val="0"/>
                <w:sz w:val="20"/>
              </w:rPr>
              <w:t xml:space="preserve"> </w:t>
            </w:r>
            <w:r>
              <w:rPr>
                <w:rFonts w:ascii="Arial" w:eastAsia="Arial" w:hAnsi="Arial" w:cs="Arial"/>
                <w:b w:val="0"/>
                <w:i w:val="0"/>
                <w:sz w:val="20"/>
              </w:rPr>
              <w:t>to oversee the Company's</w:t>
            </w:r>
            <w:r>
              <w:rPr>
                <w:rFonts w:ascii="Arial" w:eastAsia="Arial" w:hAnsi="Arial" w:cs="Arial"/>
                <w:b w:val="0"/>
                <w:i w:val="0"/>
                <w:sz w:val="20"/>
              </w:rPr>
              <w:t xml:space="preserve"> human capital and resources strategy, development and monitoring, including quarterly meetings with the </w:t>
            </w:r>
            <w:r>
              <w:rPr>
                <w:rFonts w:ascii="Arial" w:eastAsia="Arial" w:hAnsi="Arial" w:cs="Arial"/>
                <w:b w:val="0"/>
                <w:i w:val="0"/>
                <w:sz w:val="20"/>
              </w:rPr>
              <w:t>CPO.</w:t>
            </w:r>
          </w:p>
          <w:p>
            <w:pPr>
              <w:pageBreakBefore w:val="0"/>
              <w:numPr>
                <w:ilvl w:val="0"/>
                <w:numId w:val="99"/>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Considered shareholder and proxy advisor feedback from engagement sessions, the 2023 Annual Meeting of Shareholders, and publicly available sources</w:t>
            </w:r>
            <w:r>
              <w:rPr>
                <w:rFonts w:ascii="Arial" w:eastAsia="Arial" w:hAnsi="Arial" w:cs="Arial"/>
                <w:b w:val="0"/>
                <w:i w:val="0"/>
                <w:sz w:val="20"/>
              </w:rPr>
              <w:t xml:space="preserve"> </w:t>
            </w:r>
            <w:r>
              <w:rPr>
                <w:rFonts w:ascii="Arial" w:eastAsia="Arial" w:hAnsi="Arial" w:cs="Arial"/>
                <w:b w:val="0"/>
                <w:i w:val="0"/>
                <w:sz w:val="20"/>
              </w:rPr>
              <w:t>f</w:t>
            </w:r>
            <w:r>
              <w:rPr>
                <w:rFonts w:ascii="Arial" w:eastAsia="Arial" w:hAnsi="Arial" w:cs="Arial"/>
                <w:b w:val="0"/>
                <w:i w:val="0"/>
                <w:sz w:val="20"/>
              </w:rPr>
              <w:t>ocus</w:t>
            </w:r>
            <w:r>
              <w:rPr>
                <w:rFonts w:ascii="Arial" w:eastAsia="Arial" w:hAnsi="Arial" w:cs="Arial"/>
                <w:b w:val="0"/>
                <w:i w:val="0"/>
                <w:sz w:val="20"/>
              </w:rPr>
              <w:t xml:space="preserve">ing </w:t>
            </w:r>
            <w:r>
              <w:rPr>
                <w:rFonts w:ascii="Arial" w:eastAsia="Arial" w:hAnsi="Arial" w:cs="Arial"/>
                <w:b w:val="0"/>
                <w:i w:val="0"/>
                <w:sz w:val="20"/>
              </w:rPr>
              <w:t xml:space="preserve">on shareholder responsiveness to </w:t>
            </w:r>
            <w:r>
              <w:rPr>
                <w:rFonts w:ascii="Arial" w:eastAsia="Arial" w:hAnsi="Arial" w:cs="Arial"/>
                <w:b w:val="0"/>
                <w:i w:val="0"/>
                <w:sz w:val="20"/>
              </w:rPr>
              <w:t xml:space="preserve">the </w:t>
            </w:r>
            <w:r>
              <w:rPr>
                <w:rFonts w:ascii="Arial" w:eastAsia="Arial" w:hAnsi="Arial" w:cs="Arial"/>
                <w:b w:val="0"/>
                <w:i w:val="0"/>
                <w:sz w:val="20"/>
              </w:rPr>
              <w:t xml:space="preserve">2023 </w:t>
            </w:r>
            <w:r>
              <w:rPr>
                <w:rFonts w:ascii="Arial" w:eastAsia="Arial" w:hAnsi="Arial" w:cs="Arial"/>
                <w:b w:val="0"/>
                <w:i w:val="0"/>
                <w:sz w:val="20"/>
              </w:rPr>
              <w:t>"</w:t>
            </w:r>
            <w:r>
              <w:rPr>
                <w:rFonts w:ascii="Arial" w:eastAsia="Arial" w:hAnsi="Arial" w:cs="Arial"/>
                <w:b w:val="0"/>
                <w:i w:val="0"/>
                <w:sz w:val="20"/>
              </w:rPr>
              <w:t>Say</w:t>
            </w:r>
            <w:r>
              <w:rPr>
                <w:rFonts w:ascii="Arial" w:eastAsia="Arial" w:hAnsi="Arial" w:cs="Arial"/>
                <w:b w:val="0"/>
                <w:i w:val="0"/>
                <w:sz w:val="20"/>
              </w:rPr>
              <w:t xml:space="preserve"> </w:t>
            </w:r>
            <w:r>
              <w:rPr>
                <w:rFonts w:ascii="Arial" w:eastAsia="Arial" w:hAnsi="Arial" w:cs="Arial"/>
                <w:b w:val="0"/>
                <w:i w:val="0"/>
                <w:sz w:val="20"/>
              </w:rPr>
              <w:t>on</w:t>
            </w:r>
            <w:r>
              <w:rPr>
                <w:rFonts w:ascii="Arial" w:eastAsia="Arial" w:hAnsi="Arial" w:cs="Arial"/>
                <w:b w:val="0"/>
                <w:i w:val="0"/>
                <w:sz w:val="20"/>
              </w:rPr>
              <w:t xml:space="preserve"> </w:t>
            </w:r>
            <w:r>
              <w:rPr>
                <w:rFonts w:ascii="Arial" w:eastAsia="Arial" w:hAnsi="Arial" w:cs="Arial"/>
                <w:b w:val="0"/>
                <w:i w:val="0"/>
                <w:sz w:val="20"/>
              </w:rPr>
              <w:t>Pay</w:t>
            </w:r>
            <w:r>
              <w:rPr>
                <w:rFonts w:ascii="Arial" w:eastAsia="Arial" w:hAnsi="Arial" w:cs="Arial"/>
                <w:b w:val="0"/>
                <w:i w:val="0"/>
                <w:sz w:val="20"/>
              </w:rPr>
              <w:t>"</w:t>
            </w:r>
            <w:r>
              <w:rPr>
                <w:rFonts w:ascii="Arial" w:eastAsia="Arial" w:hAnsi="Arial" w:cs="Arial"/>
                <w:b w:val="0"/>
                <w:i w:val="0"/>
                <w:sz w:val="20"/>
              </w:rPr>
              <w:t xml:space="preserve"> vote</w:t>
            </w:r>
            <w:r>
              <w:rPr>
                <w:rFonts w:ascii="Arial" w:eastAsia="Arial" w:hAnsi="Arial" w:cs="Arial"/>
                <w:b w:val="0"/>
                <w:i w:val="0"/>
                <w:sz w:val="20"/>
              </w:rPr>
              <w:t xml:space="preserve">. </w:t>
            </w:r>
            <w:r>
              <w:rPr>
                <w:rFonts w:ascii="Arial" w:eastAsia="Arial" w:hAnsi="Arial" w:cs="Arial"/>
                <w:b w:val="0"/>
                <w:i w:val="0"/>
                <w:sz w:val="20"/>
              </w:rPr>
              <w:t>A</w:t>
            </w:r>
            <w:r>
              <w:rPr>
                <w:rFonts w:ascii="Arial" w:eastAsia="Arial" w:hAnsi="Arial" w:cs="Arial"/>
                <w:b w:val="0"/>
                <w:i w:val="0"/>
                <w:sz w:val="20"/>
              </w:rPr>
              <w:t>pproved</w:t>
            </w:r>
            <w:r>
              <w:rPr>
                <w:rFonts w:ascii="Arial" w:eastAsia="Arial" w:hAnsi="Arial" w:cs="Arial"/>
                <w:b w:val="0"/>
                <w:i w:val="0"/>
                <w:sz w:val="20"/>
              </w:rPr>
              <w:t xml:space="preserve"> </w:t>
            </w:r>
            <w:r>
              <w:rPr>
                <w:rFonts w:ascii="Arial" w:eastAsia="Arial" w:hAnsi="Arial" w:cs="Arial"/>
                <w:b w:val="0"/>
                <w:i w:val="0"/>
                <w:sz w:val="20"/>
              </w:rPr>
              <w:t>enhanced</w:t>
            </w:r>
            <w:r>
              <w:rPr>
                <w:rFonts w:ascii="Arial" w:eastAsia="Arial" w:hAnsi="Arial" w:cs="Arial"/>
                <w:b w:val="0"/>
                <w:i w:val="0"/>
                <w:sz w:val="20"/>
              </w:rPr>
              <w:t xml:space="preserve"> </w:t>
            </w:r>
            <w:r>
              <w:rPr>
                <w:rFonts w:ascii="Arial" w:eastAsia="Arial" w:hAnsi="Arial" w:cs="Arial"/>
                <w:b w:val="0"/>
                <w:i w:val="0"/>
                <w:sz w:val="20"/>
              </w:rPr>
              <w:t xml:space="preserve">executive compensation </w:t>
            </w:r>
            <w:r>
              <w:rPr>
                <w:rFonts w:ascii="Arial" w:eastAsia="Arial" w:hAnsi="Arial" w:cs="Arial"/>
                <w:b w:val="0"/>
                <w:i w:val="0"/>
                <w:sz w:val="20"/>
              </w:rPr>
              <w:t>disclosures</w:t>
            </w:r>
            <w:r>
              <w:rPr>
                <w:rFonts w:ascii="Arial" w:eastAsia="Arial" w:hAnsi="Arial" w:cs="Arial"/>
                <w:b w:val="0"/>
                <w:i w:val="0"/>
                <w:sz w:val="20"/>
              </w:rPr>
              <w:t xml:space="preserve"> for </w:t>
            </w:r>
            <w:r>
              <w:rPr>
                <w:rFonts w:ascii="Arial" w:eastAsia="Arial" w:hAnsi="Arial" w:cs="Arial"/>
                <w:b w:val="0"/>
                <w:i w:val="0"/>
                <w:sz w:val="20"/>
              </w:rPr>
              <w:t>inclusion in the Company's</w:t>
            </w:r>
            <w:r>
              <w:rPr>
                <w:rFonts w:ascii="Arial" w:eastAsia="Arial" w:hAnsi="Arial" w:cs="Arial"/>
                <w:b w:val="0"/>
                <w:i w:val="0"/>
                <w:sz w:val="20"/>
              </w:rPr>
              <w:t xml:space="preserve"> </w:t>
            </w:r>
            <w:r>
              <w:rPr>
                <w:rFonts w:ascii="Arial" w:eastAsia="Arial" w:hAnsi="Arial" w:cs="Arial"/>
                <w:b w:val="0"/>
                <w:i w:val="0"/>
                <w:sz w:val="20"/>
              </w:rPr>
              <w:t>2024 Proxy Statement.</w:t>
            </w:r>
          </w:p>
          <w:p>
            <w:pPr>
              <w:pageBreakBefore w:val="0"/>
              <w:numPr>
                <w:ilvl w:val="0"/>
                <w:numId w:val="100"/>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Reviewed director compen</w:t>
            </w:r>
            <w:r>
              <w:rPr>
                <w:rFonts w:ascii="Arial" w:eastAsia="Arial" w:hAnsi="Arial" w:cs="Arial"/>
                <w:b w:val="0"/>
                <w:i w:val="0"/>
                <w:sz w:val="20"/>
              </w:rPr>
              <w:t>sation</w:t>
            </w:r>
            <w:r>
              <w:rPr>
                <w:rFonts w:ascii="Arial" w:eastAsia="Arial" w:hAnsi="Arial" w:cs="Arial"/>
                <w:b w:val="0"/>
                <w:i w:val="0"/>
                <w:sz w:val="20"/>
              </w:rPr>
              <w:t xml:space="preserve"> benchmarking against peers</w:t>
            </w:r>
            <w:r>
              <w:rPr>
                <w:rFonts w:ascii="Arial" w:eastAsia="Arial" w:hAnsi="Arial" w:cs="Arial"/>
                <w:b w:val="0"/>
                <w:i w:val="0"/>
                <w:sz w:val="20"/>
              </w:rPr>
              <w:t>.</w:t>
            </w:r>
          </w:p>
          <w:p>
            <w:pPr>
              <w:pageBreakBefore w:val="0"/>
              <w:numPr>
                <w:ilvl w:val="0"/>
                <w:numId w:val="101"/>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Revi</w:t>
            </w:r>
            <w:r>
              <w:rPr>
                <w:rFonts w:ascii="Arial" w:eastAsia="Arial" w:hAnsi="Arial" w:cs="Arial"/>
                <w:b w:val="0"/>
                <w:i w:val="0"/>
                <w:sz w:val="20"/>
              </w:rPr>
              <w:t>ewed and recommended changes to the Company's</w:t>
            </w:r>
            <w:r>
              <w:rPr>
                <w:rFonts w:ascii="Arial" w:eastAsia="Arial" w:hAnsi="Arial" w:cs="Arial"/>
                <w:b w:val="0"/>
                <w:i w:val="0"/>
                <w:sz w:val="20"/>
              </w:rPr>
              <w:t xml:space="preserve"> Share Ownership Guidelines</w:t>
            </w:r>
            <w:r>
              <w:rPr>
                <w:rFonts w:ascii="Arial" w:eastAsia="Arial" w:hAnsi="Arial" w:cs="Arial"/>
                <w:b w:val="0"/>
                <w:i w:val="0"/>
                <w:sz w:val="20"/>
              </w:rPr>
              <w:t xml:space="preserve">, increasing the </w:t>
            </w:r>
            <w:r>
              <w:rPr>
                <w:rFonts w:ascii="Arial" w:eastAsia="Arial" w:hAnsi="Arial" w:cs="Arial"/>
                <w:b w:val="0"/>
                <w:i w:val="0"/>
                <w:sz w:val="20"/>
              </w:rPr>
              <w:t>share</w:t>
            </w:r>
            <w:r>
              <w:rPr>
                <w:rFonts w:ascii="Arial" w:eastAsia="Arial" w:hAnsi="Arial" w:cs="Arial"/>
                <w:b w:val="0"/>
                <w:i w:val="0"/>
                <w:sz w:val="20"/>
              </w:rPr>
              <w:t>holding requirement for non-executive directors to five times their annual Board cash retainer</w:t>
            </w:r>
            <w:r>
              <w:rPr>
                <w:rFonts w:ascii="Arial" w:eastAsia="Arial" w:hAnsi="Arial" w:cs="Arial"/>
                <w:b w:val="0"/>
                <w:i w:val="0"/>
                <w:sz w:val="20"/>
              </w:rPr>
              <w:t xml:space="preserve"> and </w:t>
            </w:r>
            <w:r>
              <w:rPr>
                <w:rFonts w:ascii="Arial" w:eastAsia="Arial" w:hAnsi="Arial" w:cs="Arial"/>
                <w:b w:val="0"/>
                <w:i w:val="0"/>
                <w:sz w:val="20"/>
              </w:rPr>
              <w:t>disallowing PSUs from counting towards minimum ownership re</w:t>
            </w:r>
            <w:r>
              <w:rPr>
                <w:rFonts w:ascii="Arial" w:eastAsia="Arial" w:hAnsi="Arial" w:cs="Arial"/>
                <w:b w:val="0"/>
                <w:i w:val="0"/>
                <w:sz w:val="20"/>
              </w:rPr>
              <w:t>quirements.</w:t>
            </w:r>
          </w:p>
          <w:p>
            <w:pPr>
              <w:pageBreakBefore w:val="0"/>
              <w:numPr>
                <w:ilvl w:val="0"/>
                <w:numId w:val="102"/>
              </w:numPr>
              <w:spacing w:before="60" w:after="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Rev</w:t>
            </w:r>
            <w:r>
              <w:rPr>
                <w:rFonts w:ascii="Arial" w:eastAsia="Arial" w:hAnsi="Arial" w:cs="Arial"/>
                <w:b w:val="0"/>
                <w:i w:val="0"/>
                <w:sz w:val="20"/>
              </w:rPr>
              <w:t>iewed</w:t>
            </w:r>
            <w:r>
              <w:rPr>
                <w:rFonts w:ascii="Arial" w:eastAsia="Arial" w:hAnsi="Arial" w:cs="Arial"/>
                <w:b w:val="0"/>
                <w:i w:val="0"/>
                <w:sz w:val="20"/>
              </w:rPr>
              <w:t xml:space="preserve"> succession</w:t>
            </w:r>
            <w:r>
              <w:rPr>
                <w:rFonts w:ascii="Arial" w:eastAsia="Arial" w:hAnsi="Arial" w:cs="Arial"/>
                <w:b w:val="0"/>
                <w:i w:val="0"/>
                <w:sz w:val="20"/>
              </w:rPr>
              <w:t xml:space="preserve"> and development plans for </w:t>
            </w:r>
            <w:r>
              <w:rPr>
                <w:rFonts w:ascii="Arial" w:eastAsia="Arial" w:hAnsi="Arial" w:cs="Arial"/>
                <w:b w:val="0"/>
                <w:i w:val="0"/>
                <w:sz w:val="20"/>
              </w:rPr>
              <w:t>members of senior manag</w:t>
            </w:r>
            <w:r>
              <w:rPr>
                <w:rFonts w:ascii="Arial" w:eastAsia="Arial" w:hAnsi="Arial" w:cs="Arial"/>
                <w:b w:val="0"/>
                <w:i w:val="0"/>
                <w:sz w:val="20"/>
              </w:rPr>
              <w:t>ement.</w:t>
            </w:r>
          </w:p>
          <w:p>
            <w:pPr>
              <w:pageBreakBefore w:val="0"/>
              <w:numPr>
                <w:ilvl w:val="0"/>
                <w:numId w:val="0"/>
              </w:numPr>
              <w:spacing w:before="0" w:after="60" w:line="288" w:lineRule="auto"/>
              <w:ind w:left="90" w:right="90" w:firstLine="0"/>
              <w:jc w:val="left"/>
              <w:outlineLvl w:val="9"/>
              <w:rPr>
                <w:rFonts w:ascii="Arial" w:eastAsia="Arial" w:hAnsi="Arial" w:cs="Arial"/>
                <w:b/>
                <w:i w:val="0"/>
                <w:color w:val="4494D1"/>
                <w:sz w:val="18"/>
                <w:u w:val="none"/>
              </w:rPr>
            </w:pPr>
            <w:r>
              <w:rPr>
                <w:rFonts w:ascii="Arial" w:eastAsia="Arial" w:hAnsi="Arial" w:cs="Arial"/>
                <w:b/>
                <w:i w:val="0"/>
                <w:color w:val="4494D1"/>
                <w:sz w:val="12"/>
                <w:u w:val="none"/>
              </w:rPr>
              <w:t xml:space="preserve"> </w:t>
            </w:r>
          </w:p>
          <w:p>
            <w:pPr>
              <w:pageBreakBefore w:val="0"/>
              <w:numPr>
                <w:ilvl w:val="0"/>
                <w:numId w:val="0"/>
              </w:numPr>
              <w:spacing w:before="0" w:after="0" w:line="288" w:lineRule="auto"/>
              <w:ind w:left="0" w:right="90" w:firstLine="90"/>
              <w:jc w:val="left"/>
              <w:outlineLvl w:val="9"/>
              <w:rPr>
                <w:rFonts w:ascii="Arial" w:eastAsia="Arial" w:hAnsi="Arial" w:cs="Arial"/>
                <w:b w:val="0"/>
                <w:i w:val="0"/>
                <w:color w:val="FFFFFF"/>
                <w:sz w:val="18"/>
                <w:u w:val="none"/>
              </w:rPr>
            </w:pPr>
            <w:r>
              <w:rPr>
                <w:rFonts w:ascii="Arial" w:eastAsia="Arial" w:hAnsi="Arial" w:cs="Arial"/>
                <w:b/>
                <w:i w:val="0"/>
                <w:color w:val="4494D1"/>
                <w:sz w:val="20"/>
                <w:u w:val="none"/>
              </w:rPr>
              <w:t>Independence</w:t>
            </w:r>
          </w:p>
          <w:p>
            <w:pPr>
              <w:pageBreakBefore w:val="0"/>
              <w:numPr>
                <w:ilvl w:val="0"/>
                <w:numId w:val="103"/>
              </w:numPr>
              <w:spacing w:before="60" w:after="3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 xml:space="preserve">The Board determined that each member of the Committee </w:t>
            </w:r>
            <w:r>
              <w:rPr>
                <w:rFonts w:ascii="Arial" w:eastAsia="Arial" w:hAnsi="Arial" w:cs="Arial"/>
                <w:b w:val="0"/>
                <w:i w:val="0"/>
                <w:sz w:val="20"/>
              </w:rPr>
              <w:t xml:space="preserve">is independent and </w:t>
            </w:r>
            <w:r>
              <w:rPr>
                <w:rFonts w:ascii="Arial" w:eastAsia="Arial" w:hAnsi="Arial" w:cs="Arial"/>
                <w:b w:val="0"/>
                <w:i w:val="0"/>
                <w:sz w:val="20"/>
              </w:rPr>
              <w:t xml:space="preserve">meets the additional eligibility requirements </w:t>
            </w:r>
            <w:r>
              <w:rPr>
                <w:rFonts w:ascii="Arial" w:eastAsia="Arial" w:hAnsi="Arial" w:cs="Arial"/>
                <w:b w:val="0"/>
                <w:i w:val="0"/>
                <w:sz w:val="20"/>
              </w:rPr>
              <w:t xml:space="preserve">for Compensation Committee Members </w:t>
            </w:r>
            <w:r>
              <w:rPr>
                <w:rFonts w:ascii="Arial" w:eastAsia="Arial" w:hAnsi="Arial" w:cs="Arial"/>
                <w:b w:val="0"/>
                <w:i w:val="0"/>
                <w:sz w:val="20"/>
              </w:rPr>
              <w:t xml:space="preserve">set forth in the </w:t>
            </w:r>
            <w:r>
              <w:rPr>
                <w:rFonts w:ascii="Arial" w:eastAsia="Arial" w:hAnsi="Arial" w:cs="Arial"/>
                <w:b w:val="0"/>
                <w:i w:val="0"/>
                <w:sz w:val="20"/>
              </w:rPr>
              <w:t>listing rules of The Nasdaq Stock Market</w:t>
            </w:r>
            <w:r>
              <w:rPr>
                <w:rFonts w:ascii="Arial" w:eastAsia="Arial" w:hAnsi="Arial" w:cs="Arial"/>
                <w:b w:val="0"/>
                <w:i w:val="0"/>
                <w:sz w:val="20"/>
              </w:rPr>
              <w:t>.</w:t>
            </w:r>
          </w:p>
        </w:tc>
      </w:tr>
      <w:tr>
        <w:tblPrEx>
          <w:tblW w:w="10260" w:type="dxa"/>
          <w:tblInd w:w="0" w:type="dxa"/>
          <w:tblLayout w:type="fixed"/>
          <w:tblCellMar>
            <w:left w:w="108" w:type="dxa"/>
            <w:right w:w="108" w:type="dxa"/>
          </w:tblCellMar>
        </w:tblPrEx>
        <w:trPr>
          <w:cantSplit/>
          <w:trHeight w:hRule="exact" w:val="9420"/>
        </w:trPr>
        <w:tc>
          <w:tcPr>
            <w:tcW w:w="2805" w:type="dxa"/>
            <w:gridSpan w:val="2"/>
            <w:tcBorders>
              <w:top w:val="nil"/>
              <w:left w:val="nil"/>
              <w:bottom w:val="nil"/>
              <w:right w:val="nil"/>
            </w:tcBorders>
            <w:tcMar>
              <w:top w:w="0" w:type="dxa"/>
              <w:left w:w="53" w:type="dxa"/>
              <w:bottom w:w="0" w:type="dxa"/>
              <w:right w:w="53" w:type="dxa"/>
            </w:tcMar>
            <w:vAlign w:val="center"/>
          </w:tcPr>
          <w:p>
            <w:pPr>
              <w:pageBreakBefore w:val="0"/>
              <w:spacing w:before="0" w:after="0" w:line="240" w:lineRule="auto"/>
              <w:jc w:val="left"/>
            </w:pPr>
          </w:p>
        </w:tc>
        <w:tc>
          <w:tcPr>
            <w:tcW w:w="7455" w:type="dxa"/>
            <w:gridSpan w:val="6"/>
            <w:vMerge/>
            <w:tcBorders>
              <w:top w:val="nil"/>
              <w:left w:val="single" w:sz="8" w:space="0" w:color="4494D1"/>
              <w:bottom w:val="nil"/>
              <w:right w:val="nil"/>
            </w:tcBorders>
          </w:tcPr>
          <w:p>
            <w:pPr>
              <w:pageBreakBefore w:val="0"/>
            </w:pPr>
          </w:p>
        </w:tc>
      </w:tr>
      <w:tr>
        <w:tblPrEx>
          <w:tblW w:w="10260" w:type="dxa"/>
          <w:tblInd w:w="0" w:type="dxa"/>
          <w:tblLayout w:type="fixed"/>
          <w:tblCellMar>
            <w:left w:w="108" w:type="dxa"/>
            <w:right w:w="108" w:type="dxa"/>
          </w:tblCellMar>
        </w:tblPrEx>
        <w:trPr>
          <w:cantSplit/>
          <w:trHeight w:hRule="exact" w:val="60"/>
        </w:trPr>
        <w:tc>
          <w:tcPr>
            <w:tcW w:w="1500"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80"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800"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560"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r>
    </w:tbl>
    <w:p>
      <w:pPr>
        <w:keepNext/>
        <w:keepLines/>
        <w:pageBreakBefore/>
        <w:widowControl w:val="0"/>
        <w:numPr>
          <w:ilvl w:val="0"/>
          <w:numId w:val="0"/>
        </w:numPr>
        <w:spacing w:before="0" w:after="120" w:line="300" w:lineRule="auto"/>
        <w:ind w:left="-720" w:right="0" w:firstLine="720"/>
        <w:jc w:val="both"/>
        <w:outlineLvl w:val="9"/>
        <w:rPr>
          <w:rFonts w:ascii="Times New Roman" w:eastAsia="Times New Roman" w:hAnsi="Times New Roman" w:cs="Times New Roman"/>
          <w:b w:val="0"/>
          <w:i w:val="0"/>
          <w:color w:val="FF0090"/>
          <w:sz w:val="20"/>
          <w:u w:val="none"/>
        </w:rPr>
      </w:pP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500"/>
        <w:gridCol w:w="1305"/>
        <w:gridCol w:w="1305"/>
        <w:gridCol w:w="1305"/>
        <w:gridCol w:w="1305"/>
        <w:gridCol w:w="180"/>
        <w:gridCol w:w="1800"/>
        <w:gridCol w:w="1560"/>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65"/>
          <w:jc w:val="left"/>
        </w:trPr>
        <w:tc>
          <w:tcPr>
            <w:tcW w:w="6720" w:type="dxa"/>
            <w:gridSpan w:val="5"/>
            <w:tcBorders>
              <w:top w:val="single" w:sz="12" w:space="0" w:color="4494D1"/>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i w:val="0"/>
                <w:color w:val="4494D1"/>
                <w:sz w:val="24"/>
                <w:u w:val="none"/>
              </w:rPr>
            </w:pPr>
            <w:r>
              <w:rPr>
                <w:rFonts w:ascii="Arial" w:eastAsia="Arial" w:hAnsi="Arial" w:cs="Arial"/>
                <w:b/>
                <w:i w:val="0"/>
                <w:color w:val="4494D1"/>
                <w:sz w:val="24"/>
                <w:u w:val="none"/>
              </w:rPr>
              <w:t>Nominating and Governance Committee</w:t>
            </w:r>
          </w:p>
        </w:tc>
        <w:tc>
          <w:tcPr>
            <w:tcW w:w="180"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1560"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60"/>
          <w:jc w:val="left"/>
        </w:trPr>
        <w:tc>
          <w:tcPr>
            <w:tcW w:w="6720" w:type="dxa"/>
            <w:gridSpan w:val="5"/>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8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285"/>
          <w:jc w:val="left"/>
        </w:trPr>
        <w:tc>
          <w:tcPr>
            <w:tcW w:w="15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4494D1"/>
                <w:sz w:val="18"/>
                <w:u w:val="none"/>
              </w:rPr>
              <w:t>CHAIR</w:t>
            </w:r>
          </w:p>
        </w:tc>
        <w:tc>
          <w:tcPr>
            <w:tcW w:w="13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4494D1"/>
                <w:sz w:val="18"/>
                <w:u w:val="none"/>
              </w:rPr>
              <w:t>MEMBERS</w:t>
            </w: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4494D1"/>
                <w:sz w:val="18"/>
                <w:u w:val="none"/>
              </w:rPr>
              <w:t xml:space="preserve">MEETINGS HELD </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285"/>
          <w:jc w:val="left"/>
        </w:trPr>
        <w:tc>
          <w:tcPr>
            <w:tcW w:w="1500"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84" type="#_x0000_t75" style="width:37.94pt;height:43.5pt">
                  <v:imagedata r:id="rId46" o:title=""/>
                  <o:lock v:ext="edit" aspectratio="t"/>
                </v:shape>
              </w:pict>
            </w:r>
          </w:p>
        </w:tc>
        <w:tc>
          <w:tcPr>
            <w:tcW w:w="1305"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85" type="#_x0000_t75" style="width:40.49pt;height:43.5pt">
                  <v:imagedata r:id="rId47" o:title=""/>
                  <o:lock v:ext="edit" aspectratio="t"/>
                </v:shape>
              </w:pict>
            </w:r>
          </w:p>
        </w:tc>
        <w:tc>
          <w:tcPr>
            <w:tcW w:w="1305"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86" type="#_x0000_t75" style="width:36.82pt;height:42.75pt">
                  <v:imagedata r:id="rId48" o:title=""/>
                  <o:lock v:ext="edit" aspectratio="t"/>
                </v:shape>
              </w:pict>
            </w:r>
          </w:p>
        </w:tc>
        <w:tc>
          <w:tcPr>
            <w:tcW w:w="1305"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87" type="#_x0000_t75" style="width:41.06pt;height:44.25pt">
                  <v:imagedata r:id="rId53" o:title=""/>
                  <o:lock v:ext="edit" aspectratio="t"/>
                </v:shape>
              </w:pict>
            </w:r>
          </w:p>
        </w:tc>
        <w:tc>
          <w:tcPr>
            <w:tcW w:w="1305"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88" type="#_x0000_t75" style="width:34.83pt;height:43.5pt">
                  <v:imagedata r:id="rId55" o:title=""/>
                  <o:lock v:ext="edit" aspectratio="t"/>
                </v:shape>
              </w:pict>
            </w: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300" w:lineRule="auto"/>
              <w:ind w:left="0" w:right="0" w:firstLine="0"/>
              <w:jc w:val="both"/>
              <w:outlineLvl w:val="9"/>
              <w:rPr>
                <w:rFonts w:ascii="Arial" w:eastAsia="Arial" w:hAnsi="Arial" w:cs="Arial"/>
                <w:b w:val="0"/>
                <w:i w:val="0"/>
                <w:sz w:val="20"/>
              </w:rPr>
            </w:pPr>
            <w:r>
              <w:rPr>
                <w:rFonts w:ascii="Arial" w:eastAsia="Arial" w:hAnsi="Arial" w:cs="Arial"/>
                <w:b/>
                <w:i w:val="0"/>
                <w:color w:val="4494D1"/>
                <w:sz w:val="18"/>
                <w:u w:val="none"/>
              </w:rPr>
              <w:t xml:space="preserve">IN </w:t>
            </w:r>
            <w:r>
              <w:rPr>
                <w:rFonts w:ascii="Arial" w:eastAsia="Arial" w:hAnsi="Arial" w:cs="Arial"/>
                <w:b/>
                <w:i w:val="0"/>
                <w:color w:val="4494D1"/>
                <w:sz w:val="18"/>
                <w:u w:val="none"/>
              </w:rPr>
              <w:t>2023</w:t>
            </w:r>
            <w:r>
              <w:rPr>
                <w:rFonts w:ascii="Arial" w:eastAsia="Arial" w:hAnsi="Arial" w:cs="Arial"/>
                <w:b/>
                <w:i w:val="0"/>
                <w:color w:val="4494D1"/>
                <w:sz w:val="18"/>
                <w:u w:val="none"/>
              </w:rPr>
              <w:t>:</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285"/>
          <w:jc w:val="left"/>
        </w:trPr>
        <w:tc>
          <w:tcPr>
            <w:tcW w:w="1500"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i w:val="0"/>
                <w:sz w:val="28"/>
              </w:rPr>
            </w:pPr>
            <w:r>
              <w:rPr>
                <w:rFonts w:ascii="Arial" w:eastAsia="Arial" w:hAnsi="Arial" w:cs="Arial"/>
                <w:b/>
                <w:i w:val="0"/>
                <w:color w:val="000000"/>
                <w:sz w:val="28"/>
                <w:u w:val="none"/>
              </w:rPr>
              <w:t>3</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65"/>
          <w:jc w:val="left"/>
        </w:trPr>
        <w:tc>
          <w:tcPr>
            <w:tcW w:w="1500"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95"/>
          <w:jc w:val="left"/>
        </w:trPr>
        <w:tc>
          <w:tcPr>
            <w:tcW w:w="1500"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4494D1"/>
                <w:sz w:val="18"/>
                <w:u w:val="none"/>
              </w:rPr>
              <w:t>INDEPENDENCE</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435"/>
          <w:jc w:val="left"/>
        </w:trPr>
        <w:tc>
          <w:tcPr>
            <w:tcW w:w="1500" w:type="dxa"/>
            <w:tcBorders>
              <w:top w:val="nil"/>
              <w:left w:val="nil"/>
              <w:bottom w:val="nil"/>
              <w:right w:val="nil"/>
            </w:tcBorders>
            <w:tcMar>
              <w:top w:w="0" w:type="dxa"/>
              <w:left w:w="53" w:type="dxa"/>
              <w:bottom w:w="0" w:type="dxa"/>
              <w:right w:w="53" w:type="dxa"/>
            </w:tcMar>
            <w:vAlign w:val="bottom"/>
          </w:tcPr>
          <w:p>
            <w:pPr>
              <w:keepNext/>
              <w:pageBreakBefore w:val="0"/>
              <w:spacing w:before="53" w:line="240" w:lineRule="auto"/>
              <w:ind w:left="90" w:hanging="90"/>
              <w:jc w:val="left"/>
            </w:pPr>
            <w:r>
              <w:rPr>
                <w:rFonts w:ascii="Arial" w:eastAsia="Arial" w:hAnsi="Arial" w:cs="Arial"/>
                <w:b/>
                <w:i w:val="0"/>
                <w:color w:val="000000"/>
                <w:sz w:val="18"/>
                <w:u w:val="none"/>
              </w:rPr>
              <w:t xml:space="preserve">B. Frederick </w:t>
            </w:r>
          </w:p>
          <w:p>
            <w:pPr>
              <w:spacing w:after="30" w:line="240" w:lineRule="auto"/>
              <w:ind w:left="90" w:hanging="90"/>
              <w:jc w:val="left"/>
            </w:pPr>
            <w:r>
              <w:rPr>
                <w:rFonts w:ascii="Arial" w:eastAsia="Arial" w:hAnsi="Arial" w:cs="Arial"/>
                <w:b/>
                <w:i w:val="0"/>
                <w:color w:val="000000"/>
                <w:sz w:val="18"/>
                <w:u w:val="none"/>
              </w:rPr>
              <w:t>Becker</w:t>
            </w:r>
          </w:p>
        </w:tc>
        <w:tc>
          <w:tcPr>
            <w:tcW w:w="13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Sharon A. Beesley</w:t>
            </w:r>
          </w:p>
        </w:tc>
        <w:tc>
          <w:tcPr>
            <w:tcW w:w="13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Robert J. Campbell</w:t>
            </w:r>
          </w:p>
        </w:tc>
        <w:tc>
          <w:tcPr>
            <w:tcW w:w="130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i w:val="0"/>
                <w:color w:val="000000"/>
                <w:sz w:val="18"/>
                <w:u w:val="none"/>
              </w:rPr>
              <w:t>Myron Hendry</w:t>
            </w:r>
          </w:p>
        </w:tc>
        <w:tc>
          <w:tcPr>
            <w:tcW w:w="1305" w:type="dxa"/>
            <w:tcBorders>
              <w:top w:val="nil"/>
              <w:left w:val="nil"/>
              <w:bottom w:val="nil"/>
              <w:right w:val="nil"/>
            </w:tcBorders>
            <w:tcMar>
              <w:top w:w="0" w:type="dxa"/>
              <w:left w:w="53" w:type="dxa"/>
              <w:bottom w:w="0" w:type="dxa"/>
              <w:right w:w="53" w:type="dxa"/>
            </w:tcMar>
            <w:vAlign w:val="top"/>
          </w:tcPr>
          <w:p>
            <w:pPr>
              <w:keepNext/>
              <w:pageBreakBefore w:val="0"/>
              <w:spacing w:before="53" w:line="240" w:lineRule="auto"/>
              <w:jc w:val="left"/>
            </w:pPr>
            <w:r>
              <w:rPr>
                <w:rFonts w:ascii="Arial" w:eastAsia="Arial" w:hAnsi="Arial" w:cs="Arial"/>
                <w:b/>
                <w:i w:val="0"/>
                <w:color w:val="000000"/>
                <w:sz w:val="18"/>
                <w:u w:val="none"/>
              </w:rPr>
              <w:t xml:space="preserve">Hitesh </w:t>
            </w:r>
          </w:p>
          <w:p>
            <w:pPr>
              <w:spacing w:after="30" w:line="240" w:lineRule="auto"/>
              <w:jc w:val="left"/>
            </w:pPr>
            <w:r>
              <w:rPr>
                <w:rFonts w:ascii="Arial" w:eastAsia="Arial" w:hAnsi="Arial" w:cs="Arial"/>
                <w:b/>
                <w:i w:val="0"/>
                <w:color w:val="000000"/>
                <w:sz w:val="18"/>
                <w:u w:val="none"/>
              </w:rPr>
              <w:t>Patel</w:t>
            </w: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i w:val="0"/>
                <w:sz w:val="20"/>
              </w:rPr>
            </w:pPr>
            <w:r>
              <w:rPr>
                <w:rFonts w:ascii="Arial" w:eastAsia="Arial" w:hAnsi="Arial" w:cs="Arial"/>
                <w:b/>
                <w:i w:val="0"/>
                <w:sz w:val="28"/>
              </w:rPr>
              <w:t>5</w:t>
            </w:r>
            <w:r>
              <w:rPr>
                <w:rFonts w:ascii="Arial" w:eastAsia="Arial" w:hAnsi="Arial" w:cs="Arial"/>
                <w:b/>
                <w:i w:val="0"/>
                <w:sz w:val="20"/>
              </w:rPr>
              <w:t xml:space="preserve"> out of 5</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60"/>
          <w:jc w:val="left"/>
        </w:trPr>
        <w:tc>
          <w:tcPr>
            <w:tcW w:w="150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8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60"/>
          <w:jc w:val="left"/>
        </w:trPr>
        <w:tc>
          <w:tcPr>
            <w:tcW w:w="15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3795"/>
          <w:jc w:val="left"/>
        </w:trPr>
        <w:tc>
          <w:tcPr>
            <w:tcW w:w="2805" w:type="dxa"/>
            <w:gridSpan w:val="2"/>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0" w:line="240" w:lineRule="auto"/>
              <w:ind w:left="0" w:right="0" w:firstLine="0"/>
              <w:jc w:val="left"/>
              <w:outlineLvl w:val="9"/>
              <w:rPr>
                <w:rFonts w:ascii="Arial" w:eastAsia="Arial" w:hAnsi="Arial" w:cs="Arial"/>
                <w:b/>
                <w:i w:val="0"/>
                <w:color w:val="4494D1"/>
                <w:sz w:val="8"/>
                <w:u w:val="none"/>
                <w:shd w:val="clear" w:color="auto" w:fill="FFFF00"/>
              </w:rPr>
            </w:pPr>
          </w:p>
          <w:p>
            <w:pPr>
              <w:pageBreakBefore w:val="0"/>
              <w:numPr>
                <w:ilvl w:val="0"/>
                <w:numId w:val="0"/>
              </w:numPr>
              <w:spacing w:before="0" w:after="0" w:line="240" w:lineRule="auto"/>
              <w:ind w:left="0" w:right="0" w:firstLine="0"/>
              <w:jc w:val="left"/>
              <w:outlineLvl w:val="9"/>
              <w:rPr>
                <w:rFonts w:ascii="Arial" w:eastAsia="Arial" w:hAnsi="Arial" w:cs="Arial"/>
                <w:b w:val="0"/>
                <w:i w:val="0"/>
                <w:sz w:val="20"/>
              </w:rPr>
            </w:pPr>
            <w:r>
              <w:rPr>
                <w:rFonts w:ascii="Arial" w:eastAsia="Arial" w:hAnsi="Arial" w:cs="Arial"/>
                <w:b/>
                <w:i w:val="0"/>
                <w:color w:val="4494D1"/>
                <w:sz w:val="18"/>
                <w:u w:val="none"/>
              </w:rPr>
              <w:t>Additional Information</w:t>
            </w:r>
          </w:p>
          <w:p>
            <w:pPr>
              <w:pageBreakBefore w:val="0"/>
              <w:numPr>
                <w:ilvl w:val="0"/>
                <w:numId w:val="0"/>
              </w:numPr>
              <w:spacing w:before="0" w:after="0" w:line="288" w:lineRule="auto"/>
              <w:ind w:left="0" w:right="0" w:firstLine="0"/>
              <w:jc w:val="center"/>
              <w:outlineLvl w:val="9"/>
              <w:rPr>
                <w:rFonts w:ascii="Arial" w:eastAsia="Arial" w:hAnsi="Arial" w:cs="Arial"/>
                <w:b w:val="0"/>
                <w:i w:val="0"/>
                <w:color w:val="929292"/>
                <w:sz w:val="12"/>
                <w:u w:val="none"/>
              </w:rPr>
            </w:pPr>
          </w:p>
          <w:p>
            <w:pPr>
              <w:pageBreakBefore w:val="0"/>
              <w:numPr>
                <w:ilvl w:val="0"/>
                <w:numId w:val="0"/>
              </w:numPr>
              <w:spacing w:before="0" w:after="30" w:line="240" w:lineRule="auto"/>
              <w:ind w:left="0" w:right="0" w:firstLine="0"/>
              <w:jc w:val="left"/>
              <w:outlineLvl w:val="9"/>
              <w:rPr>
                <w:rFonts w:ascii="Arial" w:eastAsia="Arial" w:hAnsi="Arial" w:cs="Arial"/>
                <w:b w:val="0"/>
                <w:i w:val="0"/>
                <w:color w:val="929292"/>
                <w:sz w:val="18"/>
                <w:u w:val="none"/>
                <w:shd w:val="clear" w:color="auto" w:fill="FFFF00"/>
              </w:rPr>
            </w:pPr>
            <w:r>
              <w:rPr>
                <w:rFonts w:ascii="Arial" w:eastAsia="Arial" w:hAnsi="Arial" w:cs="Arial"/>
                <w:b w:val="0"/>
                <w:i w:val="0"/>
                <w:color w:val="929292"/>
                <w:sz w:val="18"/>
                <w:u w:val="none"/>
              </w:rPr>
              <w:t xml:space="preserve">Additional information regarding the </w:t>
            </w:r>
            <w:r>
              <w:rPr>
                <w:rFonts w:ascii="Arial" w:eastAsia="Arial" w:hAnsi="Arial" w:cs="Arial"/>
                <w:b w:val="0"/>
                <w:i w:val="0"/>
                <w:color w:val="929292"/>
                <w:sz w:val="18"/>
                <w:u w:val="none"/>
              </w:rPr>
              <w:t xml:space="preserve">Nominating and Governance </w:t>
            </w:r>
            <w:r>
              <w:rPr>
                <w:rFonts w:ascii="Arial" w:eastAsia="Arial" w:hAnsi="Arial" w:cs="Arial"/>
                <w:b w:val="0"/>
                <w:i w:val="0"/>
                <w:color w:val="929292"/>
                <w:sz w:val="18"/>
                <w:u w:val="none"/>
              </w:rPr>
              <w:t xml:space="preserve"> Committee and the </w:t>
            </w:r>
            <w:r>
              <w:rPr>
                <w:rFonts w:ascii="Arial" w:eastAsia="Arial" w:hAnsi="Arial" w:cs="Arial"/>
                <w:b w:val="0"/>
                <w:i w:val="0"/>
                <w:color w:val="929292"/>
                <w:sz w:val="18"/>
                <w:u w:val="none"/>
              </w:rPr>
              <w:t xml:space="preserve">Company's corporate governance </w:t>
            </w:r>
            <w:r>
              <w:rPr>
                <w:rFonts w:ascii="Arial" w:eastAsia="Arial" w:hAnsi="Arial" w:cs="Arial"/>
                <w:b w:val="0"/>
                <w:i w:val="0"/>
                <w:color w:val="929292"/>
                <w:sz w:val="18"/>
                <w:u w:val="none"/>
              </w:rPr>
              <w:t xml:space="preserve">structure and </w:t>
            </w:r>
            <w:r>
              <w:rPr>
                <w:rFonts w:ascii="Arial" w:eastAsia="Arial" w:hAnsi="Arial" w:cs="Arial"/>
                <w:b w:val="0"/>
                <w:i w:val="0"/>
                <w:color w:val="929292"/>
                <w:sz w:val="18"/>
                <w:u w:val="none"/>
              </w:rPr>
              <w:t xml:space="preserve">practices </w:t>
            </w:r>
            <w:r>
              <w:rPr>
                <w:rFonts w:ascii="Arial" w:eastAsia="Arial" w:hAnsi="Arial" w:cs="Arial"/>
                <w:b w:val="0"/>
                <w:i w:val="0"/>
                <w:color w:val="929292"/>
                <w:sz w:val="18"/>
                <w:u w:val="none"/>
              </w:rPr>
              <w:t xml:space="preserve">is provided </w:t>
            </w:r>
            <w:r>
              <w:rPr>
                <w:rFonts w:ascii="Arial" w:eastAsia="Arial" w:hAnsi="Arial" w:cs="Arial"/>
                <w:b w:val="0"/>
                <w:i w:val="0"/>
                <w:color w:val="929292"/>
                <w:sz w:val="18"/>
                <w:u w:val="none"/>
              </w:rPr>
              <w:t>above</w:t>
            </w:r>
            <w:r>
              <w:rPr>
                <w:rFonts w:ascii="Arial" w:eastAsia="Arial" w:hAnsi="Arial" w:cs="Arial"/>
                <w:b w:val="0"/>
                <w:i w:val="0"/>
                <w:color w:val="929292"/>
                <w:sz w:val="18"/>
                <w:u w:val="none"/>
              </w:rPr>
              <w:t xml:space="preserve"> under the Section titled "</w:t>
            </w:r>
            <w:r>
              <w:rPr>
                <w:rFonts w:ascii="Arial" w:eastAsia="Arial" w:hAnsi="Arial" w:cs="Arial"/>
                <w:b w:val="0"/>
                <w:i w:val="0"/>
                <w:color w:val="929292"/>
                <w:sz w:val="18"/>
                <w:u w:val="none"/>
              </w:rPr>
              <w:t>Corporate Governance</w:t>
            </w:r>
            <w:r>
              <w:rPr>
                <w:rFonts w:ascii="Arial" w:eastAsia="Arial" w:hAnsi="Arial" w:cs="Arial"/>
                <w:b w:val="0"/>
                <w:i w:val="0"/>
                <w:color w:val="929292"/>
                <w:sz w:val="18"/>
                <w:u w:val="none"/>
              </w:rPr>
              <w:t xml:space="preserve">" beginning on page </w:t>
            </w:r>
            <w:r>
              <w:rPr>
                <w:rFonts w:ascii="Arial" w:eastAsia="Arial" w:hAnsi="Arial" w:cs="Arial"/>
                <w:b w:val="0"/>
                <w:i w:val="0"/>
                <w:color w:val="3051F2"/>
                <w:sz w:val="18"/>
                <w:u w:val="single"/>
              </w:rPr>
              <w:fldChar w:fldCharType="begin"/>
            </w:r>
            <w:r>
              <w:rPr>
                <w:rFonts w:ascii="Arial" w:eastAsia="Arial" w:hAnsi="Arial" w:cs="Arial"/>
                <w:b w:val="0"/>
                <w:i w:val="0"/>
                <w:color w:val="3051F2"/>
                <w:sz w:val="18"/>
                <w:u w:val="single"/>
              </w:rPr>
              <w:instrText xml:space="preserve"> PAGEREF </w:instrText>
            </w:r>
            <w:r>
              <w:rPr>
                <w:rFonts w:ascii="Arial" w:eastAsia="Arial" w:hAnsi="Arial" w:cs="Arial"/>
                <w:b w:val="0"/>
                <w:i w:val="0"/>
                <w:color w:val="3051F2"/>
                <w:sz w:val="18"/>
                <w:u w:val="single"/>
              </w:rPr>
              <w:instrText xml:space="preserve"> </w:instrText>
            </w:r>
            <w:r>
              <w:rPr>
                <w:rFonts w:ascii="Arial" w:eastAsia="Arial" w:hAnsi="Arial" w:cs="Arial"/>
                <w:b w:val="0"/>
                <w:i w:val="0"/>
                <w:color w:val="3051F2"/>
                <w:sz w:val="18"/>
                <w:u w:val="single"/>
              </w:rPr>
              <w:instrText>Section14</w:instrText>
            </w:r>
            <w:r>
              <w:rPr>
                <w:rFonts w:ascii="Arial" w:eastAsia="Arial" w:hAnsi="Arial" w:cs="Arial"/>
                <w:b w:val="0"/>
                <w:i w:val="0"/>
                <w:color w:val="3051F2"/>
                <w:sz w:val="18"/>
                <w:u w:val="single"/>
              </w:rPr>
              <w:instrText xml:space="preserve"> \h</w:instrText>
            </w:r>
            <w:r>
              <w:rPr>
                <w:rFonts w:ascii="Arial" w:eastAsia="Arial" w:hAnsi="Arial" w:cs="Arial"/>
                <w:b w:val="0"/>
                <w:i w:val="0"/>
                <w:color w:val="3051F2"/>
                <w:sz w:val="18"/>
                <w:u w:val="single"/>
              </w:rPr>
              <w:fldChar w:fldCharType="separate"/>
            </w:r>
            <w:r>
              <w:rPr>
                <w:rFonts w:ascii="Arial" w:eastAsia="Arial" w:hAnsi="Arial" w:cs="Arial"/>
                <w:b w:val="0"/>
                <w:i w:val="0"/>
                <w:color w:val="3051F2"/>
                <w:sz w:val="18"/>
                <w:u w:val="single"/>
              </w:rPr>
              <w:t>1</w:t>
            </w:r>
            <w:r>
              <w:rPr>
                <w:rFonts w:ascii="Arial" w:eastAsia="Arial" w:hAnsi="Arial" w:cs="Arial"/>
                <w:b w:val="0"/>
                <w:i w:val="0"/>
                <w:color w:val="3051F2"/>
                <w:sz w:val="18"/>
                <w:u w:val="single"/>
              </w:rPr>
              <w:fldChar w:fldCharType="end"/>
            </w:r>
            <w:r>
              <w:rPr>
                <w:rFonts w:ascii="Arial" w:eastAsia="Arial" w:hAnsi="Arial" w:cs="Arial"/>
                <w:b w:val="0"/>
                <w:i w:val="0"/>
                <w:color w:val="929292"/>
                <w:sz w:val="18"/>
                <w:u w:val="none"/>
              </w:rPr>
              <w:t>.</w:t>
            </w:r>
          </w:p>
        </w:tc>
        <w:tc>
          <w:tcPr>
            <w:tcW w:w="7455" w:type="dxa"/>
            <w:gridSpan w:val="6"/>
            <w:vMerge w:val="restart"/>
            <w:tcBorders>
              <w:top w:val="nil"/>
              <w:left w:val="single" w:sz="8" w:space="0" w:color="4494D1"/>
              <w:bottom w:val="nil"/>
              <w:right w:val="nil"/>
            </w:tcBorders>
            <w:tcMar>
              <w:top w:w="0" w:type="dxa"/>
              <w:left w:w="53" w:type="dxa"/>
              <w:bottom w:w="0" w:type="dxa"/>
              <w:right w:w="53" w:type="dxa"/>
            </w:tcMar>
            <w:vAlign w:val="top"/>
          </w:tcPr>
          <w:p>
            <w:pPr>
              <w:keepNext/>
              <w:pageBreakBefore w:val="0"/>
              <w:numPr>
                <w:ilvl w:val="0"/>
                <w:numId w:val="0"/>
              </w:numPr>
              <w:spacing w:before="53" w:after="0" w:line="288" w:lineRule="auto"/>
              <w:ind w:left="90" w:right="0" w:firstLine="0"/>
              <w:jc w:val="left"/>
              <w:outlineLvl w:val="9"/>
              <w:rPr>
                <w:rFonts w:ascii="Arial" w:eastAsia="Arial" w:hAnsi="Arial" w:cs="Arial"/>
                <w:b/>
                <w:i w:val="0"/>
                <w:color w:val="4494D1"/>
                <w:sz w:val="4"/>
                <w:u w:val="none"/>
              </w:rPr>
            </w:pPr>
          </w:p>
          <w:p>
            <w:pPr>
              <w:pageBreakBefore w:val="0"/>
              <w:numPr>
                <w:ilvl w:val="0"/>
                <w:numId w:val="0"/>
              </w:numPr>
              <w:spacing w:before="60" w:after="60" w:line="288" w:lineRule="auto"/>
              <w:ind w:left="90" w:right="0" w:firstLine="0"/>
              <w:jc w:val="left"/>
              <w:outlineLvl w:val="9"/>
              <w:rPr>
                <w:rFonts w:ascii="Arial" w:eastAsia="Arial" w:hAnsi="Arial" w:cs="Arial"/>
                <w:b/>
                <w:i w:val="0"/>
                <w:color w:val="4494D1"/>
                <w:sz w:val="20"/>
                <w:u w:val="none"/>
              </w:rPr>
            </w:pPr>
            <w:r>
              <w:rPr>
                <w:rFonts w:ascii="Arial" w:eastAsia="Arial" w:hAnsi="Arial" w:cs="Arial"/>
                <w:b/>
                <w:i w:val="0"/>
                <w:color w:val="4494D1"/>
                <w:sz w:val="20"/>
                <w:u w:val="none"/>
              </w:rPr>
              <w:t>Primary Responsibilities</w:t>
            </w:r>
          </w:p>
          <w:p>
            <w:pPr>
              <w:pageBreakBefore w:val="0"/>
              <w:numPr>
                <w:ilvl w:val="0"/>
                <w:numId w:val="104"/>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Establishing and overseeing the group’s organizational, governance and communication structures and confirming the operating effectiveness of each.</w:t>
            </w:r>
          </w:p>
          <w:p>
            <w:pPr>
              <w:pageBreakBefore w:val="0"/>
              <w:numPr>
                <w:ilvl w:val="0"/>
                <w:numId w:val="105"/>
              </w:numPr>
              <w:spacing w:before="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Establishing director qualification criteria; identifying individuals qualified to become directors; and reviewing any candidates proposed by directors, management or shareholders for appointment or reappointment to the Board.</w:t>
            </w:r>
          </w:p>
          <w:p>
            <w:pPr>
              <w:pageBreakBefore w:val="0"/>
              <w:numPr>
                <w:ilvl w:val="0"/>
                <w:numId w:val="106"/>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Overseeing our Board succession planning process, and recommending annual director nominees to the Board and the Company's shareholders.</w:t>
            </w:r>
          </w:p>
          <w:p>
            <w:pPr>
              <w:pageBreakBefore w:val="0"/>
              <w:numPr>
                <w:ilvl w:val="0"/>
                <w:numId w:val="107"/>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Reviewing the composition and function of the Board and its committees; recommending changes thereto; and recommending committee and leadership appointments to the Board.</w:t>
            </w:r>
          </w:p>
          <w:p>
            <w:pPr>
              <w:pageBreakBefore w:val="0"/>
              <w:numPr>
                <w:ilvl w:val="0"/>
                <w:numId w:val="108"/>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Overseeing the annual evaluation of the performance and effectiveness of the Board and its committees, and making any recommendations for improvement.</w:t>
            </w:r>
          </w:p>
          <w:p>
            <w:pPr>
              <w:pageBreakBefore w:val="0"/>
              <w:numPr>
                <w:ilvl w:val="0"/>
                <w:numId w:val="109"/>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Reviewing the composition and effectiveness of the group's material subsidiary boards, and overseeing their adherence to the group's established governance and communication frameworks.</w:t>
            </w:r>
          </w:p>
          <w:p>
            <w:pPr>
              <w:pageBreakBefore w:val="0"/>
              <w:numPr>
                <w:ilvl w:val="0"/>
                <w:numId w:val="110"/>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Advising the Board with respect to corporate governance-related matters.</w:t>
            </w:r>
          </w:p>
          <w:p>
            <w:pPr>
              <w:pageBreakBefore w:val="0"/>
              <w:numPr>
                <w:ilvl w:val="0"/>
                <w:numId w:val="0"/>
              </w:numPr>
              <w:spacing w:before="0" w:after="0" w:line="288" w:lineRule="auto"/>
              <w:ind w:left="-450" w:right="90" w:firstLine="0"/>
              <w:jc w:val="left"/>
              <w:outlineLvl w:val="9"/>
              <w:rPr>
                <w:rFonts w:ascii="Arial" w:eastAsia="Arial" w:hAnsi="Arial" w:cs="Arial"/>
                <w:b/>
                <w:i w:val="0"/>
                <w:color w:val="4494D1"/>
                <w:sz w:val="20"/>
                <w:u w:val="none"/>
              </w:rPr>
            </w:pPr>
            <w:r>
              <w:rPr>
                <w:rFonts w:ascii="Arial" w:eastAsia="Arial" w:hAnsi="Arial" w:cs="Arial"/>
                <w:b/>
                <w:i w:val="0"/>
                <w:color w:val="4494D1"/>
                <w:sz w:val="12"/>
                <w:u w:val="none"/>
              </w:rPr>
              <w:t xml:space="preserve"> </w:t>
            </w:r>
          </w:p>
          <w:p>
            <w:pPr>
              <w:pageBreakBefore w:val="0"/>
              <w:numPr>
                <w:ilvl w:val="0"/>
                <w:numId w:val="0"/>
              </w:numPr>
              <w:spacing w:before="60" w:after="60" w:line="288" w:lineRule="auto"/>
              <w:ind w:left="90" w:right="90" w:firstLine="0"/>
              <w:jc w:val="both"/>
              <w:outlineLvl w:val="9"/>
              <w:rPr>
                <w:rFonts w:ascii="Arial" w:eastAsia="Arial" w:hAnsi="Arial" w:cs="Arial"/>
                <w:b/>
                <w:i w:val="0"/>
                <w:color w:val="4494D1"/>
                <w:sz w:val="20"/>
                <w:u w:val="none"/>
              </w:rPr>
            </w:pPr>
            <w:r>
              <w:rPr>
                <w:rFonts w:ascii="Arial" w:eastAsia="Arial" w:hAnsi="Arial" w:cs="Arial"/>
                <w:b/>
                <w:i w:val="0"/>
                <w:color w:val="4494D1"/>
                <w:sz w:val="20"/>
                <w:u w:val="none"/>
              </w:rPr>
              <w:t>2023</w:t>
            </w:r>
            <w:r>
              <w:rPr>
                <w:rFonts w:ascii="Arial" w:eastAsia="Arial" w:hAnsi="Arial" w:cs="Arial"/>
                <w:b/>
                <w:i w:val="0"/>
                <w:color w:val="4494D1"/>
                <w:sz w:val="20"/>
                <w:u w:val="none"/>
              </w:rPr>
              <w:t xml:space="preserve"> Highlights</w:t>
            </w:r>
          </w:p>
          <w:p>
            <w:pPr>
              <w:pageBreakBefore w:val="0"/>
              <w:numPr>
                <w:ilvl w:val="0"/>
                <w:numId w:val="111"/>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 xml:space="preserve">Reviewed and </w:t>
            </w:r>
            <w:r>
              <w:rPr>
                <w:rFonts w:ascii="Arial" w:eastAsia="Arial" w:hAnsi="Arial" w:cs="Arial"/>
                <w:b w:val="0"/>
                <w:i w:val="0"/>
                <w:sz w:val="20"/>
              </w:rPr>
              <w:t>recommended</w:t>
            </w:r>
            <w:r>
              <w:rPr>
                <w:rFonts w:ascii="Arial" w:eastAsia="Arial" w:hAnsi="Arial" w:cs="Arial"/>
                <w:b w:val="0"/>
                <w:i w:val="0"/>
                <w:sz w:val="20"/>
              </w:rPr>
              <w:t xml:space="preserve"> changes to the </w:t>
            </w:r>
            <w:r>
              <w:rPr>
                <w:rFonts w:ascii="Arial" w:eastAsia="Arial" w:hAnsi="Arial" w:cs="Arial"/>
                <w:b w:val="0"/>
                <w:i w:val="0"/>
                <w:sz w:val="20"/>
              </w:rPr>
              <w:t>Company's Corporate Governance Framework</w:t>
            </w:r>
            <w:r>
              <w:rPr>
                <w:rFonts w:ascii="Arial" w:eastAsia="Arial" w:hAnsi="Arial" w:cs="Arial"/>
                <w:b w:val="0"/>
                <w:i w:val="0"/>
                <w:sz w:val="20"/>
              </w:rPr>
              <w:t xml:space="preserve"> </w:t>
            </w:r>
            <w:r>
              <w:rPr>
                <w:rFonts w:ascii="Arial" w:eastAsia="Arial" w:hAnsi="Arial" w:cs="Arial"/>
                <w:b w:val="0"/>
                <w:i w:val="0"/>
                <w:sz w:val="20"/>
              </w:rPr>
              <w:t>including</w:t>
            </w:r>
            <w:r>
              <w:rPr>
                <w:rFonts w:ascii="Arial" w:eastAsia="Arial" w:hAnsi="Arial" w:cs="Arial"/>
                <w:b w:val="0"/>
                <w:i w:val="0"/>
                <w:sz w:val="20"/>
              </w:rPr>
              <w:t xml:space="preserve"> the adoption of a new </w:t>
            </w:r>
            <w:r>
              <w:rPr>
                <w:rFonts w:ascii="Arial" w:eastAsia="Arial" w:hAnsi="Arial" w:cs="Arial"/>
                <w:b w:val="0"/>
                <w:i w:val="0"/>
                <w:sz w:val="20"/>
              </w:rPr>
              <w:t>Subsidiary Accountability Fra</w:t>
            </w:r>
            <w:r>
              <w:rPr>
                <w:rFonts w:ascii="Arial" w:eastAsia="Arial" w:hAnsi="Arial" w:cs="Arial"/>
                <w:b w:val="0"/>
                <w:i w:val="0"/>
                <w:sz w:val="20"/>
              </w:rPr>
              <w:t>mework</w:t>
            </w:r>
            <w:r>
              <w:rPr>
                <w:rFonts w:ascii="Arial" w:eastAsia="Arial" w:hAnsi="Arial" w:cs="Arial"/>
                <w:b w:val="0"/>
                <w:i w:val="0"/>
                <w:sz w:val="20"/>
              </w:rPr>
              <w:t xml:space="preserve"> set</w:t>
            </w:r>
            <w:r>
              <w:rPr>
                <w:rFonts w:ascii="Arial" w:eastAsia="Arial" w:hAnsi="Arial" w:cs="Arial"/>
                <w:b w:val="0"/>
                <w:i w:val="0"/>
                <w:sz w:val="20"/>
              </w:rPr>
              <w:t>ti</w:t>
            </w:r>
            <w:r>
              <w:rPr>
                <w:rFonts w:ascii="Arial" w:eastAsia="Arial" w:hAnsi="Arial" w:cs="Arial"/>
                <w:b w:val="0"/>
                <w:i w:val="0"/>
                <w:sz w:val="20"/>
              </w:rPr>
              <w:t xml:space="preserve">ng minimum </w:t>
            </w:r>
            <w:r>
              <w:rPr>
                <w:rFonts w:ascii="Arial" w:eastAsia="Arial" w:hAnsi="Arial" w:cs="Arial"/>
                <w:b w:val="0"/>
                <w:i w:val="0"/>
                <w:sz w:val="20"/>
              </w:rPr>
              <w:t>a</w:t>
            </w:r>
            <w:r>
              <w:rPr>
                <w:rFonts w:ascii="Arial" w:eastAsia="Arial" w:hAnsi="Arial" w:cs="Arial"/>
                <w:b w:val="0"/>
                <w:i w:val="0"/>
                <w:sz w:val="20"/>
              </w:rPr>
              <w:t xml:space="preserve">nd enhanced corporate governance and </w:t>
            </w:r>
            <w:r>
              <w:rPr>
                <w:rFonts w:ascii="Arial" w:eastAsia="Arial" w:hAnsi="Arial" w:cs="Arial"/>
                <w:b w:val="0"/>
                <w:i w:val="0"/>
                <w:sz w:val="20"/>
              </w:rPr>
              <w:t xml:space="preserve">intragroup communication standards for the </w:t>
            </w:r>
            <w:r>
              <w:rPr>
                <w:rFonts w:ascii="Arial" w:eastAsia="Arial" w:hAnsi="Arial" w:cs="Arial"/>
                <w:b w:val="0"/>
                <w:i w:val="0"/>
                <w:sz w:val="20"/>
              </w:rPr>
              <w:t>Company's subsidiaries.</w:t>
            </w:r>
          </w:p>
          <w:p>
            <w:pPr>
              <w:pageBreakBefore w:val="0"/>
              <w:numPr>
                <w:ilvl w:val="0"/>
                <w:numId w:val="112"/>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 xml:space="preserve">Reviewed </w:t>
            </w:r>
            <w:r>
              <w:rPr>
                <w:rFonts w:ascii="Arial" w:eastAsia="Arial" w:hAnsi="Arial" w:cs="Arial"/>
                <w:b w:val="0"/>
                <w:i w:val="0"/>
                <w:sz w:val="20"/>
              </w:rPr>
              <w:t>t</w:t>
            </w:r>
            <w:r>
              <w:rPr>
                <w:rFonts w:ascii="Arial" w:eastAsia="Arial" w:hAnsi="Arial" w:cs="Arial"/>
                <w:b w:val="0"/>
                <w:i w:val="0"/>
                <w:sz w:val="20"/>
              </w:rPr>
              <w:t xml:space="preserve">he composition of the Board and </w:t>
            </w:r>
            <w:r>
              <w:rPr>
                <w:rFonts w:ascii="Arial" w:eastAsia="Arial" w:hAnsi="Arial" w:cs="Arial"/>
                <w:b w:val="0"/>
                <w:i w:val="0"/>
                <w:sz w:val="20"/>
              </w:rPr>
              <w:t>its committees</w:t>
            </w:r>
            <w:r>
              <w:rPr>
                <w:rFonts w:ascii="Arial" w:eastAsia="Arial" w:hAnsi="Arial" w:cs="Arial"/>
                <w:b w:val="0"/>
                <w:i w:val="0"/>
                <w:sz w:val="20"/>
              </w:rPr>
              <w:t>, inclu</w:t>
            </w:r>
            <w:r>
              <w:rPr>
                <w:rFonts w:ascii="Arial" w:eastAsia="Arial" w:hAnsi="Arial" w:cs="Arial"/>
                <w:b w:val="0"/>
                <w:i w:val="0"/>
                <w:sz w:val="20"/>
              </w:rPr>
              <w:t xml:space="preserve">ding progress against aspirational diversity targets and the operating effectiveness of the Board's </w:t>
            </w:r>
            <w:r>
              <w:rPr>
                <w:rFonts w:ascii="Arial" w:eastAsia="Arial" w:hAnsi="Arial" w:cs="Arial"/>
                <w:b w:val="0"/>
                <w:i w:val="0"/>
                <w:sz w:val="20"/>
              </w:rPr>
              <w:t>Diversity</w:t>
            </w:r>
            <w:r>
              <w:rPr>
                <w:rFonts w:ascii="Arial" w:eastAsia="Arial" w:hAnsi="Arial" w:cs="Arial"/>
                <w:b w:val="0"/>
                <w:i w:val="0"/>
                <w:sz w:val="20"/>
              </w:rPr>
              <w:t xml:space="preserve"> Policy</w:t>
            </w:r>
            <w:r>
              <w:rPr>
                <w:rFonts w:ascii="Arial" w:eastAsia="Arial" w:hAnsi="Arial" w:cs="Arial"/>
                <w:b w:val="0"/>
                <w:i w:val="0"/>
                <w:sz w:val="20"/>
              </w:rPr>
              <w:t xml:space="preserve">, recommending </w:t>
            </w:r>
            <w:r>
              <w:rPr>
                <w:rFonts w:ascii="Arial" w:eastAsia="Arial" w:hAnsi="Arial" w:cs="Arial"/>
                <w:b w:val="0"/>
                <w:i w:val="0"/>
                <w:sz w:val="20"/>
              </w:rPr>
              <w:t>periodic</w:t>
            </w:r>
            <w:r>
              <w:rPr>
                <w:rFonts w:ascii="Arial" w:eastAsia="Arial" w:hAnsi="Arial" w:cs="Arial"/>
                <w:b w:val="0"/>
                <w:i w:val="0"/>
                <w:sz w:val="20"/>
              </w:rPr>
              <w:t xml:space="preserve"> DE</w:t>
            </w:r>
            <w:r>
              <w:rPr>
                <w:rFonts w:ascii="Arial" w:eastAsia="Arial" w:hAnsi="Arial" w:cs="Arial"/>
                <w:b w:val="0"/>
                <w:i w:val="0"/>
                <w:sz w:val="20"/>
              </w:rPr>
              <w:t>&amp;</w:t>
            </w:r>
            <w:r>
              <w:rPr>
                <w:rFonts w:ascii="Arial" w:eastAsia="Arial" w:hAnsi="Arial" w:cs="Arial"/>
                <w:b w:val="0"/>
                <w:i w:val="0"/>
                <w:sz w:val="20"/>
              </w:rPr>
              <w:t xml:space="preserve">I training </w:t>
            </w:r>
            <w:r>
              <w:rPr>
                <w:rFonts w:ascii="Arial" w:eastAsia="Arial" w:hAnsi="Arial" w:cs="Arial"/>
                <w:b w:val="0"/>
                <w:i w:val="0"/>
                <w:sz w:val="20"/>
              </w:rPr>
              <w:t xml:space="preserve">and development opportunities </w:t>
            </w:r>
            <w:r>
              <w:rPr>
                <w:rFonts w:ascii="Arial" w:eastAsia="Arial" w:hAnsi="Arial" w:cs="Arial"/>
                <w:b w:val="0"/>
                <w:i w:val="0"/>
                <w:sz w:val="20"/>
              </w:rPr>
              <w:t>for di</w:t>
            </w:r>
            <w:r>
              <w:rPr>
                <w:rFonts w:ascii="Arial" w:eastAsia="Arial" w:hAnsi="Arial" w:cs="Arial"/>
                <w:b w:val="0"/>
                <w:i w:val="0"/>
                <w:sz w:val="20"/>
              </w:rPr>
              <w:t>rectors</w:t>
            </w:r>
            <w:r>
              <w:rPr>
                <w:rFonts w:ascii="Arial" w:eastAsia="Arial" w:hAnsi="Arial" w:cs="Arial"/>
                <w:b w:val="0"/>
                <w:i w:val="0"/>
                <w:sz w:val="20"/>
              </w:rPr>
              <w:t>.</w:t>
            </w:r>
          </w:p>
          <w:p>
            <w:pPr>
              <w:pageBreakBefore w:val="0"/>
              <w:numPr>
                <w:ilvl w:val="0"/>
                <w:numId w:val="113"/>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Oversaw progress and completion of Board and committee effectiveness enhancement plans resulting from the 2022 annual Board and committee evaluation process.</w:t>
            </w:r>
          </w:p>
          <w:p>
            <w:pPr>
              <w:pageBreakBefore w:val="0"/>
              <w:numPr>
                <w:ilvl w:val="0"/>
                <w:numId w:val="114"/>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 xml:space="preserve">Considered shareholder </w:t>
            </w:r>
            <w:r>
              <w:rPr>
                <w:rFonts w:ascii="Arial" w:eastAsia="Arial" w:hAnsi="Arial" w:cs="Arial"/>
                <w:b w:val="0"/>
                <w:i w:val="0"/>
                <w:sz w:val="20"/>
              </w:rPr>
              <w:t>and proxy advisor</w:t>
            </w:r>
            <w:r>
              <w:rPr>
                <w:rFonts w:ascii="Arial" w:eastAsia="Arial" w:hAnsi="Arial" w:cs="Arial"/>
                <w:b w:val="0"/>
                <w:i w:val="0"/>
                <w:sz w:val="20"/>
              </w:rPr>
              <w:t xml:space="preserve"> </w:t>
            </w:r>
            <w:r>
              <w:rPr>
                <w:rFonts w:ascii="Arial" w:eastAsia="Arial" w:hAnsi="Arial" w:cs="Arial"/>
                <w:b w:val="0"/>
                <w:i w:val="0"/>
                <w:sz w:val="20"/>
              </w:rPr>
              <w:t>feedback from engage</w:t>
            </w:r>
            <w:r>
              <w:rPr>
                <w:rFonts w:ascii="Arial" w:eastAsia="Arial" w:hAnsi="Arial" w:cs="Arial"/>
                <w:b w:val="0"/>
                <w:i w:val="0"/>
                <w:sz w:val="20"/>
              </w:rPr>
              <w:t>ment sessions, the 2023 Annual Meeting of Shareholders, and publicly available sources.</w:t>
            </w:r>
          </w:p>
          <w:p>
            <w:pPr>
              <w:pageBreakBefore w:val="0"/>
              <w:numPr>
                <w:ilvl w:val="0"/>
                <w:numId w:val="115"/>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 xml:space="preserve">Reviewed the Company's director </w:t>
            </w:r>
            <w:r>
              <w:rPr>
                <w:rFonts w:ascii="Arial" w:eastAsia="Arial" w:hAnsi="Arial" w:cs="Arial"/>
                <w:b w:val="0"/>
                <w:i w:val="0"/>
                <w:sz w:val="20"/>
              </w:rPr>
              <w:t>candidate</w:t>
            </w:r>
            <w:r>
              <w:rPr>
                <w:rFonts w:ascii="Arial" w:eastAsia="Arial" w:hAnsi="Arial" w:cs="Arial"/>
                <w:b w:val="0"/>
                <w:i w:val="0"/>
                <w:sz w:val="20"/>
              </w:rPr>
              <w:t xml:space="preserve"> sourcing process</w:t>
            </w:r>
            <w:r>
              <w:rPr>
                <w:rFonts w:ascii="Arial" w:eastAsia="Arial" w:hAnsi="Arial" w:cs="Arial"/>
                <w:b w:val="0"/>
                <w:i w:val="0"/>
                <w:sz w:val="20"/>
              </w:rPr>
              <w:t xml:space="preserve"> against </w:t>
            </w:r>
            <w:r>
              <w:rPr>
                <w:rFonts w:ascii="Arial" w:eastAsia="Arial" w:hAnsi="Arial" w:cs="Arial"/>
                <w:b w:val="0"/>
                <w:i w:val="0"/>
                <w:sz w:val="20"/>
              </w:rPr>
              <w:t>the current and future needs of the Company, its near- and long-term strategy, and industry and competitive landscape</w:t>
            </w:r>
            <w:r>
              <w:rPr>
                <w:rFonts w:ascii="Arial" w:eastAsia="Arial" w:hAnsi="Arial" w:cs="Arial"/>
                <w:b w:val="0"/>
                <w:i w:val="0"/>
                <w:sz w:val="20"/>
              </w:rPr>
              <w:t>.</w:t>
            </w:r>
          </w:p>
          <w:p>
            <w:pPr>
              <w:pageBreakBefore w:val="0"/>
              <w:numPr>
                <w:ilvl w:val="0"/>
                <w:numId w:val="116"/>
              </w:numPr>
              <w:spacing w:before="60" w:after="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Reviewed the</w:t>
            </w:r>
            <w:r>
              <w:rPr>
                <w:rFonts w:ascii="Arial" w:eastAsia="Arial" w:hAnsi="Arial" w:cs="Arial"/>
                <w:b w:val="0"/>
                <w:i w:val="0"/>
                <w:sz w:val="20"/>
              </w:rPr>
              <w:t xml:space="preserve"> ongoing </w:t>
            </w:r>
            <w:r>
              <w:rPr>
                <w:rFonts w:ascii="Arial" w:eastAsia="Arial" w:hAnsi="Arial" w:cs="Arial"/>
                <w:b w:val="0"/>
                <w:i w:val="0"/>
                <w:sz w:val="20"/>
              </w:rPr>
              <w:t>appropriateness</w:t>
            </w:r>
            <w:r>
              <w:rPr>
                <w:rFonts w:ascii="Arial" w:eastAsia="Arial" w:hAnsi="Arial" w:cs="Arial"/>
                <w:b w:val="0"/>
                <w:i w:val="0"/>
                <w:sz w:val="20"/>
              </w:rPr>
              <w:t xml:space="preserve"> of the Company's Bye-laws.</w:t>
            </w:r>
          </w:p>
          <w:p>
            <w:pPr>
              <w:pageBreakBefore w:val="0"/>
              <w:numPr>
                <w:ilvl w:val="0"/>
                <w:numId w:val="117"/>
              </w:numPr>
              <w:spacing w:before="0" w:after="0" w:line="288" w:lineRule="auto"/>
              <w:ind w:left="270" w:right="90" w:hanging="180"/>
              <w:jc w:val="left"/>
              <w:outlineLvl w:val="9"/>
              <w:rPr>
                <w:rFonts w:ascii="Arial" w:eastAsia="Arial" w:hAnsi="Arial" w:cs="Arial"/>
                <w:b w:val="0"/>
                <w:i w:val="0"/>
                <w:color w:val="FFFFFF"/>
                <w:sz w:val="20"/>
                <w:u w:val="none"/>
              </w:rPr>
            </w:pPr>
            <w:r>
              <w:rPr>
                <w:rFonts w:ascii="Arial" w:eastAsia="Arial" w:hAnsi="Arial" w:cs="Arial"/>
                <w:b w:val="0"/>
                <w:i w:val="0"/>
                <w:color w:val="FFFFFF"/>
                <w:sz w:val="12"/>
                <w:u w:val="none"/>
              </w:rPr>
              <w:t xml:space="preserve"> </w:t>
            </w:r>
          </w:p>
          <w:p>
            <w:pPr>
              <w:pageBreakBefore w:val="0"/>
              <w:numPr>
                <w:ilvl w:val="0"/>
                <w:numId w:val="0"/>
              </w:numPr>
              <w:spacing w:before="0" w:after="0" w:line="288" w:lineRule="auto"/>
              <w:ind w:left="270" w:right="90" w:hanging="180"/>
              <w:jc w:val="left"/>
              <w:outlineLvl w:val="9"/>
              <w:rPr>
                <w:rFonts w:ascii="Arial" w:eastAsia="Arial" w:hAnsi="Arial" w:cs="Arial"/>
                <w:b/>
                <w:i w:val="0"/>
                <w:color w:val="4494D1"/>
                <w:sz w:val="20"/>
                <w:u w:val="none"/>
              </w:rPr>
            </w:pPr>
            <w:r>
              <w:rPr>
                <w:rFonts w:ascii="Arial" w:eastAsia="Arial" w:hAnsi="Arial" w:cs="Arial"/>
                <w:b/>
                <w:i w:val="0"/>
                <w:color w:val="4494D1"/>
                <w:sz w:val="20"/>
                <w:u w:val="none"/>
              </w:rPr>
              <w:t>Independence</w:t>
            </w:r>
          </w:p>
          <w:p>
            <w:pPr>
              <w:pageBreakBefore w:val="0"/>
              <w:numPr>
                <w:ilvl w:val="0"/>
                <w:numId w:val="118"/>
              </w:numPr>
              <w:spacing w:before="60" w:after="60" w:line="300"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 xml:space="preserve">Each </w:t>
            </w:r>
            <w:r>
              <w:rPr>
                <w:rFonts w:ascii="Arial" w:eastAsia="Arial" w:hAnsi="Arial" w:cs="Arial"/>
                <w:b w:val="0"/>
                <w:i w:val="0"/>
                <w:sz w:val="20"/>
              </w:rPr>
              <w:t>member of the Committee is independent, as required by the listing rules of The Nasdaq Stock Market.</w:t>
            </w:r>
          </w:p>
          <w:p>
            <w:pPr>
              <w:pageBreakBefore w:val="0"/>
              <w:numPr>
                <w:ilvl w:val="0"/>
                <w:numId w:val="0"/>
              </w:numPr>
              <w:spacing w:before="60" w:after="30" w:line="288" w:lineRule="auto"/>
              <w:ind w:left="-450" w:right="90" w:firstLine="0"/>
              <w:jc w:val="left"/>
              <w:outlineLvl w:val="9"/>
              <w:rPr>
                <w:rFonts w:ascii="Arial" w:eastAsia="Arial" w:hAnsi="Arial" w:cs="Arial"/>
                <w:b w:val="0"/>
                <w:i w:val="0"/>
                <w:color w:val="4494D1"/>
                <w:sz w:val="20"/>
                <w:u w:val="none"/>
              </w:rPr>
            </w:pPr>
          </w:p>
        </w:tc>
      </w:tr>
      <w:tr>
        <w:tblPrEx>
          <w:tblW w:w="10260" w:type="dxa"/>
          <w:jc w:val="left"/>
          <w:tblInd w:w="0" w:type="dxa"/>
          <w:tblLayout w:type="fixed"/>
          <w:tblCellMar>
            <w:left w:w="108" w:type="dxa"/>
            <w:right w:w="108" w:type="dxa"/>
          </w:tblCellMar>
        </w:tblPrEx>
        <w:trPr>
          <w:cantSplit/>
          <w:trHeight w:hRule="exact" w:val="315"/>
          <w:jc w:val="left"/>
        </w:trPr>
        <w:tc>
          <w:tcPr>
            <w:tcW w:w="2805" w:type="dxa"/>
            <w:gridSpan w:val="2"/>
            <w:vMerge/>
            <w:tcBorders>
              <w:top w:val="nil"/>
              <w:left w:val="nil"/>
              <w:bottom w:val="nil"/>
              <w:right w:val="nil"/>
            </w:tcBorders>
          </w:tcPr>
          <w:p>
            <w:pPr>
              <w:keepNext/>
              <w:pageBreakBefore w:val="0"/>
            </w:pPr>
          </w:p>
        </w:tc>
        <w:tc>
          <w:tcPr>
            <w:tcW w:w="7455" w:type="dxa"/>
            <w:gridSpan w:val="6"/>
            <w:vMerge/>
            <w:tcBorders>
              <w:top w:val="nil"/>
              <w:left w:val="single" w:sz="8" w:space="0" w:color="4494D1"/>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7140"/>
          <w:jc w:val="left"/>
        </w:trPr>
        <w:tc>
          <w:tcPr>
            <w:tcW w:w="2805" w:type="dxa"/>
            <w:gridSpan w:val="2"/>
            <w:vMerge/>
            <w:tcBorders>
              <w:top w:val="nil"/>
              <w:left w:val="nil"/>
              <w:bottom w:val="nil"/>
              <w:right w:val="nil"/>
            </w:tcBorders>
          </w:tcPr>
          <w:p>
            <w:pPr>
              <w:keepNext/>
              <w:pageBreakBefore w:val="0"/>
            </w:pPr>
          </w:p>
        </w:tc>
        <w:tc>
          <w:tcPr>
            <w:tcW w:w="7455" w:type="dxa"/>
            <w:gridSpan w:val="6"/>
            <w:vMerge/>
            <w:tcBorders>
              <w:top w:val="nil"/>
              <w:left w:val="single" w:sz="8" w:space="0" w:color="4494D1"/>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60"/>
          <w:jc w:val="left"/>
        </w:trPr>
        <w:tc>
          <w:tcPr>
            <w:tcW w:w="1500"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80"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800"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560"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r>
    </w:tbl>
    <w:p>
      <w:pPr>
        <w:keepNext/>
        <w:keepLines/>
        <w:pageBreakBefore/>
        <w:widowControl w:val="0"/>
        <w:numPr>
          <w:ilvl w:val="0"/>
          <w:numId w:val="0"/>
        </w:numPr>
        <w:spacing w:before="0" w:after="60" w:line="288" w:lineRule="auto"/>
        <w:ind w:left="0" w:right="0" w:firstLine="0"/>
        <w:jc w:val="left"/>
        <w:outlineLvl w:val="9"/>
        <w:rPr>
          <w:rFonts w:ascii="Times New Roman" w:eastAsia="Times New Roman" w:hAnsi="Times New Roman" w:cs="Times New Roman"/>
          <w:b w:val="0"/>
          <w:i w:val="0"/>
          <w:color w:val="FF0090"/>
          <w:sz w:val="20"/>
          <w:u w:val="none"/>
        </w:rPr>
      </w:pPr>
    </w:p>
    <w:p>
      <w:pPr>
        <w:keepNext/>
        <w:keepLines/>
        <w:pageBreakBefore w:val="0"/>
        <w:widowControl w:val="0"/>
        <w:numPr>
          <w:ilvl w:val="0"/>
          <w:numId w:val="0"/>
        </w:numPr>
        <w:spacing w:before="120" w:after="60" w:line="288" w:lineRule="auto"/>
        <w:ind w:left="-720" w:right="0" w:hanging="360"/>
        <w:jc w:val="both"/>
        <w:outlineLvl w:val="9"/>
        <w:rPr>
          <w:rFonts w:ascii="Arial" w:eastAsia="Arial" w:hAnsi="Arial" w:cs="Arial"/>
          <w:b w:val="0"/>
          <w:i w:val="0"/>
          <w:color w:val="969698"/>
          <w:sz w:val="16"/>
          <w:u w:val="none"/>
          <w:shd w:val="clear" w:color="auto" w:fill="FFFF00"/>
        </w:rPr>
      </w:pP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500"/>
        <w:gridCol w:w="1305"/>
        <w:gridCol w:w="1305"/>
        <w:gridCol w:w="1305"/>
        <w:gridCol w:w="1305"/>
        <w:gridCol w:w="180"/>
        <w:gridCol w:w="1800"/>
        <w:gridCol w:w="1560"/>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65"/>
          <w:jc w:val="left"/>
        </w:trPr>
        <w:tc>
          <w:tcPr>
            <w:tcW w:w="6720" w:type="dxa"/>
            <w:gridSpan w:val="5"/>
            <w:tcBorders>
              <w:top w:val="single" w:sz="12" w:space="0" w:color="4494D1"/>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i w:val="0"/>
                <w:color w:val="4494D1"/>
                <w:sz w:val="24"/>
                <w:u w:val="none"/>
              </w:rPr>
            </w:pPr>
            <w:r>
              <w:rPr>
                <w:rFonts w:ascii="Arial" w:eastAsia="Arial" w:hAnsi="Arial" w:cs="Arial"/>
                <w:b/>
                <w:i w:val="0"/>
                <w:color w:val="4494D1"/>
                <w:sz w:val="24"/>
                <w:u w:val="none"/>
              </w:rPr>
              <w:t>Risk Committee</w:t>
            </w:r>
          </w:p>
        </w:tc>
        <w:tc>
          <w:tcPr>
            <w:tcW w:w="180"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1560"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60"/>
          <w:jc w:val="left"/>
        </w:trPr>
        <w:tc>
          <w:tcPr>
            <w:tcW w:w="6720" w:type="dxa"/>
            <w:gridSpan w:val="5"/>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8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285"/>
          <w:jc w:val="left"/>
        </w:trPr>
        <w:tc>
          <w:tcPr>
            <w:tcW w:w="15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4494D1"/>
                <w:sz w:val="18"/>
                <w:u w:val="none"/>
              </w:rPr>
              <w:t>CHAIR</w:t>
            </w:r>
          </w:p>
        </w:tc>
        <w:tc>
          <w:tcPr>
            <w:tcW w:w="13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4494D1"/>
                <w:sz w:val="18"/>
                <w:u w:val="none"/>
              </w:rPr>
              <w:t>MEMBERS</w:t>
            </w: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4494D1"/>
                <w:sz w:val="18"/>
                <w:u w:val="none"/>
              </w:rPr>
              <w:t xml:space="preserve">MEETINGS HELD </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285"/>
          <w:jc w:val="left"/>
        </w:trPr>
        <w:tc>
          <w:tcPr>
            <w:tcW w:w="1500"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89" type="#_x0000_t75" style="width:34.8pt;height:43.5pt">
                  <v:imagedata r:id="rId55" o:title=""/>
                  <o:lock v:ext="edit" aspectratio="t"/>
                </v:shape>
              </w:pict>
            </w:r>
          </w:p>
        </w:tc>
        <w:tc>
          <w:tcPr>
            <w:tcW w:w="1305"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90" type="#_x0000_t75" style="width:38.05pt;height:43.5pt">
                  <v:imagedata r:id="rId50" o:title=""/>
                  <o:lock v:ext="edit" aspectratio="t"/>
                </v:shape>
              </w:pict>
            </w:r>
          </w:p>
        </w:tc>
        <w:tc>
          <w:tcPr>
            <w:tcW w:w="1305"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91" type="#_x0000_t75" style="width:35.9pt;height:45pt">
                  <v:imagedata r:id="rId51" o:title=""/>
                  <o:lock v:ext="edit" aspectratio="t"/>
                </v:shape>
              </w:pict>
            </w:r>
          </w:p>
        </w:tc>
        <w:tc>
          <w:tcPr>
            <w:tcW w:w="1305"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92" type="#_x0000_t75" style="width:41.04pt;height:44.25pt">
                  <v:imagedata r:id="rId53" o:title=""/>
                  <o:lock v:ext="edit" aspectratio="t"/>
                </v:shape>
              </w:pict>
            </w:r>
          </w:p>
        </w:tc>
        <w:tc>
          <w:tcPr>
            <w:tcW w:w="1305" w:type="dxa"/>
            <w:vMerge w:val="restart"/>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88" w:lineRule="auto"/>
              <w:ind w:left="0" w:right="0" w:firstLine="0"/>
              <w:jc w:val="left"/>
              <w:outlineLvl w:val="9"/>
              <w:rPr>
                <w:rFonts w:ascii="Arial" w:eastAsia="Arial" w:hAnsi="Arial" w:cs="Arial"/>
                <w:b/>
                <w:i w:val="0"/>
                <w:color w:val="4494D1"/>
                <w:sz w:val="18"/>
                <w:u w:val="none"/>
              </w:rPr>
            </w:pPr>
            <w:r>
              <w:rPr>
                <w:rFonts w:ascii="Arial" w:eastAsia="Arial" w:hAnsi="Arial" w:cs="Arial"/>
                <w:b/>
                <w:i w:val="0"/>
                <w:color w:val="4494D1"/>
                <w:sz w:val="18"/>
                <w:u w:val="none"/>
              </w:rPr>
              <w:t xml:space="preserve">IN </w:t>
            </w:r>
            <w:r>
              <w:rPr>
                <w:rFonts w:ascii="Arial" w:eastAsia="Arial" w:hAnsi="Arial" w:cs="Arial"/>
                <w:b/>
                <w:i w:val="0"/>
                <w:color w:val="4494D1"/>
                <w:sz w:val="18"/>
                <w:u w:val="none"/>
              </w:rPr>
              <w:t>2023</w:t>
            </w:r>
            <w:r>
              <w:rPr>
                <w:rFonts w:ascii="Arial" w:eastAsia="Arial" w:hAnsi="Arial" w:cs="Arial"/>
                <w:b/>
                <w:i w:val="0"/>
                <w:color w:val="4494D1"/>
                <w:sz w:val="18"/>
                <w:u w:val="none"/>
              </w:rPr>
              <w:t>:</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285"/>
          <w:jc w:val="left"/>
        </w:trPr>
        <w:tc>
          <w:tcPr>
            <w:tcW w:w="1500"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i w:val="0"/>
                <w:sz w:val="28"/>
              </w:rPr>
            </w:pPr>
            <w:r>
              <w:rPr>
                <w:rFonts w:ascii="Arial" w:eastAsia="Arial" w:hAnsi="Arial" w:cs="Arial"/>
                <w:b/>
                <w:i w:val="0"/>
                <w:color w:val="000000"/>
                <w:sz w:val="28"/>
                <w:u w:val="none"/>
              </w:rPr>
              <w:t>4</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65"/>
          <w:jc w:val="left"/>
        </w:trPr>
        <w:tc>
          <w:tcPr>
            <w:tcW w:w="1500"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95"/>
          <w:jc w:val="left"/>
        </w:trPr>
        <w:tc>
          <w:tcPr>
            <w:tcW w:w="1500"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4494D1"/>
                <w:sz w:val="18"/>
                <w:u w:val="none"/>
              </w:rPr>
              <w:t>INDEPENDENCE</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435"/>
          <w:jc w:val="left"/>
        </w:trPr>
        <w:tc>
          <w:tcPr>
            <w:tcW w:w="1500" w:type="dxa"/>
            <w:tcBorders>
              <w:top w:val="nil"/>
              <w:left w:val="nil"/>
              <w:bottom w:val="nil"/>
              <w:right w:val="nil"/>
            </w:tcBorders>
            <w:tcMar>
              <w:top w:w="0" w:type="dxa"/>
              <w:left w:w="53" w:type="dxa"/>
              <w:bottom w:w="0" w:type="dxa"/>
              <w:right w:w="53" w:type="dxa"/>
            </w:tcMar>
            <w:vAlign w:val="bottom"/>
          </w:tcPr>
          <w:p>
            <w:pPr>
              <w:keepNext/>
              <w:pageBreakBefore w:val="0"/>
              <w:spacing w:before="53" w:line="240" w:lineRule="auto"/>
              <w:ind w:left="90" w:hanging="90"/>
              <w:jc w:val="left"/>
            </w:pPr>
            <w:r>
              <w:rPr>
                <w:rFonts w:ascii="Arial" w:eastAsia="Arial" w:hAnsi="Arial" w:cs="Arial"/>
                <w:b/>
                <w:i w:val="0"/>
                <w:color w:val="000000"/>
                <w:sz w:val="18"/>
                <w:u w:val="none"/>
              </w:rPr>
              <w:t>Hitesh</w:t>
            </w:r>
          </w:p>
          <w:p>
            <w:pPr>
              <w:spacing w:after="30" w:line="240" w:lineRule="auto"/>
              <w:ind w:left="90" w:hanging="90"/>
              <w:jc w:val="left"/>
            </w:pPr>
            <w:r>
              <w:rPr>
                <w:rFonts w:ascii="Arial" w:eastAsia="Arial" w:hAnsi="Arial" w:cs="Arial"/>
                <w:b/>
                <w:i w:val="0"/>
                <w:color w:val="000000"/>
                <w:sz w:val="18"/>
                <w:u w:val="none"/>
              </w:rPr>
              <w:t>Patel</w:t>
            </w:r>
          </w:p>
        </w:tc>
        <w:tc>
          <w:tcPr>
            <w:tcW w:w="13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Susan L. Cross</w:t>
            </w:r>
          </w:p>
        </w:tc>
        <w:tc>
          <w:tcPr>
            <w:tcW w:w="13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Hans-Peter Gerhardt</w:t>
            </w:r>
          </w:p>
        </w:tc>
        <w:tc>
          <w:tcPr>
            <w:tcW w:w="1305" w:type="dxa"/>
            <w:tcBorders>
              <w:top w:val="nil"/>
              <w:left w:val="nil"/>
              <w:bottom w:val="nil"/>
              <w:right w:val="nil"/>
            </w:tcBorders>
            <w:tcMar>
              <w:top w:w="0" w:type="dxa"/>
              <w:left w:w="53" w:type="dxa"/>
              <w:bottom w:w="0" w:type="dxa"/>
              <w:right w:w="53" w:type="dxa"/>
            </w:tcMar>
            <w:vAlign w:val="top"/>
          </w:tcPr>
          <w:p>
            <w:pPr>
              <w:keepNext/>
              <w:pageBreakBefore w:val="0"/>
              <w:spacing w:before="53" w:line="240" w:lineRule="auto"/>
              <w:jc w:val="left"/>
            </w:pPr>
            <w:r>
              <w:rPr>
                <w:rFonts w:ascii="Arial" w:eastAsia="Arial" w:hAnsi="Arial" w:cs="Arial"/>
                <w:b/>
                <w:i w:val="0"/>
                <w:color w:val="000000"/>
                <w:sz w:val="18"/>
                <w:u w:val="none"/>
              </w:rPr>
              <w:t>Myron</w:t>
            </w:r>
          </w:p>
          <w:p>
            <w:pPr>
              <w:spacing w:after="30" w:line="240" w:lineRule="auto"/>
              <w:jc w:val="left"/>
            </w:pPr>
            <w:r>
              <w:rPr>
                <w:rFonts w:ascii="Arial" w:eastAsia="Arial" w:hAnsi="Arial" w:cs="Arial"/>
                <w:b/>
                <w:i w:val="0"/>
                <w:color w:val="000000"/>
                <w:sz w:val="18"/>
                <w:u w:val="none"/>
              </w:rPr>
              <w:t>Hendry</w:t>
            </w: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i w:val="0"/>
                <w:sz w:val="20"/>
              </w:rPr>
            </w:pPr>
            <w:r>
              <w:rPr>
                <w:rFonts w:ascii="Arial" w:eastAsia="Arial" w:hAnsi="Arial" w:cs="Arial"/>
                <w:b/>
                <w:i w:val="0"/>
                <w:sz w:val="28"/>
              </w:rPr>
              <w:t>4</w:t>
            </w:r>
            <w:r>
              <w:rPr>
                <w:rFonts w:ascii="Arial" w:eastAsia="Arial" w:hAnsi="Arial" w:cs="Arial"/>
                <w:b/>
                <w:i w:val="0"/>
                <w:sz w:val="20"/>
              </w:rPr>
              <w:t xml:space="preserve"> out of 4</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60"/>
          <w:jc w:val="left"/>
        </w:trPr>
        <w:tc>
          <w:tcPr>
            <w:tcW w:w="150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8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60"/>
          <w:jc w:val="left"/>
        </w:trPr>
        <w:tc>
          <w:tcPr>
            <w:tcW w:w="15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2565"/>
          <w:jc w:val="left"/>
        </w:trPr>
        <w:tc>
          <w:tcPr>
            <w:tcW w:w="2805" w:type="dxa"/>
            <w:gridSpan w:val="2"/>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0" w:line="240" w:lineRule="auto"/>
              <w:ind w:left="0" w:right="0" w:firstLine="0"/>
              <w:jc w:val="left"/>
              <w:outlineLvl w:val="9"/>
              <w:rPr>
                <w:rFonts w:ascii="Arial" w:eastAsia="Arial" w:hAnsi="Arial" w:cs="Arial"/>
                <w:b/>
                <w:i w:val="0"/>
                <w:color w:val="4494D1"/>
                <w:sz w:val="8"/>
                <w:u w:val="none"/>
                <w:shd w:val="clear" w:color="auto" w:fill="FFFF00"/>
              </w:rPr>
            </w:pPr>
          </w:p>
          <w:p>
            <w:pPr>
              <w:pageBreakBefore w:val="0"/>
              <w:numPr>
                <w:ilvl w:val="0"/>
                <w:numId w:val="0"/>
              </w:numPr>
              <w:spacing w:before="0" w:after="0" w:line="240" w:lineRule="auto"/>
              <w:ind w:left="0" w:right="0" w:firstLine="0"/>
              <w:jc w:val="left"/>
              <w:outlineLvl w:val="9"/>
              <w:rPr>
                <w:rFonts w:ascii="Arial" w:eastAsia="Arial" w:hAnsi="Arial" w:cs="Arial"/>
                <w:b w:val="0"/>
                <w:i w:val="0"/>
                <w:color w:val="4494D1"/>
                <w:sz w:val="20"/>
                <w:u w:val="none"/>
              </w:rPr>
            </w:pPr>
            <w:r>
              <w:rPr>
                <w:rFonts w:ascii="Arial" w:eastAsia="Arial" w:hAnsi="Arial" w:cs="Arial"/>
                <w:b/>
                <w:i w:val="0"/>
                <w:color w:val="4494D1"/>
                <w:sz w:val="18"/>
                <w:u w:val="none"/>
              </w:rPr>
              <w:t>Additional Information</w:t>
            </w:r>
          </w:p>
          <w:p>
            <w:pPr>
              <w:pageBreakBefore w:val="0"/>
              <w:numPr>
                <w:ilvl w:val="0"/>
                <w:numId w:val="0"/>
              </w:numPr>
              <w:spacing w:before="0" w:after="0" w:line="288" w:lineRule="auto"/>
              <w:ind w:left="0" w:right="0" w:firstLine="0"/>
              <w:jc w:val="center"/>
              <w:outlineLvl w:val="9"/>
              <w:rPr>
                <w:rFonts w:ascii="Arial" w:eastAsia="Arial" w:hAnsi="Arial" w:cs="Arial"/>
                <w:b w:val="0"/>
                <w:i w:val="0"/>
                <w:color w:val="929292"/>
                <w:sz w:val="12"/>
                <w:u w:val="none"/>
              </w:rPr>
            </w:pPr>
          </w:p>
          <w:p>
            <w:pPr>
              <w:pageBreakBefore w:val="0"/>
              <w:numPr>
                <w:ilvl w:val="0"/>
                <w:numId w:val="0"/>
              </w:numPr>
              <w:spacing w:before="0" w:after="30" w:line="240" w:lineRule="auto"/>
              <w:ind w:left="0" w:right="0" w:firstLine="0"/>
              <w:jc w:val="left"/>
              <w:outlineLvl w:val="9"/>
              <w:rPr>
                <w:rFonts w:ascii="Arial" w:eastAsia="Arial" w:hAnsi="Arial" w:cs="Arial"/>
                <w:b w:val="0"/>
                <w:i w:val="0"/>
                <w:color w:val="929292"/>
                <w:sz w:val="18"/>
                <w:u w:val="none"/>
              </w:rPr>
            </w:pPr>
            <w:r>
              <w:rPr>
                <w:rFonts w:ascii="Arial" w:eastAsia="Arial" w:hAnsi="Arial" w:cs="Arial"/>
                <w:b w:val="0"/>
                <w:i w:val="0"/>
                <w:color w:val="929292"/>
                <w:sz w:val="18"/>
                <w:u w:val="none"/>
              </w:rPr>
              <w:t xml:space="preserve">Additional information regarding the Risk Committee and the Board's oversight of risk is provided below under the Section titled "Board Oversight of Risk" beginning on page </w:t>
            </w:r>
            <w:r>
              <w:rPr>
                <w:rFonts w:ascii="Arial" w:eastAsia="Arial" w:hAnsi="Arial" w:cs="Arial"/>
                <w:b w:val="0"/>
                <w:i w:val="0"/>
                <w:color w:val="3051F2"/>
                <w:sz w:val="18"/>
                <w:u w:val="single"/>
              </w:rPr>
              <w:fldChar w:fldCharType="begin"/>
            </w:r>
            <w:r>
              <w:rPr>
                <w:rFonts w:ascii="Arial" w:eastAsia="Arial" w:hAnsi="Arial" w:cs="Arial"/>
                <w:b w:val="0"/>
                <w:i w:val="0"/>
                <w:color w:val="3051F2"/>
                <w:sz w:val="18"/>
                <w:u w:val="single"/>
              </w:rPr>
              <w:instrText xml:space="preserve"> PAGEREF </w:instrText>
            </w:r>
            <w:r>
              <w:rPr>
                <w:rFonts w:ascii="Arial" w:eastAsia="Arial" w:hAnsi="Arial" w:cs="Arial"/>
                <w:b w:val="0"/>
                <w:i w:val="0"/>
                <w:color w:val="3051F2"/>
                <w:sz w:val="18"/>
                <w:u w:val="single"/>
              </w:rPr>
              <w:instrText xml:space="preserve"> </w:instrText>
            </w:r>
            <w:r>
              <w:rPr>
                <w:rFonts w:ascii="Arial" w:eastAsia="Arial" w:hAnsi="Arial" w:cs="Arial"/>
                <w:b w:val="0"/>
                <w:i w:val="0"/>
                <w:color w:val="3051F2"/>
                <w:sz w:val="18"/>
                <w:u w:val="single"/>
              </w:rPr>
              <w:instrText>Section44</w:instrText>
            </w:r>
            <w:r>
              <w:rPr>
                <w:rFonts w:ascii="Arial" w:eastAsia="Arial" w:hAnsi="Arial" w:cs="Arial"/>
                <w:b w:val="0"/>
                <w:i w:val="0"/>
                <w:color w:val="3051F2"/>
                <w:sz w:val="18"/>
                <w:u w:val="single"/>
              </w:rPr>
              <w:instrText xml:space="preserve"> \h</w:instrText>
            </w:r>
            <w:r>
              <w:rPr>
                <w:rFonts w:ascii="Arial" w:eastAsia="Arial" w:hAnsi="Arial" w:cs="Arial"/>
                <w:b w:val="0"/>
                <w:i w:val="0"/>
                <w:color w:val="3051F2"/>
                <w:sz w:val="18"/>
                <w:u w:val="single"/>
              </w:rPr>
              <w:fldChar w:fldCharType="separate"/>
            </w:r>
            <w:r>
              <w:rPr>
                <w:rFonts w:ascii="Arial" w:eastAsia="Arial" w:hAnsi="Arial" w:cs="Arial"/>
                <w:b w:val="0"/>
                <w:i w:val="0"/>
                <w:color w:val="3051F2"/>
                <w:sz w:val="18"/>
                <w:u w:val="single"/>
              </w:rPr>
              <w:t>30</w:t>
            </w:r>
            <w:r>
              <w:rPr>
                <w:rFonts w:ascii="Arial" w:eastAsia="Arial" w:hAnsi="Arial" w:cs="Arial"/>
                <w:b w:val="0"/>
                <w:i w:val="0"/>
                <w:color w:val="3051F2"/>
                <w:sz w:val="18"/>
                <w:u w:val="single"/>
              </w:rPr>
              <w:fldChar w:fldCharType="end"/>
            </w:r>
            <w:r>
              <w:rPr>
                <w:rFonts w:ascii="Arial" w:eastAsia="Arial" w:hAnsi="Arial" w:cs="Arial"/>
                <w:b w:val="0"/>
                <w:i w:val="0"/>
                <w:color w:val="929292"/>
                <w:sz w:val="18"/>
                <w:u w:val="none"/>
              </w:rPr>
              <w:t>.</w:t>
            </w:r>
          </w:p>
        </w:tc>
        <w:tc>
          <w:tcPr>
            <w:tcW w:w="7455" w:type="dxa"/>
            <w:gridSpan w:val="6"/>
            <w:vMerge w:val="restart"/>
            <w:tcBorders>
              <w:top w:val="nil"/>
              <w:left w:val="single" w:sz="8" w:space="0" w:color="4494D1"/>
              <w:bottom w:val="nil"/>
              <w:right w:val="nil"/>
            </w:tcBorders>
            <w:tcMar>
              <w:top w:w="0" w:type="dxa"/>
              <w:left w:w="53" w:type="dxa"/>
              <w:bottom w:w="0" w:type="dxa"/>
              <w:right w:w="53" w:type="dxa"/>
            </w:tcMar>
            <w:vAlign w:val="top"/>
          </w:tcPr>
          <w:p>
            <w:pPr>
              <w:keepNext/>
              <w:pageBreakBefore w:val="0"/>
              <w:numPr>
                <w:ilvl w:val="0"/>
                <w:numId w:val="0"/>
              </w:numPr>
              <w:spacing w:before="53" w:after="0" w:line="288" w:lineRule="auto"/>
              <w:ind w:left="90" w:right="0" w:firstLine="0"/>
              <w:jc w:val="left"/>
              <w:outlineLvl w:val="9"/>
              <w:rPr>
                <w:rFonts w:ascii="Arial" w:eastAsia="Arial" w:hAnsi="Arial" w:cs="Arial"/>
                <w:b/>
                <w:i w:val="0"/>
                <w:color w:val="4494D1"/>
                <w:sz w:val="4"/>
                <w:u w:val="none"/>
              </w:rPr>
            </w:pPr>
          </w:p>
          <w:p>
            <w:pPr>
              <w:pageBreakBefore w:val="0"/>
              <w:numPr>
                <w:ilvl w:val="0"/>
                <w:numId w:val="0"/>
              </w:numPr>
              <w:spacing w:before="60" w:after="60" w:line="288" w:lineRule="auto"/>
              <w:ind w:left="90" w:right="0" w:firstLine="0"/>
              <w:jc w:val="left"/>
              <w:outlineLvl w:val="9"/>
              <w:rPr>
                <w:rFonts w:ascii="Arial" w:eastAsia="Arial" w:hAnsi="Arial" w:cs="Arial"/>
                <w:b/>
                <w:i w:val="0"/>
                <w:color w:val="4494D1"/>
                <w:sz w:val="20"/>
                <w:u w:val="none"/>
              </w:rPr>
            </w:pPr>
            <w:r>
              <w:rPr>
                <w:rFonts w:ascii="Arial" w:eastAsia="Arial" w:hAnsi="Arial" w:cs="Arial"/>
                <w:b/>
                <w:i w:val="0"/>
                <w:color w:val="4494D1"/>
                <w:sz w:val="20"/>
                <w:u w:val="none"/>
              </w:rPr>
              <w:t>Primary Responsibilities</w:t>
            </w:r>
          </w:p>
          <w:p>
            <w:pPr>
              <w:pageBreakBefore w:val="0"/>
              <w:numPr>
                <w:ilvl w:val="0"/>
                <w:numId w:val="119"/>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Assisting the Board in overseeing the integrity and effectiveness of the Company's Enterprise Risk Management framework.</w:t>
            </w:r>
          </w:p>
          <w:p>
            <w:pPr>
              <w:pageBreakBefore w:val="0"/>
              <w:numPr>
                <w:ilvl w:val="0"/>
                <w:numId w:val="120"/>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Reviewing and evaluating the risks to which we are exposed, as well as monitoring and overseeing the guidelines and policies that govern the processes by which we identify, assess, and manage our exposure to risk.</w:t>
            </w:r>
          </w:p>
          <w:p>
            <w:pPr>
              <w:pageBreakBefore w:val="0"/>
              <w:numPr>
                <w:ilvl w:val="0"/>
                <w:numId w:val="121"/>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Reviewing and monitoring our overall risk strategy and Board-approved risk appetite and overseeing any significant mitigating actions required.</w:t>
            </w:r>
          </w:p>
          <w:p>
            <w:pPr>
              <w:pageBreakBefore w:val="0"/>
              <w:numPr>
                <w:ilvl w:val="0"/>
                <w:numId w:val="122"/>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Reviewing the Company’s forward-looking risk and solvency assessment and capital management.</w:t>
            </w:r>
          </w:p>
          <w:p>
            <w:pPr>
              <w:pageBreakBefore w:val="0"/>
              <w:numPr>
                <w:ilvl w:val="0"/>
                <w:numId w:val="123"/>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Periodically reviewing and approving the level of risk assumed in underwriting, investment and operational activities.</w:t>
            </w:r>
          </w:p>
          <w:p>
            <w:pPr>
              <w:pageBreakBefore w:val="0"/>
              <w:numPr>
                <w:ilvl w:val="0"/>
                <w:numId w:val="124"/>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Reviewing and monitoring the potential impact of emerging risks.</w:t>
            </w:r>
          </w:p>
          <w:p>
            <w:pPr>
              <w:pageBreakBefore w:val="0"/>
              <w:numPr>
                <w:ilvl w:val="0"/>
                <w:numId w:val="125"/>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Overseeing the Company’s ESG risks, strategies, policies, programs and practices.</w:t>
            </w:r>
          </w:p>
          <w:p>
            <w:pPr>
              <w:pageBreakBefore w:val="0"/>
              <w:numPr>
                <w:ilvl w:val="0"/>
                <w:numId w:val="0"/>
              </w:numPr>
              <w:spacing w:before="60" w:after="60" w:line="288" w:lineRule="auto"/>
              <w:ind w:left="90" w:right="90" w:firstLine="180"/>
              <w:jc w:val="left"/>
              <w:outlineLvl w:val="9"/>
              <w:rPr>
                <w:rFonts w:ascii="Arial" w:eastAsia="Arial" w:hAnsi="Arial" w:cs="Arial"/>
                <w:b/>
                <w:i w:val="0"/>
                <w:color w:val="4494D1"/>
                <w:sz w:val="18"/>
                <w:u w:val="none"/>
              </w:rPr>
            </w:pPr>
            <w:r>
              <w:rPr>
                <w:rFonts w:ascii="Arial" w:eastAsia="Arial" w:hAnsi="Arial" w:cs="Arial"/>
                <w:b/>
                <w:i w:val="0"/>
                <w:color w:val="4494D1"/>
                <w:sz w:val="12"/>
                <w:u w:val="none"/>
              </w:rPr>
              <w:t xml:space="preserve"> </w:t>
            </w:r>
          </w:p>
          <w:p>
            <w:pPr>
              <w:pageBreakBefore w:val="0"/>
              <w:numPr>
                <w:ilvl w:val="0"/>
                <w:numId w:val="0"/>
              </w:numPr>
              <w:spacing w:before="60" w:after="60" w:line="288" w:lineRule="auto"/>
              <w:ind w:left="90" w:right="90" w:firstLine="0"/>
              <w:jc w:val="both"/>
              <w:outlineLvl w:val="9"/>
              <w:rPr>
                <w:rFonts w:ascii="Arial" w:eastAsia="Arial" w:hAnsi="Arial" w:cs="Arial"/>
                <w:b/>
                <w:i w:val="0"/>
                <w:color w:val="4494D1"/>
                <w:sz w:val="20"/>
                <w:u w:val="none"/>
              </w:rPr>
            </w:pPr>
            <w:r>
              <w:rPr>
                <w:rFonts w:ascii="Arial" w:eastAsia="Arial" w:hAnsi="Arial" w:cs="Arial"/>
                <w:b/>
                <w:i w:val="0"/>
                <w:color w:val="4494D1"/>
                <w:sz w:val="20"/>
                <w:u w:val="none"/>
              </w:rPr>
              <w:t>2023</w:t>
            </w:r>
            <w:r>
              <w:rPr>
                <w:rFonts w:ascii="Arial" w:eastAsia="Arial" w:hAnsi="Arial" w:cs="Arial"/>
                <w:b/>
                <w:i w:val="0"/>
                <w:color w:val="4494D1"/>
                <w:sz w:val="20"/>
                <w:u w:val="none"/>
              </w:rPr>
              <w:t xml:space="preserve"> Highlights</w:t>
            </w:r>
          </w:p>
          <w:p>
            <w:pPr>
              <w:pageBreakBefore w:val="0"/>
              <w:numPr>
                <w:ilvl w:val="0"/>
                <w:numId w:val="126"/>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 xml:space="preserve">Monitored </w:t>
            </w:r>
            <w:r>
              <w:rPr>
                <w:rFonts w:ascii="Arial" w:eastAsia="Arial" w:hAnsi="Arial" w:cs="Arial"/>
                <w:b w:val="0"/>
                <w:i w:val="0"/>
                <w:sz w:val="20"/>
              </w:rPr>
              <w:t xml:space="preserve">progress and </w:t>
            </w:r>
            <w:r>
              <w:rPr>
                <w:rFonts w:ascii="Arial" w:eastAsia="Arial" w:hAnsi="Arial" w:cs="Arial"/>
                <w:b w:val="0"/>
                <w:i w:val="0"/>
                <w:sz w:val="20"/>
              </w:rPr>
              <w:t xml:space="preserve">achievement of the Company's </w:t>
            </w:r>
            <w:r>
              <w:rPr>
                <w:rFonts w:ascii="Arial" w:eastAsia="Arial" w:hAnsi="Arial" w:cs="Arial"/>
                <w:b w:val="0"/>
                <w:i w:val="0"/>
                <w:sz w:val="20"/>
              </w:rPr>
              <w:t>ES</w:t>
            </w:r>
            <w:r>
              <w:rPr>
                <w:rFonts w:ascii="Arial" w:eastAsia="Arial" w:hAnsi="Arial" w:cs="Arial"/>
                <w:b w:val="0"/>
                <w:i w:val="0"/>
                <w:sz w:val="20"/>
              </w:rPr>
              <w:t>G goals.</w:t>
            </w:r>
          </w:p>
          <w:p>
            <w:pPr>
              <w:pageBreakBefore w:val="0"/>
              <w:numPr>
                <w:ilvl w:val="0"/>
                <w:numId w:val="127"/>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 xml:space="preserve">Oversaw the </w:t>
            </w:r>
            <w:r>
              <w:rPr>
                <w:rFonts w:ascii="Arial" w:eastAsia="Arial" w:hAnsi="Arial" w:cs="Arial"/>
                <w:b w:val="0"/>
                <w:i w:val="0"/>
                <w:sz w:val="20"/>
              </w:rPr>
              <w:t>release</w:t>
            </w:r>
            <w:r>
              <w:rPr>
                <w:rFonts w:ascii="Arial" w:eastAsia="Arial" w:hAnsi="Arial" w:cs="Arial"/>
                <w:b w:val="0"/>
                <w:i w:val="0"/>
                <w:sz w:val="20"/>
              </w:rPr>
              <w:t xml:space="preserve"> </w:t>
            </w:r>
            <w:r>
              <w:rPr>
                <w:rFonts w:ascii="Arial" w:eastAsia="Arial" w:hAnsi="Arial" w:cs="Arial"/>
                <w:b w:val="0"/>
                <w:i w:val="0"/>
                <w:sz w:val="20"/>
              </w:rPr>
              <w:t>of the Company's</w:t>
            </w:r>
            <w:r>
              <w:rPr>
                <w:rFonts w:ascii="Arial" w:eastAsia="Arial" w:hAnsi="Arial" w:cs="Arial"/>
                <w:b w:val="0"/>
                <w:i w:val="0"/>
                <w:sz w:val="20"/>
              </w:rPr>
              <w:t xml:space="preserve"> inaugural DE&amp;I </w:t>
            </w:r>
            <w:r>
              <w:rPr>
                <w:rFonts w:ascii="Arial" w:eastAsia="Arial" w:hAnsi="Arial" w:cs="Arial"/>
                <w:b w:val="0"/>
                <w:i w:val="0"/>
                <w:sz w:val="20"/>
              </w:rPr>
              <w:t>R</w:t>
            </w:r>
            <w:r>
              <w:rPr>
                <w:rFonts w:ascii="Arial" w:eastAsia="Arial" w:hAnsi="Arial" w:cs="Arial"/>
                <w:b w:val="0"/>
                <w:i w:val="0"/>
                <w:sz w:val="20"/>
              </w:rPr>
              <w:t>eport</w:t>
            </w:r>
            <w:r>
              <w:rPr>
                <w:rFonts w:ascii="Arial" w:eastAsia="Arial" w:hAnsi="Arial" w:cs="Arial"/>
                <w:b w:val="0"/>
                <w:i w:val="0"/>
                <w:sz w:val="20"/>
              </w:rPr>
              <w:t xml:space="preserve"> </w:t>
            </w:r>
            <w:r>
              <w:rPr>
                <w:rFonts w:ascii="Arial" w:eastAsia="Arial" w:hAnsi="Arial" w:cs="Arial"/>
                <w:b w:val="0"/>
                <w:i w:val="0"/>
                <w:sz w:val="20"/>
              </w:rPr>
              <w:t xml:space="preserve">and </w:t>
            </w:r>
            <w:r>
              <w:rPr>
                <w:rFonts w:ascii="Arial" w:eastAsia="Arial" w:hAnsi="Arial" w:cs="Arial"/>
                <w:b w:val="0"/>
                <w:i w:val="0"/>
                <w:sz w:val="20"/>
              </w:rPr>
              <w:t>the adoption of</w:t>
            </w:r>
            <w:r>
              <w:rPr>
                <w:rFonts w:ascii="Arial" w:eastAsia="Arial" w:hAnsi="Arial" w:cs="Arial"/>
                <w:b w:val="0"/>
                <w:i w:val="0"/>
                <w:sz w:val="20"/>
              </w:rPr>
              <w:t xml:space="preserve"> a weighted average emission intensity limit on </w:t>
            </w:r>
            <w:r>
              <w:rPr>
                <w:rFonts w:ascii="Arial" w:eastAsia="Arial" w:hAnsi="Arial" w:cs="Arial"/>
                <w:b w:val="0"/>
                <w:i w:val="0"/>
                <w:sz w:val="20"/>
              </w:rPr>
              <w:t>the Company's</w:t>
            </w:r>
            <w:r>
              <w:rPr>
                <w:rFonts w:ascii="Arial" w:eastAsia="Arial" w:hAnsi="Arial" w:cs="Arial"/>
                <w:b w:val="0"/>
                <w:i w:val="0"/>
                <w:sz w:val="20"/>
              </w:rPr>
              <w:t xml:space="preserve"> fixed income investment portfolio.</w:t>
            </w:r>
          </w:p>
          <w:p>
            <w:pPr>
              <w:pageBreakBefore w:val="0"/>
              <w:numPr>
                <w:ilvl w:val="0"/>
                <w:numId w:val="128"/>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Oversaw</w:t>
            </w:r>
            <w:r>
              <w:rPr>
                <w:rFonts w:ascii="Arial" w:eastAsia="Arial" w:hAnsi="Arial" w:cs="Arial"/>
                <w:b w:val="0"/>
                <w:i w:val="0"/>
                <w:sz w:val="20"/>
              </w:rPr>
              <w:t xml:space="preserve"> in-depth risk reviews o</w:t>
            </w:r>
            <w:r>
              <w:rPr>
                <w:rFonts w:ascii="Arial" w:eastAsia="Arial" w:hAnsi="Arial" w:cs="Arial"/>
                <w:b w:val="0"/>
                <w:i w:val="0"/>
                <w:sz w:val="20"/>
              </w:rPr>
              <w:t>n</w:t>
            </w:r>
            <w:r>
              <w:rPr>
                <w:rFonts w:ascii="Arial" w:eastAsia="Arial" w:hAnsi="Arial" w:cs="Arial"/>
                <w:b w:val="0"/>
                <w:i w:val="0"/>
                <w:sz w:val="20"/>
              </w:rPr>
              <w:t xml:space="preserve"> key topics </w:t>
            </w:r>
            <w:r>
              <w:rPr>
                <w:rFonts w:ascii="Arial" w:eastAsia="Arial" w:hAnsi="Arial" w:cs="Arial"/>
                <w:b w:val="0"/>
                <w:i w:val="0"/>
                <w:sz w:val="20"/>
              </w:rPr>
              <w:t xml:space="preserve">such as </w:t>
            </w:r>
            <w:r>
              <w:rPr>
                <w:rFonts w:ascii="Arial" w:eastAsia="Arial" w:hAnsi="Arial" w:cs="Arial"/>
                <w:b w:val="0"/>
                <w:i w:val="0"/>
                <w:sz w:val="20"/>
              </w:rPr>
              <w:t xml:space="preserve">cybersecurity, TPA </w:t>
            </w:r>
            <w:r>
              <w:rPr>
                <w:rFonts w:ascii="Arial" w:eastAsia="Arial" w:hAnsi="Arial" w:cs="Arial"/>
                <w:b w:val="0"/>
                <w:i w:val="0"/>
                <w:sz w:val="20"/>
              </w:rPr>
              <w:t xml:space="preserve">risk, </w:t>
            </w:r>
            <w:r>
              <w:rPr>
                <w:rFonts w:ascii="Arial" w:eastAsia="Arial" w:hAnsi="Arial" w:cs="Arial"/>
                <w:b w:val="0"/>
                <w:i w:val="0"/>
                <w:sz w:val="20"/>
              </w:rPr>
              <w:t>b</w:t>
            </w:r>
            <w:r>
              <w:rPr>
                <w:rFonts w:ascii="Arial" w:eastAsia="Arial" w:hAnsi="Arial" w:cs="Arial"/>
                <w:b w:val="0"/>
                <w:i w:val="0"/>
                <w:sz w:val="20"/>
              </w:rPr>
              <w:t>usiness continuity</w:t>
            </w:r>
            <w:r>
              <w:rPr>
                <w:rFonts w:ascii="Arial" w:eastAsia="Arial" w:hAnsi="Arial" w:cs="Arial"/>
                <w:b w:val="0"/>
                <w:i w:val="0"/>
                <w:sz w:val="20"/>
              </w:rPr>
              <w:t>,</w:t>
            </w:r>
            <w:r>
              <w:rPr>
                <w:rFonts w:ascii="Arial" w:eastAsia="Arial" w:hAnsi="Arial" w:cs="Arial"/>
                <w:b w:val="0"/>
                <w:i w:val="0"/>
                <w:sz w:val="20"/>
              </w:rPr>
              <w:t xml:space="preserve"> people risk</w:t>
            </w:r>
            <w:r>
              <w:rPr>
                <w:rFonts w:ascii="Arial" w:eastAsia="Arial" w:hAnsi="Arial" w:cs="Arial"/>
                <w:b w:val="0"/>
                <w:i w:val="0"/>
                <w:sz w:val="20"/>
              </w:rPr>
              <w:t xml:space="preserve">, </w:t>
            </w:r>
            <w:r>
              <w:rPr>
                <w:rFonts w:ascii="Arial" w:eastAsia="Arial" w:hAnsi="Arial" w:cs="Arial"/>
                <w:b w:val="0"/>
                <w:i w:val="0"/>
                <w:sz w:val="20"/>
              </w:rPr>
              <w:t xml:space="preserve">counterparty credit, reserve </w:t>
            </w:r>
            <w:r>
              <w:rPr>
                <w:rFonts w:ascii="Arial" w:eastAsia="Arial" w:hAnsi="Arial" w:cs="Arial"/>
                <w:b w:val="0"/>
                <w:i w:val="0"/>
                <w:sz w:val="20"/>
              </w:rPr>
              <w:t>concentration</w:t>
            </w:r>
            <w:r>
              <w:rPr>
                <w:rFonts w:ascii="Arial" w:eastAsia="Arial" w:hAnsi="Arial" w:cs="Arial"/>
                <w:b w:val="0"/>
                <w:i w:val="0"/>
                <w:sz w:val="20"/>
              </w:rPr>
              <w:t>,</w:t>
            </w:r>
            <w:r>
              <w:rPr>
                <w:rFonts w:ascii="Arial" w:eastAsia="Arial" w:hAnsi="Arial" w:cs="Arial"/>
                <w:b w:val="0"/>
                <w:i w:val="0"/>
                <w:sz w:val="20"/>
              </w:rPr>
              <w:t xml:space="preserve"> </w:t>
            </w:r>
            <w:r>
              <w:rPr>
                <w:rFonts w:ascii="Arial" w:eastAsia="Arial" w:hAnsi="Arial" w:cs="Arial"/>
                <w:b w:val="0"/>
                <w:i w:val="0"/>
                <w:sz w:val="20"/>
              </w:rPr>
              <w:t>liquidity</w:t>
            </w:r>
            <w:r>
              <w:rPr>
                <w:rFonts w:ascii="Arial" w:eastAsia="Arial" w:hAnsi="Arial" w:cs="Arial"/>
                <w:b w:val="0"/>
                <w:i w:val="0"/>
                <w:sz w:val="20"/>
              </w:rPr>
              <w:t>,</w:t>
            </w:r>
            <w:r>
              <w:rPr>
                <w:rFonts w:ascii="Arial" w:eastAsia="Arial" w:hAnsi="Arial" w:cs="Arial"/>
                <w:b w:val="0"/>
                <w:i w:val="0"/>
                <w:sz w:val="20"/>
              </w:rPr>
              <w:t xml:space="preserve"> and certain insurance supervision pri</w:t>
            </w:r>
            <w:r>
              <w:rPr>
                <w:rFonts w:ascii="Arial" w:eastAsia="Arial" w:hAnsi="Arial" w:cs="Arial"/>
                <w:b w:val="0"/>
                <w:i w:val="0"/>
                <w:sz w:val="20"/>
              </w:rPr>
              <w:t>orities</w:t>
            </w:r>
            <w:r>
              <w:rPr>
                <w:rFonts w:ascii="Arial" w:eastAsia="Arial" w:hAnsi="Arial" w:cs="Arial"/>
                <w:b w:val="0"/>
                <w:i w:val="0"/>
                <w:sz w:val="20"/>
              </w:rPr>
              <w:t>.</w:t>
            </w:r>
          </w:p>
          <w:p>
            <w:pPr>
              <w:pageBreakBefore w:val="0"/>
              <w:numPr>
                <w:ilvl w:val="0"/>
                <w:numId w:val="129"/>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 xml:space="preserve">Oversaw </w:t>
            </w:r>
            <w:r>
              <w:rPr>
                <w:rFonts w:ascii="Arial" w:eastAsia="Arial" w:hAnsi="Arial" w:cs="Arial"/>
                <w:b w:val="0"/>
                <w:i w:val="0"/>
                <w:sz w:val="20"/>
              </w:rPr>
              <w:t xml:space="preserve">the </w:t>
            </w:r>
            <w:r>
              <w:rPr>
                <w:rFonts w:ascii="Arial" w:eastAsia="Arial" w:hAnsi="Arial" w:cs="Arial"/>
                <w:b w:val="0"/>
                <w:i w:val="0"/>
                <w:sz w:val="20"/>
              </w:rPr>
              <w:t>ongoing enhancement of our Risk Appetite Framework including investment and ESG risks</w:t>
            </w:r>
            <w:r>
              <w:rPr>
                <w:rFonts w:ascii="Arial" w:eastAsia="Arial" w:hAnsi="Arial" w:cs="Arial"/>
                <w:b w:val="0"/>
                <w:i w:val="0"/>
                <w:sz w:val="20"/>
              </w:rPr>
              <w:t>.</w:t>
            </w:r>
          </w:p>
          <w:p>
            <w:pPr>
              <w:pageBreakBefore w:val="0"/>
              <w:numPr>
                <w:ilvl w:val="0"/>
                <w:numId w:val="130"/>
              </w:numPr>
              <w:spacing w:before="0" w:after="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 xml:space="preserve">Oversaw </w:t>
            </w:r>
            <w:r>
              <w:rPr>
                <w:rFonts w:ascii="Arial" w:eastAsia="Arial" w:hAnsi="Arial" w:cs="Arial"/>
                <w:b w:val="0"/>
                <w:i w:val="0"/>
                <w:sz w:val="20"/>
              </w:rPr>
              <w:t>the adoption of a Model Risk Management Policy to supplement our ERM Framework</w:t>
            </w:r>
            <w:r>
              <w:rPr>
                <w:rFonts w:ascii="Arial" w:eastAsia="Arial" w:hAnsi="Arial" w:cs="Arial"/>
                <w:b w:val="0"/>
                <w:i w:val="0"/>
                <w:sz w:val="20"/>
              </w:rPr>
              <w:t>.</w:t>
            </w:r>
          </w:p>
          <w:p>
            <w:pPr>
              <w:pageBreakBefore w:val="0"/>
              <w:numPr>
                <w:ilvl w:val="0"/>
                <w:numId w:val="131"/>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Discussed information security topics</w:t>
            </w:r>
            <w:r>
              <w:rPr>
                <w:rFonts w:ascii="Arial" w:eastAsia="Arial" w:hAnsi="Arial" w:cs="Arial"/>
                <w:b w:val="0"/>
                <w:i w:val="0"/>
                <w:sz w:val="20"/>
              </w:rPr>
              <w:t xml:space="preserve"> and recei</w:t>
            </w:r>
            <w:r>
              <w:rPr>
                <w:rFonts w:ascii="Arial" w:eastAsia="Arial" w:hAnsi="Arial" w:cs="Arial"/>
                <w:b w:val="0"/>
                <w:i w:val="0"/>
                <w:sz w:val="20"/>
              </w:rPr>
              <w:t>ved regular cybersecurity reports</w:t>
            </w:r>
            <w:r>
              <w:rPr>
                <w:rFonts w:ascii="Arial" w:eastAsia="Arial" w:hAnsi="Arial" w:cs="Arial"/>
                <w:b w:val="0"/>
                <w:i w:val="0"/>
                <w:sz w:val="20"/>
              </w:rPr>
              <w:t xml:space="preserve"> and updates on cyber incidents</w:t>
            </w:r>
            <w:r>
              <w:rPr>
                <w:rFonts w:ascii="Arial" w:eastAsia="Arial" w:hAnsi="Arial" w:cs="Arial"/>
                <w:b w:val="0"/>
                <w:i w:val="0"/>
                <w:sz w:val="20"/>
              </w:rPr>
              <w:t>.</w:t>
            </w:r>
          </w:p>
          <w:p>
            <w:pPr>
              <w:pageBreakBefore w:val="0"/>
              <w:numPr>
                <w:ilvl w:val="0"/>
                <w:numId w:val="132"/>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Regularly moni</w:t>
            </w:r>
            <w:r>
              <w:rPr>
                <w:rFonts w:ascii="Arial" w:eastAsia="Arial" w:hAnsi="Arial" w:cs="Arial"/>
                <w:b w:val="0"/>
                <w:i w:val="0"/>
                <w:sz w:val="20"/>
              </w:rPr>
              <w:t xml:space="preserve">tored the solvency and capital </w:t>
            </w:r>
            <w:r>
              <w:rPr>
                <w:rFonts w:ascii="Arial" w:eastAsia="Arial" w:hAnsi="Arial" w:cs="Arial"/>
                <w:b w:val="0"/>
                <w:i w:val="0"/>
                <w:sz w:val="20"/>
              </w:rPr>
              <w:t>p</w:t>
            </w:r>
            <w:r>
              <w:rPr>
                <w:rFonts w:ascii="Arial" w:eastAsia="Arial" w:hAnsi="Arial" w:cs="Arial"/>
                <w:b w:val="0"/>
                <w:i w:val="0"/>
                <w:sz w:val="20"/>
              </w:rPr>
              <w:t>osition o</w:t>
            </w:r>
            <w:r>
              <w:rPr>
                <w:rFonts w:ascii="Arial" w:eastAsia="Arial" w:hAnsi="Arial" w:cs="Arial"/>
                <w:b w:val="0"/>
                <w:i w:val="0"/>
                <w:sz w:val="20"/>
              </w:rPr>
              <w:t>f the Company and select subsidiaries</w:t>
            </w:r>
            <w:r>
              <w:rPr>
                <w:rFonts w:ascii="Arial" w:eastAsia="Arial" w:hAnsi="Arial" w:cs="Arial"/>
                <w:b w:val="0"/>
                <w:i w:val="0"/>
                <w:sz w:val="20"/>
              </w:rPr>
              <w:t>, inclu</w:t>
            </w:r>
            <w:r>
              <w:rPr>
                <w:rFonts w:ascii="Arial" w:eastAsia="Arial" w:hAnsi="Arial" w:cs="Arial"/>
                <w:b w:val="0"/>
                <w:i w:val="0"/>
                <w:sz w:val="20"/>
              </w:rPr>
              <w:t>ding capital forecasting</w:t>
            </w:r>
            <w:r>
              <w:rPr>
                <w:rFonts w:ascii="Arial" w:eastAsia="Arial" w:hAnsi="Arial" w:cs="Arial"/>
                <w:b w:val="0"/>
                <w:i w:val="0"/>
                <w:sz w:val="20"/>
              </w:rPr>
              <w:t>.</w:t>
            </w:r>
          </w:p>
          <w:p>
            <w:pPr>
              <w:pageBreakBefore w:val="0"/>
              <w:numPr>
                <w:ilvl w:val="0"/>
                <w:numId w:val="133"/>
              </w:numPr>
              <w:spacing w:before="60" w:after="3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 xml:space="preserve">Reviewed and discussed </w:t>
            </w:r>
            <w:r>
              <w:rPr>
                <w:rFonts w:ascii="Arial" w:eastAsia="Arial" w:hAnsi="Arial" w:cs="Arial"/>
                <w:b w:val="0"/>
                <w:i w:val="0"/>
                <w:sz w:val="20"/>
              </w:rPr>
              <w:t xml:space="preserve">emerging risks including </w:t>
            </w:r>
            <w:r>
              <w:rPr>
                <w:rFonts w:ascii="Arial" w:eastAsia="Arial" w:hAnsi="Arial" w:cs="Arial"/>
                <w:b w:val="0"/>
                <w:i w:val="0"/>
                <w:sz w:val="20"/>
              </w:rPr>
              <w:t xml:space="preserve">risks relating to </w:t>
            </w:r>
            <w:r>
              <w:rPr>
                <w:rFonts w:ascii="Arial" w:eastAsia="Arial" w:hAnsi="Arial" w:cs="Arial"/>
                <w:b w:val="0"/>
                <w:i w:val="0"/>
                <w:sz w:val="20"/>
              </w:rPr>
              <w:t xml:space="preserve">artificial intelligence, geopolitical tensions, climate change, </w:t>
            </w:r>
            <w:r>
              <w:rPr>
                <w:rFonts w:ascii="Arial" w:eastAsia="Arial" w:hAnsi="Arial" w:cs="Arial"/>
                <w:b w:val="0"/>
                <w:i w:val="0"/>
                <w:sz w:val="20"/>
              </w:rPr>
              <w:t xml:space="preserve">proposed </w:t>
            </w:r>
            <w:r>
              <w:rPr>
                <w:rFonts w:ascii="Arial" w:eastAsia="Arial" w:hAnsi="Arial" w:cs="Arial"/>
                <w:b w:val="0"/>
                <w:i w:val="0"/>
                <w:sz w:val="20"/>
              </w:rPr>
              <w:t>insurance regulations</w:t>
            </w:r>
            <w:r>
              <w:rPr>
                <w:rFonts w:ascii="Arial" w:eastAsia="Arial" w:hAnsi="Arial" w:cs="Arial"/>
                <w:b w:val="0"/>
                <w:i w:val="0"/>
                <w:sz w:val="20"/>
              </w:rPr>
              <w:t>,</w:t>
            </w:r>
            <w:r>
              <w:rPr>
                <w:rFonts w:ascii="Arial" w:eastAsia="Arial" w:hAnsi="Arial" w:cs="Arial"/>
                <w:b w:val="0"/>
                <w:i w:val="0"/>
                <w:sz w:val="20"/>
              </w:rPr>
              <w:t xml:space="preserve"> and the U.S. debt ceiling.</w:t>
            </w:r>
          </w:p>
        </w:tc>
      </w:tr>
      <w:tr>
        <w:tblPrEx>
          <w:tblW w:w="10260" w:type="dxa"/>
          <w:jc w:val="left"/>
          <w:tblInd w:w="0" w:type="dxa"/>
          <w:tblLayout w:type="fixed"/>
          <w:tblCellMar>
            <w:left w:w="108" w:type="dxa"/>
            <w:right w:w="108" w:type="dxa"/>
          </w:tblCellMar>
        </w:tblPrEx>
        <w:trPr>
          <w:cantSplit/>
          <w:trHeight w:hRule="exact" w:val="60"/>
          <w:jc w:val="left"/>
        </w:trPr>
        <w:tc>
          <w:tcPr>
            <w:tcW w:w="15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455" w:type="dxa"/>
            <w:gridSpan w:val="6"/>
            <w:vMerge/>
            <w:tcBorders>
              <w:top w:val="nil"/>
              <w:left w:val="single" w:sz="8" w:space="0" w:color="4494D1"/>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8175"/>
          <w:jc w:val="left"/>
        </w:trPr>
        <w:tc>
          <w:tcPr>
            <w:tcW w:w="2805" w:type="dxa"/>
            <w:gridSpan w:val="2"/>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7455" w:type="dxa"/>
            <w:gridSpan w:val="6"/>
            <w:vMerge/>
            <w:tcBorders>
              <w:top w:val="nil"/>
              <w:left w:val="single" w:sz="8" w:space="0" w:color="4494D1"/>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60"/>
          <w:jc w:val="left"/>
        </w:trPr>
        <w:tc>
          <w:tcPr>
            <w:tcW w:w="1500"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80"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800"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560"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r>
    </w:tbl>
    <w:p>
      <w:pPr>
        <w:keepNext w:val="0"/>
        <w:keepLines/>
        <w:pageBreakBefore/>
        <w:widowControl w:val="0"/>
        <w:numPr>
          <w:ilvl w:val="0"/>
          <w:numId w:val="0"/>
        </w:numPr>
        <w:spacing w:before="0" w:after="60" w:line="288" w:lineRule="auto"/>
        <w:ind w:left="0" w:right="0" w:firstLine="0"/>
        <w:jc w:val="left"/>
        <w:outlineLvl w:val="9"/>
        <w:rPr>
          <w:rFonts w:ascii="Times New Roman" w:eastAsia="Times New Roman" w:hAnsi="Times New Roman" w:cs="Times New Roman"/>
          <w:b w:val="0"/>
          <w:i w:val="0"/>
          <w:color w:val="FF0090"/>
          <w:sz w:val="20"/>
          <w:u w:val="none"/>
        </w:rPr>
      </w:pP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500"/>
        <w:gridCol w:w="1305"/>
        <w:gridCol w:w="1305"/>
        <w:gridCol w:w="1305"/>
        <w:gridCol w:w="1305"/>
        <w:gridCol w:w="180"/>
        <w:gridCol w:w="1800"/>
        <w:gridCol w:w="1560"/>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65"/>
        </w:trPr>
        <w:tc>
          <w:tcPr>
            <w:tcW w:w="6720" w:type="dxa"/>
            <w:gridSpan w:val="5"/>
            <w:tcBorders>
              <w:top w:val="single" w:sz="12" w:space="0" w:color="4494D1"/>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i w:val="0"/>
                <w:color w:val="4494D1"/>
                <w:sz w:val="24"/>
                <w:u w:val="none"/>
              </w:rPr>
            </w:pPr>
            <w:r>
              <w:rPr>
                <w:rFonts w:ascii="Arial" w:eastAsia="Arial" w:hAnsi="Arial" w:cs="Arial"/>
                <w:b/>
                <w:i w:val="0"/>
                <w:color w:val="4494D1"/>
                <w:sz w:val="24"/>
                <w:u w:val="none"/>
              </w:rPr>
              <w:t>Investment Committee</w:t>
            </w:r>
          </w:p>
        </w:tc>
        <w:tc>
          <w:tcPr>
            <w:tcW w:w="180"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1560"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60"/>
        </w:trPr>
        <w:tc>
          <w:tcPr>
            <w:tcW w:w="6720" w:type="dxa"/>
            <w:gridSpan w:val="5"/>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8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85"/>
        </w:trPr>
        <w:tc>
          <w:tcPr>
            <w:tcW w:w="15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4494D1"/>
                <w:sz w:val="18"/>
                <w:u w:val="none"/>
              </w:rPr>
              <w:t>CHAIR</w:t>
            </w:r>
          </w:p>
        </w:tc>
        <w:tc>
          <w:tcPr>
            <w:tcW w:w="13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4494D1"/>
                <w:sz w:val="18"/>
                <w:u w:val="none"/>
              </w:rPr>
              <w:t>MEMBERS</w:t>
            </w: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4494D1"/>
                <w:sz w:val="18"/>
                <w:u w:val="none"/>
              </w:rPr>
              <w:t xml:space="preserve">MEETINGS HELD </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85"/>
        </w:trPr>
        <w:tc>
          <w:tcPr>
            <w:tcW w:w="1500"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93" type="#_x0000_t75" style="width:36.85pt;height:42.75pt">
                  <v:imagedata r:id="rId48" o:title=""/>
                  <o:lock v:ext="edit" aspectratio="t"/>
                </v:shape>
              </w:pict>
            </w:r>
          </w:p>
        </w:tc>
        <w:tc>
          <w:tcPr>
            <w:tcW w:w="1305"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94" type="#_x0000_t75" style="width:43.66pt;height:42.75pt">
                  <v:imagedata r:id="rId107" o:title=""/>
                  <o:lock v:ext="edit" aspectratio="t"/>
                </v:shape>
              </w:pict>
            </w:r>
          </w:p>
        </w:tc>
        <w:tc>
          <w:tcPr>
            <w:tcW w:w="1305"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95" type="#_x0000_t75" style="width:41.16pt;height:43.2pt">
                  <v:imagedata r:id="rId108" o:title=""/>
                  <o:lock v:ext="edit" aspectratio="t"/>
                </v:shape>
              </w:pict>
            </w:r>
          </w:p>
        </w:tc>
        <w:tc>
          <w:tcPr>
            <w:tcW w:w="1305"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96" type="#_x0000_t75" style="width:38.53pt;height:43.5pt">
                  <v:imagedata r:id="rId57" o:title=""/>
                  <o:lock v:ext="edit" aspectratio="t"/>
                </v:shape>
              </w:pict>
            </w:r>
          </w:p>
        </w:tc>
        <w:tc>
          <w:tcPr>
            <w:tcW w:w="1305" w:type="dxa"/>
            <w:vMerge w:val="restart"/>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88" w:lineRule="auto"/>
              <w:ind w:left="0" w:right="0" w:firstLine="0"/>
              <w:jc w:val="left"/>
              <w:outlineLvl w:val="9"/>
              <w:rPr>
                <w:rFonts w:ascii="Arial" w:eastAsia="Arial" w:hAnsi="Arial" w:cs="Arial"/>
                <w:b/>
                <w:i w:val="0"/>
                <w:color w:val="4494D1"/>
                <w:sz w:val="18"/>
                <w:u w:val="none"/>
              </w:rPr>
            </w:pPr>
            <w:r>
              <w:rPr>
                <w:rFonts w:ascii="Arial" w:eastAsia="Arial" w:hAnsi="Arial" w:cs="Arial"/>
                <w:b/>
                <w:i w:val="0"/>
                <w:color w:val="4494D1"/>
                <w:sz w:val="18"/>
                <w:u w:val="none"/>
              </w:rPr>
              <w:t xml:space="preserve">IN </w:t>
            </w:r>
            <w:r>
              <w:rPr>
                <w:rFonts w:ascii="Arial" w:eastAsia="Arial" w:hAnsi="Arial" w:cs="Arial"/>
                <w:b/>
                <w:i w:val="0"/>
                <w:color w:val="4494D1"/>
                <w:sz w:val="18"/>
                <w:u w:val="none"/>
              </w:rPr>
              <w:t>2023</w:t>
            </w:r>
            <w:r>
              <w:rPr>
                <w:rFonts w:ascii="Arial" w:eastAsia="Arial" w:hAnsi="Arial" w:cs="Arial"/>
                <w:b/>
                <w:i w:val="0"/>
                <w:color w:val="4494D1"/>
                <w:sz w:val="18"/>
                <w:u w:val="none"/>
              </w:rPr>
              <w:t>:</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85"/>
        </w:trPr>
        <w:tc>
          <w:tcPr>
            <w:tcW w:w="1500"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i w:val="0"/>
                <w:sz w:val="28"/>
              </w:rPr>
            </w:pPr>
            <w:r>
              <w:rPr>
                <w:rFonts w:ascii="Arial" w:eastAsia="Arial" w:hAnsi="Arial" w:cs="Arial"/>
                <w:b/>
                <w:i w:val="0"/>
                <w:color w:val="000000"/>
                <w:sz w:val="28"/>
                <w:u w:val="none"/>
              </w:rPr>
              <w:t>4</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165"/>
        </w:trPr>
        <w:tc>
          <w:tcPr>
            <w:tcW w:w="1500"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195"/>
        </w:trPr>
        <w:tc>
          <w:tcPr>
            <w:tcW w:w="1500"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4494D1"/>
                <w:sz w:val="18"/>
                <w:u w:val="none"/>
              </w:rPr>
              <w:t>INDEPENDENCE</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435"/>
        </w:trPr>
        <w:tc>
          <w:tcPr>
            <w:tcW w:w="1500" w:type="dxa"/>
            <w:tcBorders>
              <w:top w:val="nil"/>
              <w:left w:val="nil"/>
              <w:bottom w:val="nil"/>
              <w:right w:val="nil"/>
            </w:tcBorders>
            <w:tcMar>
              <w:top w:w="0" w:type="dxa"/>
              <w:left w:w="53" w:type="dxa"/>
              <w:bottom w:w="0" w:type="dxa"/>
              <w:right w:w="53" w:type="dxa"/>
            </w:tcMar>
            <w:vAlign w:val="bottom"/>
          </w:tcPr>
          <w:p>
            <w:pPr>
              <w:keepNext/>
              <w:pageBreakBefore w:val="0"/>
              <w:spacing w:before="53" w:line="240" w:lineRule="auto"/>
              <w:ind w:left="90" w:hanging="90"/>
              <w:jc w:val="left"/>
            </w:pPr>
            <w:r>
              <w:rPr>
                <w:rFonts w:ascii="Arial" w:eastAsia="Arial" w:hAnsi="Arial" w:cs="Arial"/>
                <w:b/>
                <w:i w:val="0"/>
                <w:color w:val="000000"/>
                <w:sz w:val="18"/>
                <w:u w:val="none"/>
              </w:rPr>
              <w:t>Robert J.</w:t>
            </w:r>
          </w:p>
          <w:p>
            <w:pPr>
              <w:spacing w:after="30" w:line="240" w:lineRule="auto"/>
              <w:ind w:left="90" w:hanging="90"/>
              <w:jc w:val="left"/>
            </w:pPr>
            <w:r>
              <w:rPr>
                <w:rFonts w:ascii="Arial" w:eastAsia="Arial" w:hAnsi="Arial" w:cs="Arial"/>
                <w:b/>
                <w:i w:val="0"/>
                <w:color w:val="000000"/>
                <w:sz w:val="18"/>
                <w:u w:val="none"/>
              </w:rPr>
              <w:t>Campbell</w:t>
            </w:r>
          </w:p>
        </w:tc>
        <w:tc>
          <w:tcPr>
            <w:tcW w:w="1305" w:type="dxa"/>
            <w:tcBorders>
              <w:top w:val="nil"/>
              <w:left w:val="nil"/>
              <w:bottom w:val="nil"/>
              <w:right w:val="nil"/>
            </w:tcBorders>
            <w:tcMar>
              <w:top w:w="0" w:type="dxa"/>
              <w:left w:w="53" w:type="dxa"/>
              <w:bottom w:w="0" w:type="dxa"/>
              <w:right w:w="53" w:type="dxa"/>
            </w:tcMar>
            <w:vAlign w:val="bottom"/>
          </w:tcPr>
          <w:p>
            <w:pPr>
              <w:keepNext/>
              <w:pageBreakBefore w:val="0"/>
              <w:spacing w:before="53" w:line="240" w:lineRule="auto"/>
              <w:jc w:val="left"/>
            </w:pPr>
            <w:r>
              <w:rPr>
                <w:rFonts w:ascii="Arial" w:eastAsia="Arial" w:hAnsi="Arial" w:cs="Arial"/>
                <w:b/>
                <w:i w:val="0"/>
                <w:color w:val="000000"/>
                <w:sz w:val="18"/>
                <w:u w:val="none"/>
              </w:rPr>
              <w:t>James D.</w:t>
            </w:r>
          </w:p>
          <w:p>
            <w:pPr>
              <w:spacing w:after="30" w:line="240" w:lineRule="auto"/>
              <w:jc w:val="left"/>
            </w:pPr>
            <w:r>
              <w:rPr>
                <w:rFonts w:ascii="Arial" w:eastAsia="Arial" w:hAnsi="Arial" w:cs="Arial"/>
                <w:b/>
                <w:i w:val="0"/>
                <w:color w:val="000000"/>
                <w:sz w:val="18"/>
                <w:u w:val="none"/>
              </w:rPr>
              <w:t>Carey</w:t>
            </w:r>
          </w:p>
        </w:tc>
        <w:tc>
          <w:tcPr>
            <w:tcW w:w="1305" w:type="dxa"/>
            <w:tcBorders>
              <w:top w:val="nil"/>
              <w:left w:val="nil"/>
              <w:bottom w:val="nil"/>
              <w:right w:val="nil"/>
            </w:tcBorders>
            <w:tcMar>
              <w:top w:w="0" w:type="dxa"/>
              <w:left w:w="53" w:type="dxa"/>
              <w:bottom w:w="0" w:type="dxa"/>
              <w:right w:w="53" w:type="dxa"/>
            </w:tcMar>
            <w:vAlign w:val="bottom"/>
          </w:tcPr>
          <w:p>
            <w:pPr>
              <w:keepNext/>
              <w:pageBreakBefore w:val="0"/>
              <w:spacing w:before="53" w:line="240" w:lineRule="auto"/>
              <w:jc w:val="left"/>
            </w:pPr>
            <w:r>
              <w:rPr>
                <w:rFonts w:ascii="Arial" w:eastAsia="Arial" w:hAnsi="Arial" w:cs="Arial"/>
                <w:b/>
                <w:i w:val="0"/>
                <w:color w:val="000000"/>
                <w:sz w:val="18"/>
                <w:u w:val="none"/>
              </w:rPr>
              <w:t>Dominic</w:t>
            </w:r>
          </w:p>
          <w:p>
            <w:pPr>
              <w:spacing w:after="30" w:line="240" w:lineRule="auto"/>
              <w:jc w:val="left"/>
            </w:pPr>
            <w:r>
              <w:rPr>
                <w:rFonts w:ascii="Arial" w:eastAsia="Arial" w:hAnsi="Arial" w:cs="Arial"/>
                <w:b/>
                <w:i w:val="0"/>
                <w:color w:val="000000"/>
                <w:sz w:val="18"/>
                <w:u w:val="none"/>
              </w:rPr>
              <w:t>Silvester</w:t>
            </w:r>
          </w:p>
        </w:tc>
        <w:tc>
          <w:tcPr>
            <w:tcW w:w="1305" w:type="dxa"/>
            <w:tcBorders>
              <w:top w:val="nil"/>
              <w:left w:val="nil"/>
              <w:bottom w:val="nil"/>
              <w:right w:val="nil"/>
            </w:tcBorders>
            <w:tcMar>
              <w:top w:w="0" w:type="dxa"/>
              <w:left w:w="53" w:type="dxa"/>
              <w:bottom w:w="0" w:type="dxa"/>
              <w:right w:w="53" w:type="dxa"/>
            </w:tcMar>
            <w:vAlign w:val="top"/>
          </w:tcPr>
          <w:p>
            <w:pPr>
              <w:keepNext/>
              <w:pageBreakBefore w:val="0"/>
              <w:spacing w:before="53" w:line="240" w:lineRule="auto"/>
              <w:jc w:val="left"/>
            </w:pPr>
            <w:r>
              <w:rPr>
                <w:rFonts w:ascii="Arial" w:eastAsia="Arial" w:hAnsi="Arial" w:cs="Arial"/>
                <w:b/>
                <w:i w:val="0"/>
                <w:color w:val="000000"/>
                <w:sz w:val="18"/>
                <w:u w:val="none"/>
              </w:rPr>
              <w:t>Poul A.</w:t>
            </w:r>
          </w:p>
          <w:p>
            <w:pPr>
              <w:spacing w:after="30" w:line="240" w:lineRule="auto"/>
              <w:jc w:val="left"/>
            </w:pPr>
            <w:r>
              <w:rPr>
                <w:rFonts w:ascii="Arial" w:eastAsia="Arial" w:hAnsi="Arial" w:cs="Arial"/>
                <w:b/>
                <w:i w:val="0"/>
                <w:color w:val="000000"/>
                <w:sz w:val="18"/>
                <w:u w:val="none"/>
              </w:rPr>
              <w:t>Winslow</w:t>
            </w: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i w:val="0"/>
                <w:sz w:val="20"/>
              </w:rPr>
            </w:pPr>
            <w:r>
              <w:rPr>
                <w:rFonts w:ascii="Arial" w:eastAsia="Arial" w:hAnsi="Arial" w:cs="Arial"/>
                <w:b/>
                <w:i w:val="0"/>
                <w:sz w:val="28"/>
              </w:rPr>
              <w:t>2</w:t>
            </w:r>
            <w:r>
              <w:rPr>
                <w:rFonts w:ascii="Arial" w:eastAsia="Arial" w:hAnsi="Arial" w:cs="Arial"/>
                <w:b/>
                <w:i w:val="0"/>
                <w:sz w:val="20"/>
              </w:rPr>
              <w:t xml:space="preserve"> out of 4</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60"/>
        </w:trPr>
        <w:tc>
          <w:tcPr>
            <w:tcW w:w="150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8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60"/>
        </w:trPr>
        <w:tc>
          <w:tcPr>
            <w:tcW w:w="15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1560"/>
        </w:trPr>
        <w:tc>
          <w:tcPr>
            <w:tcW w:w="2805" w:type="dxa"/>
            <w:gridSpan w:val="2"/>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0" w:line="240" w:lineRule="auto"/>
              <w:ind w:left="0" w:right="0" w:firstLine="0"/>
              <w:jc w:val="left"/>
              <w:outlineLvl w:val="9"/>
              <w:rPr>
                <w:rFonts w:ascii="Arial" w:eastAsia="Arial" w:hAnsi="Arial" w:cs="Arial"/>
                <w:b/>
                <w:i w:val="0"/>
                <w:color w:val="4494D1"/>
                <w:sz w:val="8"/>
                <w:u w:val="none"/>
              </w:rPr>
            </w:pPr>
          </w:p>
          <w:p>
            <w:pPr>
              <w:pageBreakBefore w:val="0"/>
              <w:numPr>
                <w:ilvl w:val="0"/>
                <w:numId w:val="0"/>
              </w:numPr>
              <w:spacing w:before="0" w:after="0" w:line="240" w:lineRule="auto"/>
              <w:ind w:left="0" w:right="0" w:firstLine="0"/>
              <w:jc w:val="center"/>
              <w:outlineLvl w:val="9"/>
              <w:rPr>
                <w:rFonts w:ascii="Arial" w:eastAsia="Arial" w:hAnsi="Arial" w:cs="Arial"/>
                <w:b/>
                <w:i w:val="0"/>
                <w:color w:val="4494D1"/>
                <w:sz w:val="8"/>
                <w:u w:val="none"/>
              </w:rPr>
            </w:pPr>
            <w:r>
              <w:rPr>
                <w:rFonts w:ascii="Arial" w:eastAsia="Arial" w:hAnsi="Arial" w:cs="Arial"/>
                <w:b/>
                <w:i w:val="0"/>
                <w:color w:val="4494D1"/>
                <w:sz w:val="8"/>
                <w:u w:val="none"/>
              </w:rPr>
              <w:t xml:space="preserve"> </w:t>
            </w:r>
          </w:p>
          <w:p>
            <w:pPr>
              <w:pageBreakBefore w:val="0"/>
              <w:numPr>
                <w:ilvl w:val="0"/>
                <w:numId w:val="0"/>
              </w:numPr>
              <w:spacing w:before="0" w:after="0" w:line="240" w:lineRule="auto"/>
              <w:ind w:left="0" w:right="0" w:firstLine="0"/>
              <w:jc w:val="left"/>
              <w:outlineLvl w:val="9"/>
              <w:rPr>
                <w:rFonts w:ascii="Arial" w:eastAsia="Arial" w:hAnsi="Arial" w:cs="Arial"/>
                <w:b w:val="0"/>
                <w:i w:val="0"/>
                <w:sz w:val="20"/>
              </w:rPr>
            </w:pPr>
            <w:r>
              <w:rPr>
                <w:rFonts w:ascii="Arial" w:eastAsia="Arial" w:hAnsi="Arial" w:cs="Arial"/>
                <w:b/>
                <w:i w:val="0"/>
                <w:color w:val="4494D1"/>
                <w:sz w:val="18"/>
                <w:u w:val="none"/>
              </w:rPr>
              <w:t>Additional Information</w:t>
            </w:r>
          </w:p>
          <w:p>
            <w:pPr>
              <w:pageBreakBefore w:val="0"/>
              <w:numPr>
                <w:ilvl w:val="0"/>
                <w:numId w:val="0"/>
              </w:numPr>
              <w:spacing w:before="0" w:after="0" w:line="288" w:lineRule="auto"/>
              <w:ind w:left="0" w:right="0" w:firstLine="0"/>
              <w:jc w:val="center"/>
              <w:outlineLvl w:val="9"/>
              <w:rPr>
                <w:rFonts w:ascii="Arial" w:eastAsia="Arial" w:hAnsi="Arial" w:cs="Arial"/>
                <w:b w:val="0"/>
                <w:i w:val="0"/>
                <w:color w:val="929292"/>
                <w:sz w:val="12"/>
                <w:u w:val="none"/>
              </w:rPr>
            </w:pPr>
          </w:p>
          <w:p>
            <w:pPr>
              <w:pageBreakBefore w:val="0"/>
              <w:numPr>
                <w:ilvl w:val="0"/>
                <w:numId w:val="0"/>
              </w:numPr>
              <w:spacing w:before="0" w:after="30" w:line="240" w:lineRule="auto"/>
              <w:ind w:left="0" w:right="0" w:firstLine="0"/>
              <w:jc w:val="left"/>
              <w:outlineLvl w:val="9"/>
              <w:rPr>
                <w:rFonts w:ascii="Arial" w:eastAsia="Arial" w:hAnsi="Arial" w:cs="Arial"/>
                <w:b w:val="0"/>
                <w:i w:val="0"/>
                <w:color w:val="929292"/>
                <w:sz w:val="18"/>
                <w:u w:val="none"/>
              </w:rPr>
            </w:pPr>
            <w:r>
              <w:rPr>
                <w:rFonts w:ascii="Arial" w:eastAsia="Arial" w:hAnsi="Arial" w:cs="Arial"/>
                <w:b w:val="0"/>
                <w:i w:val="0"/>
                <w:color w:val="929292"/>
                <w:sz w:val="18"/>
                <w:u w:val="none"/>
              </w:rPr>
              <w:t xml:space="preserve">For additional information regarding how the Investment Committee assists the Board in </w:t>
            </w:r>
            <w:r>
              <w:rPr>
                <w:rFonts w:ascii="Arial" w:eastAsia="Arial" w:hAnsi="Arial" w:cs="Arial"/>
                <w:b w:val="0"/>
                <w:i w:val="0"/>
                <w:color w:val="929292"/>
                <w:sz w:val="18"/>
                <w:u w:val="none"/>
              </w:rPr>
              <w:t xml:space="preserve">its oversight of </w:t>
            </w:r>
            <w:r>
              <w:rPr>
                <w:rFonts w:ascii="Arial" w:eastAsia="Arial" w:hAnsi="Arial" w:cs="Arial"/>
                <w:b w:val="0"/>
                <w:i w:val="0"/>
                <w:color w:val="929292"/>
                <w:sz w:val="18"/>
                <w:u w:val="none"/>
              </w:rPr>
              <w:t>risk</w:t>
            </w:r>
            <w:r>
              <w:rPr>
                <w:rFonts w:ascii="Arial" w:eastAsia="Arial" w:hAnsi="Arial" w:cs="Arial"/>
                <w:b w:val="0"/>
                <w:i w:val="0"/>
                <w:color w:val="929292"/>
                <w:sz w:val="18"/>
                <w:u w:val="none"/>
              </w:rPr>
              <w:t xml:space="preserve">, please refer to the summary of our risk oversight structure </w:t>
            </w:r>
            <w:r>
              <w:rPr>
                <w:rFonts w:ascii="Arial" w:eastAsia="Arial" w:hAnsi="Arial" w:cs="Arial"/>
                <w:b w:val="0"/>
                <w:i w:val="0"/>
                <w:color w:val="929292"/>
                <w:sz w:val="18"/>
                <w:u w:val="none"/>
              </w:rPr>
              <w:t xml:space="preserve">below </w:t>
            </w:r>
            <w:r>
              <w:rPr>
                <w:rFonts w:ascii="Arial" w:eastAsia="Arial" w:hAnsi="Arial" w:cs="Arial"/>
                <w:b w:val="0"/>
                <w:i w:val="0"/>
                <w:color w:val="929292"/>
                <w:sz w:val="18"/>
                <w:u w:val="none"/>
              </w:rPr>
              <w:t xml:space="preserve">under the Section titled "Board Oversight of Risk" beginning on page </w:t>
            </w:r>
            <w:r>
              <w:rPr>
                <w:rFonts w:ascii="Arial" w:eastAsia="Arial" w:hAnsi="Arial" w:cs="Arial"/>
                <w:b w:val="0"/>
                <w:i w:val="0"/>
                <w:color w:val="3051F2"/>
                <w:sz w:val="18"/>
                <w:u w:val="single"/>
              </w:rPr>
              <w:fldChar w:fldCharType="begin"/>
            </w:r>
            <w:r>
              <w:rPr>
                <w:rFonts w:ascii="Arial" w:eastAsia="Arial" w:hAnsi="Arial" w:cs="Arial"/>
                <w:b w:val="0"/>
                <w:i w:val="0"/>
                <w:color w:val="3051F2"/>
                <w:sz w:val="18"/>
                <w:u w:val="single"/>
              </w:rPr>
              <w:instrText xml:space="preserve"> PAGEREF </w:instrText>
            </w:r>
            <w:r>
              <w:rPr>
                <w:rFonts w:ascii="Arial" w:eastAsia="Arial" w:hAnsi="Arial" w:cs="Arial"/>
                <w:b w:val="0"/>
                <w:i w:val="0"/>
                <w:color w:val="3051F2"/>
                <w:sz w:val="18"/>
                <w:u w:val="single"/>
              </w:rPr>
              <w:instrText xml:space="preserve"> </w:instrText>
            </w:r>
            <w:r>
              <w:rPr>
                <w:rFonts w:ascii="Arial" w:eastAsia="Arial" w:hAnsi="Arial" w:cs="Arial"/>
                <w:b w:val="0"/>
                <w:i w:val="0"/>
                <w:color w:val="3051F2"/>
                <w:sz w:val="18"/>
                <w:u w:val="single"/>
              </w:rPr>
              <w:instrText>Section44</w:instrText>
            </w:r>
            <w:r>
              <w:rPr>
                <w:rFonts w:ascii="Arial" w:eastAsia="Arial" w:hAnsi="Arial" w:cs="Arial"/>
                <w:b w:val="0"/>
                <w:i w:val="0"/>
                <w:color w:val="3051F2"/>
                <w:sz w:val="18"/>
                <w:u w:val="single"/>
              </w:rPr>
              <w:instrText xml:space="preserve"> \h</w:instrText>
            </w:r>
            <w:r>
              <w:rPr>
                <w:rFonts w:ascii="Arial" w:eastAsia="Arial" w:hAnsi="Arial" w:cs="Arial"/>
                <w:b w:val="0"/>
                <w:i w:val="0"/>
                <w:color w:val="3051F2"/>
                <w:sz w:val="18"/>
                <w:u w:val="single"/>
              </w:rPr>
              <w:fldChar w:fldCharType="separate"/>
            </w:r>
            <w:r>
              <w:rPr>
                <w:rFonts w:ascii="Arial" w:eastAsia="Arial" w:hAnsi="Arial" w:cs="Arial"/>
                <w:b w:val="0"/>
                <w:i w:val="0"/>
                <w:color w:val="3051F2"/>
                <w:sz w:val="18"/>
                <w:u w:val="single"/>
              </w:rPr>
              <w:t>30</w:t>
            </w:r>
            <w:r>
              <w:rPr>
                <w:rFonts w:ascii="Arial" w:eastAsia="Arial" w:hAnsi="Arial" w:cs="Arial"/>
                <w:b w:val="0"/>
                <w:i w:val="0"/>
                <w:color w:val="3051F2"/>
                <w:sz w:val="18"/>
                <w:u w:val="single"/>
              </w:rPr>
              <w:fldChar w:fldCharType="end"/>
            </w:r>
            <w:r>
              <w:rPr>
                <w:rFonts w:ascii="Arial" w:eastAsia="Arial" w:hAnsi="Arial" w:cs="Arial"/>
                <w:b w:val="0"/>
                <w:i w:val="0"/>
                <w:color w:val="929292"/>
                <w:sz w:val="18"/>
                <w:u w:val="none"/>
              </w:rPr>
              <w:t>.</w:t>
            </w:r>
          </w:p>
        </w:tc>
        <w:tc>
          <w:tcPr>
            <w:tcW w:w="7455" w:type="dxa"/>
            <w:gridSpan w:val="6"/>
            <w:vMerge w:val="restart"/>
            <w:tcBorders>
              <w:top w:val="nil"/>
              <w:left w:val="single" w:sz="8" w:space="0" w:color="4494D1"/>
              <w:bottom w:val="nil"/>
              <w:right w:val="nil"/>
            </w:tcBorders>
            <w:tcMar>
              <w:top w:w="0" w:type="dxa"/>
              <w:left w:w="53" w:type="dxa"/>
              <w:bottom w:w="0" w:type="dxa"/>
              <w:right w:w="53" w:type="dxa"/>
            </w:tcMar>
            <w:vAlign w:val="top"/>
          </w:tcPr>
          <w:p>
            <w:pPr>
              <w:keepNext/>
              <w:pageBreakBefore w:val="0"/>
              <w:numPr>
                <w:ilvl w:val="0"/>
                <w:numId w:val="0"/>
              </w:numPr>
              <w:spacing w:before="53" w:after="60" w:line="240" w:lineRule="auto"/>
              <w:ind w:left="90" w:right="0" w:firstLine="0"/>
              <w:jc w:val="left"/>
              <w:outlineLvl w:val="9"/>
              <w:rPr>
                <w:rFonts w:ascii="Arial" w:eastAsia="Arial" w:hAnsi="Arial" w:cs="Arial"/>
                <w:b/>
                <w:i w:val="0"/>
                <w:color w:val="4494D1"/>
                <w:sz w:val="4"/>
                <w:u w:val="none"/>
              </w:rPr>
            </w:pPr>
          </w:p>
          <w:p>
            <w:pPr>
              <w:pageBreakBefore w:val="0"/>
              <w:numPr>
                <w:ilvl w:val="0"/>
                <w:numId w:val="0"/>
              </w:numPr>
              <w:spacing w:before="0" w:after="120" w:line="240" w:lineRule="auto"/>
              <w:ind w:left="90" w:right="0" w:firstLine="0"/>
              <w:jc w:val="left"/>
              <w:outlineLvl w:val="9"/>
              <w:rPr>
                <w:rFonts w:ascii="Arial" w:eastAsia="Arial" w:hAnsi="Arial" w:cs="Arial"/>
                <w:b/>
                <w:i w:val="0"/>
                <w:color w:val="4494D1"/>
                <w:sz w:val="20"/>
                <w:u w:val="none"/>
              </w:rPr>
            </w:pPr>
            <w:r>
              <w:rPr>
                <w:rFonts w:ascii="Arial" w:eastAsia="Arial" w:hAnsi="Arial" w:cs="Arial"/>
                <w:b/>
                <w:i w:val="0"/>
                <w:color w:val="4494D1"/>
                <w:sz w:val="20"/>
                <w:u w:val="none"/>
              </w:rPr>
              <w:t>Primary Responsibilities</w:t>
            </w:r>
          </w:p>
          <w:p>
            <w:pPr>
              <w:pageBreakBefore w:val="0"/>
              <w:numPr>
                <w:ilvl w:val="0"/>
                <w:numId w:val="134"/>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Determining our investment strategy.</w:t>
            </w:r>
          </w:p>
          <w:p>
            <w:pPr>
              <w:pageBreakBefore w:val="0"/>
              <w:numPr>
                <w:ilvl w:val="0"/>
                <w:numId w:val="135"/>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Developing and reviewing our investment policies and guidelines and overseeing compliance with these guidelines and various regulatory requirements.</w:t>
            </w:r>
          </w:p>
          <w:p>
            <w:pPr>
              <w:pageBreakBefore w:val="0"/>
              <w:numPr>
                <w:ilvl w:val="0"/>
                <w:numId w:val="136"/>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Overseeing our investments, including approval of investment transactions.</w:t>
            </w:r>
          </w:p>
          <w:p>
            <w:pPr>
              <w:pageBreakBefore w:val="0"/>
              <w:numPr>
                <w:ilvl w:val="0"/>
                <w:numId w:val="137"/>
              </w:numPr>
              <w:spacing w:before="0" w:after="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Reviewing and monitoring the Company’s investment performance quarterly and annually against plan and external benchmarks agreed from time to time.</w:t>
            </w:r>
          </w:p>
          <w:p>
            <w:pPr>
              <w:pageBreakBefore w:val="0"/>
              <w:numPr>
                <w:ilvl w:val="0"/>
                <w:numId w:val="138"/>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Overseeing the selection, retention and evaluation of outside investment managers.</w:t>
            </w:r>
          </w:p>
          <w:p>
            <w:pPr>
              <w:pageBreakBefore w:val="0"/>
              <w:numPr>
                <w:ilvl w:val="0"/>
                <w:numId w:val="139"/>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Overseeing investment-related risks, including those related to the Company's cash and investment portfolios and investment strategies.</w:t>
            </w:r>
          </w:p>
          <w:p>
            <w:pPr>
              <w:pageBreakBefore w:val="0"/>
              <w:numPr>
                <w:ilvl w:val="0"/>
                <w:numId w:val="140"/>
              </w:numPr>
              <w:spacing w:before="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Overseeing our internal investment management function.</w:t>
            </w:r>
          </w:p>
          <w:p>
            <w:pPr>
              <w:pageBreakBefore w:val="0"/>
              <w:numPr>
                <w:ilvl w:val="0"/>
                <w:numId w:val="141"/>
              </w:numPr>
              <w:spacing w:before="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Coordinating with other committees of the Board to assist with the implementation of the Company's ESG strategy.</w:t>
            </w:r>
          </w:p>
          <w:p>
            <w:pPr>
              <w:pageBreakBefore w:val="0"/>
              <w:numPr>
                <w:ilvl w:val="0"/>
                <w:numId w:val="142"/>
              </w:numPr>
              <w:spacing w:before="0" w:after="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Reviewing and approving the Company's use of derivatives.</w:t>
            </w:r>
          </w:p>
          <w:p>
            <w:pPr>
              <w:pageBreakBefore w:val="0"/>
              <w:numPr>
                <w:ilvl w:val="0"/>
                <w:numId w:val="0"/>
              </w:numPr>
              <w:spacing w:before="0" w:after="0" w:line="288" w:lineRule="auto"/>
              <w:ind w:left="-450" w:right="90" w:firstLine="180"/>
              <w:jc w:val="left"/>
              <w:outlineLvl w:val="9"/>
              <w:rPr>
                <w:rFonts w:ascii="Arial" w:eastAsia="Arial" w:hAnsi="Arial" w:cs="Arial"/>
                <w:b/>
                <w:i w:val="0"/>
                <w:color w:val="4494D1"/>
                <w:sz w:val="20"/>
                <w:u w:val="none"/>
              </w:rPr>
            </w:pPr>
          </w:p>
          <w:p>
            <w:pPr>
              <w:pageBreakBefore w:val="0"/>
              <w:numPr>
                <w:ilvl w:val="0"/>
                <w:numId w:val="0"/>
              </w:numPr>
              <w:spacing w:before="60" w:after="60" w:line="288" w:lineRule="auto"/>
              <w:ind w:left="90" w:right="0" w:firstLine="0"/>
              <w:jc w:val="both"/>
              <w:outlineLvl w:val="9"/>
              <w:rPr>
                <w:rFonts w:ascii="Arial" w:eastAsia="Arial" w:hAnsi="Arial" w:cs="Arial"/>
                <w:b/>
                <w:i w:val="0"/>
                <w:color w:val="4494D1"/>
                <w:sz w:val="20"/>
                <w:u w:val="none"/>
              </w:rPr>
            </w:pPr>
            <w:r>
              <w:rPr>
                <w:rFonts w:ascii="Arial" w:eastAsia="Arial" w:hAnsi="Arial" w:cs="Arial"/>
                <w:b/>
                <w:i w:val="0"/>
                <w:color w:val="4494D1"/>
                <w:sz w:val="20"/>
                <w:u w:val="none"/>
              </w:rPr>
              <w:t>2023</w:t>
            </w:r>
            <w:r>
              <w:rPr>
                <w:rFonts w:ascii="Arial" w:eastAsia="Arial" w:hAnsi="Arial" w:cs="Arial"/>
                <w:b/>
                <w:i w:val="0"/>
                <w:color w:val="4494D1"/>
                <w:sz w:val="20"/>
                <w:u w:val="none"/>
              </w:rPr>
              <w:t xml:space="preserve"> Highlights</w:t>
            </w:r>
          </w:p>
          <w:p>
            <w:pPr>
              <w:pageBreakBefore w:val="0"/>
              <w:numPr>
                <w:ilvl w:val="0"/>
                <w:numId w:val="143"/>
              </w:numPr>
              <w:spacing w:before="60" w:after="60" w:line="288" w:lineRule="auto"/>
              <w:ind w:left="270" w:right="0" w:hanging="180"/>
              <w:jc w:val="left"/>
              <w:outlineLvl w:val="9"/>
              <w:rPr>
                <w:rFonts w:ascii="Arial" w:eastAsia="Arial" w:hAnsi="Arial" w:cs="Arial"/>
                <w:b w:val="0"/>
                <w:i w:val="0"/>
                <w:color w:val="4494D1"/>
                <w:sz w:val="20"/>
                <w:u w:val="none"/>
              </w:rPr>
            </w:pPr>
            <w:r>
              <w:rPr>
                <w:rFonts w:ascii="Arial" w:eastAsia="Arial" w:hAnsi="Arial" w:cs="Arial"/>
                <w:b w:val="0"/>
                <w:i w:val="0"/>
                <w:sz w:val="20"/>
              </w:rPr>
              <w:t xml:space="preserve">Reviewed and </w:t>
            </w:r>
            <w:r>
              <w:rPr>
                <w:rFonts w:ascii="Arial" w:eastAsia="Arial" w:hAnsi="Arial" w:cs="Arial"/>
                <w:b w:val="0"/>
                <w:i w:val="0"/>
                <w:sz w:val="20"/>
              </w:rPr>
              <w:t xml:space="preserve">approved the </w:t>
            </w:r>
            <w:r>
              <w:rPr>
                <w:rFonts w:ascii="Arial" w:eastAsia="Arial" w:hAnsi="Arial" w:cs="Arial"/>
                <w:b w:val="0"/>
                <w:i w:val="0"/>
                <w:sz w:val="20"/>
              </w:rPr>
              <w:t>C</w:t>
            </w:r>
            <w:r>
              <w:rPr>
                <w:rFonts w:ascii="Arial" w:eastAsia="Arial" w:hAnsi="Arial" w:cs="Arial"/>
                <w:b w:val="0"/>
                <w:i w:val="0"/>
                <w:sz w:val="20"/>
              </w:rPr>
              <w:t>ompany’s long-term strategic asset allocation and assessed the portfolio’s positioning in light of macro uncertainty over the next 12-18 months.</w:t>
            </w:r>
          </w:p>
          <w:p>
            <w:pPr>
              <w:pageBreakBefore w:val="0"/>
              <w:numPr>
                <w:ilvl w:val="0"/>
                <w:numId w:val="144"/>
              </w:numPr>
              <w:spacing w:before="60" w:after="60" w:line="288" w:lineRule="auto"/>
              <w:ind w:left="270" w:right="0" w:hanging="180"/>
              <w:jc w:val="both"/>
              <w:outlineLvl w:val="9"/>
              <w:rPr>
                <w:rFonts w:ascii="Arial" w:eastAsia="Arial" w:hAnsi="Arial" w:cs="Arial"/>
                <w:b w:val="0"/>
                <w:i w:val="0"/>
                <w:color w:val="4494D1"/>
                <w:sz w:val="20"/>
                <w:u w:val="none"/>
              </w:rPr>
            </w:pPr>
            <w:r>
              <w:rPr>
                <w:rFonts w:ascii="Arial" w:eastAsia="Arial" w:hAnsi="Arial" w:cs="Arial"/>
                <w:b w:val="0"/>
                <w:i w:val="0"/>
                <w:sz w:val="20"/>
              </w:rPr>
              <w:t xml:space="preserve">Reviewed and assessed the results of </w:t>
            </w:r>
            <w:r>
              <w:rPr>
                <w:rFonts w:ascii="Arial" w:eastAsia="Arial" w:hAnsi="Arial" w:cs="Arial"/>
                <w:b w:val="0"/>
                <w:i w:val="0"/>
                <w:sz w:val="20"/>
              </w:rPr>
              <w:t>a</w:t>
            </w:r>
            <w:r>
              <w:rPr>
                <w:rFonts w:ascii="Arial" w:eastAsia="Arial" w:hAnsi="Arial" w:cs="Arial"/>
                <w:b w:val="0"/>
                <w:i w:val="0"/>
                <w:sz w:val="20"/>
              </w:rPr>
              <w:t xml:space="preserve"> survey of 43 managers that manage </w:t>
            </w:r>
            <w:r>
              <w:rPr>
                <w:rFonts w:ascii="Arial" w:eastAsia="Arial" w:hAnsi="Arial" w:cs="Arial"/>
                <w:b w:val="0"/>
                <w:i w:val="0"/>
                <w:sz w:val="20"/>
              </w:rPr>
              <w:t xml:space="preserve">approximately </w:t>
            </w:r>
            <w:r>
              <w:rPr>
                <w:rFonts w:ascii="Arial" w:eastAsia="Arial" w:hAnsi="Arial" w:cs="Arial"/>
                <w:b w:val="0"/>
                <w:i w:val="0"/>
                <w:sz w:val="20"/>
              </w:rPr>
              <w:t>$13</w:t>
            </w:r>
            <w:r>
              <w:rPr>
                <w:rFonts w:ascii="Arial" w:eastAsia="Arial" w:hAnsi="Arial" w:cs="Arial"/>
                <w:b w:val="0"/>
                <w:i w:val="0"/>
                <w:sz w:val="20"/>
              </w:rPr>
              <w:t xml:space="preserve"> billion</w:t>
            </w:r>
            <w:r>
              <w:rPr>
                <w:rFonts w:ascii="Arial" w:eastAsia="Arial" w:hAnsi="Arial" w:cs="Arial"/>
                <w:b w:val="0"/>
                <w:i w:val="0"/>
                <w:sz w:val="20"/>
              </w:rPr>
              <w:t xml:space="preserve"> </w:t>
            </w:r>
            <w:r>
              <w:rPr>
                <w:rFonts w:ascii="Arial" w:eastAsia="Arial" w:hAnsi="Arial" w:cs="Arial"/>
                <w:b w:val="0"/>
                <w:i w:val="0"/>
                <w:sz w:val="20"/>
              </w:rPr>
              <w:t>of the Company's assets</w:t>
            </w:r>
            <w:r>
              <w:rPr>
                <w:rFonts w:ascii="Arial" w:eastAsia="Arial" w:hAnsi="Arial" w:cs="Arial"/>
                <w:b w:val="0"/>
                <w:i w:val="0"/>
                <w:sz w:val="20"/>
              </w:rPr>
              <w:t xml:space="preserve"> </w:t>
            </w:r>
            <w:r>
              <w:rPr>
                <w:rFonts w:ascii="Arial" w:eastAsia="Arial" w:hAnsi="Arial" w:cs="Arial"/>
                <w:b w:val="0"/>
                <w:i w:val="0"/>
                <w:sz w:val="20"/>
              </w:rPr>
              <w:t>for their ESG</w:t>
            </w:r>
            <w:r>
              <w:rPr>
                <w:rFonts w:ascii="Arial" w:eastAsia="Arial" w:hAnsi="Arial" w:cs="Arial"/>
                <w:b w:val="0"/>
                <w:i w:val="0"/>
                <w:sz w:val="20"/>
              </w:rPr>
              <w:t xml:space="preserve"> and </w:t>
            </w:r>
            <w:r>
              <w:rPr>
                <w:rFonts w:ascii="Arial" w:eastAsia="Arial" w:hAnsi="Arial" w:cs="Arial"/>
                <w:b w:val="0"/>
                <w:i w:val="0"/>
                <w:sz w:val="20"/>
              </w:rPr>
              <w:t>DE&amp;I adoption</w:t>
            </w:r>
            <w:r>
              <w:rPr>
                <w:rFonts w:ascii="Arial" w:eastAsia="Arial" w:hAnsi="Arial" w:cs="Arial"/>
                <w:b w:val="0"/>
                <w:i w:val="0"/>
                <w:sz w:val="20"/>
              </w:rPr>
              <w:t xml:space="preserve"> in support of the Company's ESG </w:t>
            </w:r>
            <w:r>
              <w:rPr>
                <w:rFonts w:ascii="Arial" w:eastAsia="Arial" w:hAnsi="Arial" w:cs="Arial"/>
                <w:b w:val="0"/>
                <w:i w:val="0"/>
                <w:sz w:val="20"/>
              </w:rPr>
              <w:t>strategy</w:t>
            </w:r>
            <w:r>
              <w:rPr>
                <w:rFonts w:ascii="Arial" w:eastAsia="Arial" w:hAnsi="Arial" w:cs="Arial"/>
                <w:b w:val="0"/>
                <w:i w:val="0"/>
                <w:sz w:val="20"/>
              </w:rPr>
              <w:t>.</w:t>
            </w:r>
          </w:p>
          <w:p>
            <w:pPr>
              <w:pageBreakBefore w:val="0"/>
              <w:numPr>
                <w:ilvl w:val="0"/>
                <w:numId w:val="145"/>
              </w:numPr>
              <w:spacing w:before="60" w:after="60" w:line="288" w:lineRule="auto"/>
              <w:ind w:left="270" w:right="0" w:hanging="180"/>
              <w:jc w:val="left"/>
              <w:outlineLvl w:val="9"/>
              <w:rPr>
                <w:rFonts w:ascii="Arial" w:eastAsia="Arial" w:hAnsi="Arial" w:cs="Arial"/>
                <w:b w:val="0"/>
                <w:i w:val="0"/>
                <w:color w:val="4494D1"/>
                <w:sz w:val="20"/>
                <w:u w:val="none"/>
              </w:rPr>
            </w:pPr>
            <w:r>
              <w:rPr>
                <w:rFonts w:ascii="Arial" w:eastAsia="Arial" w:hAnsi="Arial" w:cs="Arial"/>
                <w:b w:val="0"/>
                <w:i w:val="0"/>
                <w:sz w:val="20"/>
              </w:rPr>
              <w:t xml:space="preserve">Reviewed and assessed </w:t>
            </w:r>
            <w:r>
              <w:rPr>
                <w:rFonts w:ascii="Arial" w:eastAsia="Arial" w:hAnsi="Arial" w:cs="Arial"/>
                <w:b w:val="0"/>
                <w:i w:val="0"/>
                <w:sz w:val="20"/>
              </w:rPr>
              <w:t xml:space="preserve">peer </w:t>
            </w:r>
            <w:r>
              <w:rPr>
                <w:rFonts w:ascii="Arial" w:eastAsia="Arial" w:hAnsi="Arial" w:cs="Arial"/>
                <w:b w:val="0"/>
                <w:i w:val="0"/>
                <w:sz w:val="20"/>
              </w:rPr>
              <w:t>benchmarking</w:t>
            </w:r>
            <w:r>
              <w:rPr>
                <w:rFonts w:ascii="Arial" w:eastAsia="Arial" w:hAnsi="Arial" w:cs="Arial"/>
                <w:b w:val="0"/>
                <w:i w:val="0"/>
                <w:sz w:val="20"/>
              </w:rPr>
              <w:t xml:space="preserve"> study evaluating </w:t>
            </w:r>
            <w:r>
              <w:rPr>
                <w:rFonts w:ascii="Arial" w:eastAsia="Arial" w:hAnsi="Arial" w:cs="Arial"/>
                <w:b w:val="0"/>
                <w:i w:val="0"/>
                <w:sz w:val="20"/>
              </w:rPr>
              <w:t xml:space="preserve">the Company's 2022 investment returns against </w:t>
            </w:r>
            <w:r>
              <w:rPr>
                <w:rFonts w:ascii="Arial" w:eastAsia="Arial" w:hAnsi="Arial" w:cs="Arial"/>
                <w:b w:val="0"/>
                <w:i w:val="0"/>
                <w:sz w:val="20"/>
              </w:rPr>
              <w:t>those of</w:t>
            </w:r>
            <w:r>
              <w:rPr>
                <w:rFonts w:ascii="Arial" w:eastAsia="Arial" w:hAnsi="Arial" w:cs="Arial"/>
                <w:b w:val="0"/>
                <w:i w:val="0"/>
                <w:sz w:val="20"/>
              </w:rPr>
              <w:t xml:space="preserve"> select</w:t>
            </w:r>
            <w:r>
              <w:rPr>
                <w:rFonts w:ascii="Arial" w:eastAsia="Arial" w:hAnsi="Arial" w:cs="Arial"/>
                <w:b w:val="0"/>
                <w:i w:val="0"/>
                <w:sz w:val="20"/>
              </w:rPr>
              <w:t xml:space="preserve"> </w:t>
            </w:r>
            <w:r>
              <w:rPr>
                <w:rFonts w:ascii="Arial" w:eastAsia="Arial" w:hAnsi="Arial" w:cs="Arial"/>
                <w:b w:val="0"/>
                <w:i w:val="0"/>
                <w:sz w:val="20"/>
              </w:rPr>
              <w:t>peers</w:t>
            </w:r>
            <w:r>
              <w:rPr>
                <w:rFonts w:ascii="Arial" w:eastAsia="Arial" w:hAnsi="Arial" w:cs="Arial"/>
                <w:b w:val="0"/>
                <w:i w:val="0"/>
                <w:sz w:val="20"/>
              </w:rPr>
              <w:t xml:space="preserve"> using publicly available information.</w:t>
            </w:r>
          </w:p>
          <w:p>
            <w:pPr>
              <w:pageBreakBefore w:val="0"/>
              <w:numPr>
                <w:ilvl w:val="0"/>
                <w:numId w:val="146"/>
              </w:numPr>
              <w:spacing w:before="60" w:after="60" w:line="288" w:lineRule="auto"/>
              <w:ind w:left="270" w:right="0" w:hanging="180"/>
              <w:jc w:val="left"/>
              <w:outlineLvl w:val="9"/>
              <w:rPr>
                <w:rFonts w:ascii="Arial" w:eastAsia="Arial" w:hAnsi="Arial" w:cs="Arial"/>
                <w:b w:val="0"/>
                <w:i w:val="0"/>
                <w:color w:val="4494D1"/>
                <w:sz w:val="20"/>
                <w:u w:val="none"/>
              </w:rPr>
            </w:pPr>
            <w:r>
              <w:rPr>
                <w:rFonts w:ascii="Arial" w:eastAsia="Arial" w:hAnsi="Arial" w:cs="Arial"/>
                <w:b w:val="0"/>
                <w:i w:val="0"/>
                <w:sz w:val="20"/>
              </w:rPr>
              <w:t>A</w:t>
            </w:r>
            <w:r>
              <w:rPr>
                <w:rFonts w:ascii="Arial" w:eastAsia="Arial" w:hAnsi="Arial" w:cs="Arial"/>
                <w:b w:val="0"/>
                <w:i w:val="0"/>
                <w:sz w:val="20"/>
              </w:rPr>
              <w:t>pproved a private asset backed finance mandate, given the attractiveness of the asset class in the current market environment.</w:t>
            </w:r>
          </w:p>
          <w:p>
            <w:pPr>
              <w:pageBreakBefore w:val="0"/>
              <w:numPr>
                <w:ilvl w:val="0"/>
                <w:numId w:val="147"/>
              </w:numPr>
              <w:spacing w:before="60" w:after="60" w:line="288" w:lineRule="auto"/>
              <w:ind w:left="270" w:right="0" w:hanging="180"/>
              <w:jc w:val="left"/>
              <w:outlineLvl w:val="9"/>
              <w:rPr>
                <w:rFonts w:ascii="Arial" w:eastAsia="Arial" w:hAnsi="Arial" w:cs="Arial"/>
                <w:b w:val="0"/>
                <w:i w:val="0"/>
                <w:color w:val="4494D1"/>
                <w:sz w:val="20"/>
                <w:u w:val="none"/>
              </w:rPr>
            </w:pPr>
            <w:r>
              <w:rPr>
                <w:rFonts w:ascii="Arial" w:eastAsia="Arial" w:hAnsi="Arial" w:cs="Arial"/>
                <w:b w:val="0"/>
                <w:i w:val="0"/>
                <w:sz w:val="20"/>
              </w:rPr>
              <w:t>Received</w:t>
            </w:r>
            <w:r>
              <w:rPr>
                <w:rFonts w:ascii="Arial" w:eastAsia="Arial" w:hAnsi="Arial" w:cs="Arial"/>
                <w:b w:val="0"/>
                <w:i w:val="0"/>
                <w:sz w:val="20"/>
              </w:rPr>
              <w:t xml:space="preserve"> an update o</w:t>
            </w:r>
            <w:r>
              <w:rPr>
                <w:rFonts w:ascii="Arial" w:eastAsia="Arial" w:hAnsi="Arial" w:cs="Arial"/>
                <w:b w:val="0"/>
                <w:i w:val="0"/>
                <w:sz w:val="20"/>
              </w:rPr>
              <w:t>n</w:t>
            </w:r>
            <w:r>
              <w:rPr>
                <w:rFonts w:ascii="Arial" w:eastAsia="Arial" w:hAnsi="Arial" w:cs="Arial"/>
                <w:b w:val="0"/>
                <w:i w:val="0"/>
                <w:sz w:val="20"/>
              </w:rPr>
              <w:t xml:space="preserve"> the </w:t>
            </w:r>
            <w:r>
              <w:rPr>
                <w:rFonts w:ascii="Arial" w:eastAsia="Arial" w:hAnsi="Arial" w:cs="Arial"/>
                <w:b w:val="0"/>
                <w:i w:val="0"/>
                <w:sz w:val="20"/>
              </w:rPr>
              <w:t>I</w:t>
            </w:r>
            <w:r>
              <w:rPr>
                <w:rFonts w:ascii="Arial" w:eastAsia="Arial" w:hAnsi="Arial" w:cs="Arial"/>
                <w:b w:val="0"/>
                <w:i w:val="0"/>
                <w:sz w:val="20"/>
              </w:rPr>
              <w:t xml:space="preserve">nvestment </w:t>
            </w:r>
            <w:r>
              <w:rPr>
                <w:rFonts w:ascii="Arial" w:eastAsia="Arial" w:hAnsi="Arial" w:cs="Arial"/>
                <w:b w:val="0"/>
                <w:i w:val="0"/>
                <w:sz w:val="20"/>
              </w:rPr>
              <w:t>D</w:t>
            </w:r>
            <w:r>
              <w:rPr>
                <w:rFonts w:ascii="Arial" w:eastAsia="Arial" w:hAnsi="Arial" w:cs="Arial"/>
                <w:b w:val="0"/>
                <w:i w:val="0"/>
                <w:sz w:val="20"/>
              </w:rPr>
              <w:t>epartment</w:t>
            </w:r>
            <w:r>
              <w:rPr>
                <w:rFonts w:ascii="Arial" w:eastAsia="Arial" w:hAnsi="Arial" w:cs="Arial"/>
                <w:b w:val="0"/>
                <w:i w:val="0"/>
                <w:sz w:val="20"/>
              </w:rPr>
              <w:t>'</w:t>
            </w:r>
            <w:r>
              <w:rPr>
                <w:rFonts w:ascii="Arial" w:eastAsia="Arial" w:hAnsi="Arial" w:cs="Arial"/>
                <w:b w:val="0"/>
                <w:i w:val="0"/>
                <w:sz w:val="20"/>
              </w:rPr>
              <w:t xml:space="preserve">s target operating model, noting the growth in the team’s capabilities </w:t>
            </w:r>
            <w:r>
              <w:rPr>
                <w:rFonts w:ascii="Arial" w:eastAsia="Arial" w:hAnsi="Arial" w:cs="Arial"/>
                <w:b w:val="0"/>
                <w:i w:val="0"/>
                <w:sz w:val="20"/>
              </w:rPr>
              <w:t>in correlation to the evolution of the Company's investment portfolio.</w:t>
            </w:r>
          </w:p>
          <w:p>
            <w:pPr>
              <w:pageBreakBefore w:val="0"/>
              <w:numPr>
                <w:ilvl w:val="0"/>
                <w:numId w:val="0"/>
              </w:numPr>
              <w:spacing w:before="0" w:after="120" w:line="300" w:lineRule="auto"/>
              <w:ind w:left="-450" w:right="0" w:firstLine="0"/>
              <w:jc w:val="left"/>
              <w:outlineLvl w:val="9"/>
              <w:rPr>
                <w:rFonts w:ascii="Arial" w:eastAsia="Arial" w:hAnsi="Arial" w:cs="Arial"/>
                <w:b w:val="0"/>
                <w:i w:val="0"/>
                <w:color w:val="000000"/>
                <w:sz w:val="20"/>
                <w:u w:val="none"/>
                <w:shd w:val="clear" w:color="auto" w:fill="FFFF00"/>
              </w:rPr>
            </w:pPr>
          </w:p>
          <w:p>
            <w:pPr>
              <w:pageBreakBefore w:val="0"/>
              <w:numPr>
                <w:ilvl w:val="0"/>
                <w:numId w:val="0"/>
              </w:numPr>
              <w:spacing w:before="0" w:after="0" w:line="288" w:lineRule="auto"/>
              <w:ind w:left="-450" w:right="90" w:firstLine="180"/>
              <w:jc w:val="left"/>
              <w:outlineLvl w:val="9"/>
              <w:rPr>
                <w:rFonts w:ascii="Arial" w:eastAsia="Arial" w:hAnsi="Arial" w:cs="Arial"/>
                <w:b w:val="0"/>
                <w:i w:val="0"/>
                <w:color w:val="FFFFFF"/>
                <w:sz w:val="18"/>
                <w:u w:val="none"/>
              </w:rPr>
            </w:pPr>
          </w:p>
          <w:p>
            <w:pPr>
              <w:pageBreakBefore w:val="0"/>
              <w:numPr>
                <w:ilvl w:val="0"/>
                <w:numId w:val="0"/>
              </w:numPr>
              <w:spacing w:before="0" w:after="30" w:line="240" w:lineRule="auto"/>
              <w:ind w:left="-450" w:right="90" w:firstLine="540"/>
              <w:jc w:val="left"/>
              <w:outlineLvl w:val="9"/>
              <w:rPr>
                <w:rFonts w:ascii="Arial" w:eastAsia="Arial" w:hAnsi="Arial" w:cs="Arial"/>
                <w:b/>
                <w:i w:val="0"/>
                <w:color w:val="4494D1"/>
                <w:sz w:val="20"/>
                <w:u w:val="none"/>
              </w:rPr>
            </w:pPr>
          </w:p>
        </w:tc>
      </w:tr>
      <w:tr>
        <w:tblPrEx>
          <w:tblW w:w="10260" w:type="dxa"/>
          <w:tblInd w:w="0" w:type="dxa"/>
          <w:tblLayout w:type="fixed"/>
          <w:tblCellMar>
            <w:left w:w="108" w:type="dxa"/>
            <w:right w:w="108" w:type="dxa"/>
          </w:tblCellMar>
        </w:tblPrEx>
        <w:trPr>
          <w:cantSplit/>
          <w:trHeight w:hRule="exact" w:val="1725"/>
        </w:trPr>
        <w:tc>
          <w:tcPr>
            <w:tcW w:w="2805" w:type="dxa"/>
            <w:gridSpan w:val="2"/>
            <w:vMerge/>
            <w:tcBorders>
              <w:top w:val="nil"/>
              <w:left w:val="nil"/>
              <w:bottom w:val="nil"/>
              <w:right w:val="nil"/>
            </w:tcBorders>
          </w:tcPr>
          <w:p>
            <w:pPr>
              <w:keepNext/>
              <w:pageBreakBefore w:val="0"/>
            </w:pPr>
          </w:p>
        </w:tc>
        <w:tc>
          <w:tcPr>
            <w:tcW w:w="7455" w:type="dxa"/>
            <w:gridSpan w:val="6"/>
            <w:vMerge/>
            <w:tcBorders>
              <w:top w:val="nil"/>
              <w:left w:val="single" w:sz="8" w:space="0" w:color="4494D1"/>
              <w:bottom w:val="nil"/>
              <w:right w:val="nil"/>
            </w:tcBorders>
          </w:tcPr>
          <w:p>
            <w:pPr>
              <w:keepNext/>
              <w:pageBreakBefore w:val="0"/>
            </w:pPr>
          </w:p>
        </w:tc>
      </w:tr>
      <w:tr>
        <w:tblPrEx>
          <w:tblW w:w="10260" w:type="dxa"/>
          <w:tblInd w:w="0" w:type="dxa"/>
          <w:tblLayout w:type="fixed"/>
          <w:tblCellMar>
            <w:left w:w="108" w:type="dxa"/>
            <w:right w:w="108" w:type="dxa"/>
          </w:tblCellMar>
        </w:tblPrEx>
        <w:trPr>
          <w:cantSplit/>
          <w:trHeight w:hRule="exact" w:val="7455"/>
        </w:trPr>
        <w:tc>
          <w:tcPr>
            <w:tcW w:w="2805" w:type="dxa"/>
            <w:gridSpan w:val="2"/>
            <w:vMerge/>
            <w:tcBorders>
              <w:top w:val="nil"/>
              <w:left w:val="nil"/>
              <w:bottom w:val="nil"/>
              <w:right w:val="nil"/>
            </w:tcBorders>
          </w:tcPr>
          <w:p>
            <w:pPr>
              <w:keepNext/>
              <w:pageBreakBefore w:val="0"/>
            </w:pPr>
          </w:p>
        </w:tc>
        <w:tc>
          <w:tcPr>
            <w:tcW w:w="7455" w:type="dxa"/>
            <w:gridSpan w:val="6"/>
            <w:vMerge/>
            <w:tcBorders>
              <w:top w:val="nil"/>
              <w:left w:val="single" w:sz="8" w:space="0" w:color="4494D1"/>
              <w:bottom w:val="nil"/>
              <w:right w:val="nil"/>
            </w:tcBorders>
          </w:tcPr>
          <w:p>
            <w:pPr>
              <w:keepNext/>
              <w:pageBreakBefore w:val="0"/>
            </w:pPr>
          </w:p>
        </w:tc>
      </w:tr>
      <w:tr>
        <w:tblPrEx>
          <w:tblW w:w="10260" w:type="dxa"/>
          <w:tblInd w:w="0" w:type="dxa"/>
          <w:tblLayout w:type="fixed"/>
          <w:tblCellMar>
            <w:left w:w="108" w:type="dxa"/>
            <w:right w:w="108" w:type="dxa"/>
          </w:tblCellMar>
        </w:tblPrEx>
        <w:trPr>
          <w:cantSplit/>
          <w:trHeight w:hRule="exact" w:val="60"/>
        </w:trPr>
        <w:tc>
          <w:tcPr>
            <w:tcW w:w="1500"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80"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800"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c>
          <w:tcPr>
            <w:tcW w:w="1560" w:type="dxa"/>
            <w:tcBorders>
              <w:top w:val="nil"/>
              <w:left w:val="nil"/>
              <w:bottom w:val="single" w:sz="12" w:space="0" w:color="4494D1"/>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pageBreakBefore w:val="0"/>
        <w:widowControl w:val="0"/>
        <w:numPr>
          <w:ilvl w:val="0"/>
          <w:numId w:val="0"/>
        </w:numPr>
        <w:spacing w:before="0" w:after="60" w:line="288" w:lineRule="auto"/>
        <w:ind w:left="-720" w:right="0" w:hanging="360"/>
        <w:jc w:val="both"/>
        <w:outlineLvl w:val="9"/>
        <w:rPr>
          <w:rFonts w:ascii="Arial" w:eastAsia="Arial" w:hAnsi="Arial" w:cs="Arial"/>
          <w:b w:val="0"/>
          <w:i w:val="0"/>
          <w:color w:val="969698"/>
          <w:sz w:val="16"/>
          <w:u w:val="none"/>
        </w:rPr>
      </w:pP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500"/>
        <w:gridCol w:w="1305"/>
        <w:gridCol w:w="1305"/>
        <w:gridCol w:w="1305"/>
        <w:gridCol w:w="1305"/>
        <w:gridCol w:w="180"/>
        <w:gridCol w:w="1800"/>
        <w:gridCol w:w="1560"/>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65"/>
          <w:jc w:val="left"/>
        </w:trPr>
        <w:tc>
          <w:tcPr>
            <w:tcW w:w="6720" w:type="dxa"/>
            <w:gridSpan w:val="5"/>
            <w:tcBorders>
              <w:top w:val="single" w:sz="12" w:space="0" w:color="4494D1"/>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i w:val="0"/>
                <w:color w:val="4494D1"/>
                <w:sz w:val="24"/>
                <w:u w:val="none"/>
              </w:rPr>
            </w:pPr>
            <w:r>
              <w:rPr>
                <w:rFonts w:ascii="Arial" w:eastAsia="Arial" w:hAnsi="Arial" w:cs="Arial"/>
                <w:b/>
                <w:i w:val="0"/>
                <w:color w:val="4494D1"/>
                <w:sz w:val="24"/>
                <w:u w:val="none"/>
              </w:rPr>
              <w:t>Executive Committee</w:t>
            </w:r>
          </w:p>
        </w:tc>
        <w:tc>
          <w:tcPr>
            <w:tcW w:w="180"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1560"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60"/>
          <w:jc w:val="left"/>
        </w:trPr>
        <w:tc>
          <w:tcPr>
            <w:tcW w:w="6720" w:type="dxa"/>
            <w:gridSpan w:val="5"/>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8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285"/>
          <w:jc w:val="left"/>
        </w:trPr>
        <w:tc>
          <w:tcPr>
            <w:tcW w:w="15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4494D1"/>
                <w:sz w:val="18"/>
                <w:u w:val="none"/>
              </w:rPr>
              <w:t>CHAIR</w:t>
            </w:r>
          </w:p>
        </w:tc>
        <w:tc>
          <w:tcPr>
            <w:tcW w:w="13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4494D1"/>
                <w:sz w:val="18"/>
                <w:u w:val="none"/>
              </w:rPr>
              <w:t>MEMBERS</w:t>
            </w: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4494D1"/>
                <w:sz w:val="18"/>
                <w:u w:val="none"/>
              </w:rPr>
              <w:t xml:space="preserve">MEETINGS HELD </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285"/>
          <w:jc w:val="left"/>
        </w:trPr>
        <w:tc>
          <w:tcPr>
            <w:tcW w:w="1500"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97" type="#_x0000_t75" style="width:36.85pt;height:42.75pt">
                  <v:imagedata r:id="rId48" o:title=""/>
                  <o:lock v:ext="edit" aspectratio="t"/>
                </v:shape>
              </w:pict>
            </w:r>
          </w:p>
        </w:tc>
        <w:tc>
          <w:tcPr>
            <w:tcW w:w="1305"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98" type="#_x0000_t75" style="width:35.9pt;height:45pt">
                  <v:imagedata r:id="rId51" o:title=""/>
                  <o:lock v:ext="edit" aspectratio="t"/>
                </v:shape>
              </w:pict>
            </w:r>
          </w:p>
        </w:tc>
        <w:tc>
          <w:tcPr>
            <w:tcW w:w="1305"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199" type="#_x0000_t75" style="width:38.16pt;height:44.6pt">
                  <v:imagedata r:id="rId54" o:title=""/>
                  <o:lock v:ext="edit" aspectratio="t"/>
                </v:shape>
              </w:pict>
            </w:r>
          </w:p>
        </w:tc>
        <w:tc>
          <w:tcPr>
            <w:tcW w:w="1305"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200" type="#_x0000_t75" style="width:41.04pt;height:43.07pt">
                  <v:imagedata r:id="rId108" o:title=""/>
                  <o:lock v:ext="edit" aspectratio="t"/>
                </v:shape>
              </w:pict>
            </w:r>
          </w:p>
        </w:tc>
        <w:tc>
          <w:tcPr>
            <w:tcW w:w="1305" w:type="dxa"/>
            <w:vMerge w:val="restart"/>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201" type="#_x0000_t75" style="width:38.51pt;height:43.5pt">
                  <v:imagedata r:id="rId57" o:title=""/>
                  <o:lock v:ext="edit" aspectratio="t"/>
                </v:shape>
              </w:pict>
            </w: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88" w:lineRule="auto"/>
              <w:ind w:left="0" w:right="0" w:firstLine="0"/>
              <w:jc w:val="left"/>
              <w:outlineLvl w:val="9"/>
              <w:rPr>
                <w:rFonts w:ascii="Arial" w:eastAsia="Arial" w:hAnsi="Arial" w:cs="Arial"/>
                <w:b/>
                <w:i w:val="0"/>
                <w:color w:val="4494D1"/>
                <w:sz w:val="18"/>
                <w:u w:val="none"/>
              </w:rPr>
            </w:pPr>
            <w:r>
              <w:rPr>
                <w:rFonts w:ascii="Arial" w:eastAsia="Arial" w:hAnsi="Arial" w:cs="Arial"/>
                <w:b/>
                <w:i w:val="0"/>
                <w:color w:val="4494D1"/>
                <w:sz w:val="18"/>
                <w:u w:val="none"/>
              </w:rPr>
              <w:t xml:space="preserve">IN </w:t>
            </w:r>
            <w:r>
              <w:rPr>
                <w:rFonts w:ascii="Arial" w:eastAsia="Arial" w:hAnsi="Arial" w:cs="Arial"/>
                <w:b/>
                <w:i w:val="0"/>
                <w:color w:val="4494D1"/>
                <w:sz w:val="18"/>
                <w:u w:val="none"/>
              </w:rPr>
              <w:t>2023</w:t>
            </w:r>
            <w:r>
              <w:rPr>
                <w:rFonts w:ascii="Arial" w:eastAsia="Arial" w:hAnsi="Arial" w:cs="Arial"/>
                <w:b/>
                <w:i w:val="0"/>
                <w:color w:val="4494D1"/>
                <w:sz w:val="18"/>
                <w:u w:val="none"/>
              </w:rPr>
              <w:t>:</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285"/>
          <w:jc w:val="left"/>
        </w:trPr>
        <w:tc>
          <w:tcPr>
            <w:tcW w:w="1500"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Arial" w:eastAsia="Arial" w:hAnsi="Arial" w:cs="Arial"/>
                <w:b/>
                <w:i w:val="0"/>
                <w:sz w:val="28"/>
              </w:rPr>
            </w:pPr>
            <w:r>
              <w:rPr>
                <w:rFonts w:ascii="Arial" w:eastAsia="Arial" w:hAnsi="Arial" w:cs="Arial"/>
                <w:b/>
                <w:i w:val="0"/>
                <w:color w:val="000000"/>
                <w:sz w:val="28"/>
                <w:u w:val="none"/>
              </w:rPr>
              <w:t>0</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65"/>
          <w:jc w:val="left"/>
        </w:trPr>
        <w:tc>
          <w:tcPr>
            <w:tcW w:w="1500"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195"/>
          <w:jc w:val="left"/>
        </w:trPr>
        <w:tc>
          <w:tcPr>
            <w:tcW w:w="1500"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305" w:type="dxa"/>
            <w:vMerge/>
            <w:tcBorders>
              <w:top w:val="nil"/>
              <w:left w:val="nil"/>
              <w:bottom w:val="nil"/>
              <w:right w:val="nil"/>
            </w:tcBorders>
          </w:tcPr>
          <w:p>
            <w:pPr>
              <w:keepNext/>
              <w:pageBreakBefore w:val="0"/>
            </w:pP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4494D1"/>
                <w:sz w:val="18"/>
                <w:u w:val="none"/>
              </w:rPr>
              <w:t>INDEPENDENCE</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435"/>
          <w:jc w:val="left"/>
        </w:trPr>
        <w:tc>
          <w:tcPr>
            <w:tcW w:w="1500" w:type="dxa"/>
            <w:tcBorders>
              <w:top w:val="nil"/>
              <w:left w:val="nil"/>
              <w:bottom w:val="nil"/>
              <w:right w:val="nil"/>
            </w:tcBorders>
            <w:tcMar>
              <w:top w:w="0" w:type="dxa"/>
              <w:left w:w="53" w:type="dxa"/>
              <w:bottom w:w="0" w:type="dxa"/>
              <w:right w:w="53" w:type="dxa"/>
            </w:tcMar>
            <w:vAlign w:val="bottom"/>
          </w:tcPr>
          <w:p>
            <w:pPr>
              <w:keepNext/>
              <w:pageBreakBefore w:val="0"/>
              <w:spacing w:before="53" w:line="240" w:lineRule="auto"/>
              <w:ind w:left="90" w:hanging="90"/>
              <w:jc w:val="left"/>
            </w:pPr>
            <w:r>
              <w:rPr>
                <w:rFonts w:ascii="Arial" w:eastAsia="Arial" w:hAnsi="Arial" w:cs="Arial"/>
                <w:b/>
                <w:i w:val="0"/>
                <w:color w:val="000000"/>
                <w:sz w:val="18"/>
                <w:u w:val="none"/>
              </w:rPr>
              <w:t>Robert J.</w:t>
            </w:r>
          </w:p>
          <w:p>
            <w:pPr>
              <w:spacing w:after="30" w:line="240" w:lineRule="auto"/>
              <w:ind w:left="90" w:hanging="90"/>
              <w:jc w:val="left"/>
            </w:pPr>
            <w:r>
              <w:rPr>
                <w:rFonts w:ascii="Arial" w:eastAsia="Arial" w:hAnsi="Arial" w:cs="Arial"/>
                <w:b/>
                <w:i w:val="0"/>
                <w:color w:val="000000"/>
                <w:sz w:val="18"/>
                <w:u w:val="none"/>
              </w:rPr>
              <w:t>Campbell</w:t>
            </w:r>
          </w:p>
        </w:tc>
        <w:tc>
          <w:tcPr>
            <w:tcW w:w="130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Hans-Peter Gerhardt</w:t>
            </w:r>
          </w:p>
        </w:tc>
        <w:tc>
          <w:tcPr>
            <w:tcW w:w="130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 xml:space="preserve">Paul </w:t>
            </w:r>
            <w:r>
              <w:rPr>
                <w:rFonts w:ascii="Arial" w:eastAsia="Arial" w:hAnsi="Arial" w:cs="Arial"/>
                <w:b/>
                <w:i w:val="0"/>
                <w:sz w:val="18"/>
              </w:rPr>
              <w:t>J.</w:t>
            </w:r>
          </w:p>
          <w:p>
            <w:pPr>
              <w:pageBreakBefore w:val="0"/>
              <w:numPr>
                <w:ilvl w:val="0"/>
                <w:numId w:val="0"/>
              </w:numPr>
              <w:spacing w:before="0" w:after="30" w:line="240" w:lineRule="auto"/>
              <w:ind w:left="0" w:right="0" w:firstLine="0"/>
              <w:jc w:val="left"/>
              <w:outlineLvl w:val="9"/>
              <w:rPr>
                <w:rFonts w:ascii="Arial" w:eastAsia="Arial" w:hAnsi="Arial" w:cs="Arial"/>
                <w:b/>
                <w:i w:val="0"/>
                <w:sz w:val="18"/>
              </w:rPr>
            </w:pPr>
            <w:r>
              <w:rPr>
                <w:rFonts w:ascii="Arial" w:eastAsia="Arial" w:hAnsi="Arial" w:cs="Arial"/>
                <w:b/>
                <w:i w:val="0"/>
                <w:sz w:val="18"/>
              </w:rPr>
              <w:t>O'Shea</w:t>
            </w:r>
            <w:r>
              <w:rPr>
                <w:rFonts w:ascii="Arial" w:eastAsia="Arial" w:hAnsi="Arial" w:cs="Arial"/>
                <w:b/>
                <w:i w:val="0"/>
                <w:sz w:val="18"/>
                <w:vertAlign w:val="superscript"/>
              </w:rPr>
              <w:t>(1)</w:t>
            </w:r>
          </w:p>
        </w:tc>
        <w:tc>
          <w:tcPr>
            <w:tcW w:w="1305" w:type="dxa"/>
            <w:tcBorders>
              <w:top w:val="nil"/>
              <w:left w:val="nil"/>
              <w:bottom w:val="nil"/>
              <w:right w:val="nil"/>
            </w:tcBorders>
            <w:tcMar>
              <w:top w:w="0" w:type="dxa"/>
              <w:left w:w="53" w:type="dxa"/>
              <w:bottom w:w="0" w:type="dxa"/>
              <w:right w:w="53" w:type="dxa"/>
            </w:tcMar>
            <w:vAlign w:val="bottom"/>
          </w:tcPr>
          <w:p>
            <w:pPr>
              <w:keepNext/>
              <w:pageBreakBefore w:val="0"/>
              <w:spacing w:before="53" w:line="240" w:lineRule="auto"/>
              <w:jc w:val="left"/>
            </w:pPr>
            <w:r>
              <w:rPr>
                <w:rFonts w:ascii="Arial" w:eastAsia="Arial" w:hAnsi="Arial" w:cs="Arial"/>
                <w:b/>
                <w:i w:val="0"/>
                <w:color w:val="000000"/>
                <w:sz w:val="18"/>
                <w:u w:val="none"/>
              </w:rPr>
              <w:t>Dominic</w:t>
            </w:r>
          </w:p>
          <w:p>
            <w:pPr>
              <w:spacing w:after="30" w:line="240" w:lineRule="auto"/>
              <w:jc w:val="left"/>
            </w:pPr>
            <w:r>
              <w:rPr>
                <w:rFonts w:ascii="Arial" w:eastAsia="Arial" w:hAnsi="Arial" w:cs="Arial"/>
                <w:b/>
                <w:i w:val="0"/>
                <w:color w:val="000000"/>
                <w:sz w:val="18"/>
                <w:u w:val="none"/>
              </w:rPr>
              <w:t>Silvester</w:t>
            </w:r>
          </w:p>
        </w:tc>
        <w:tc>
          <w:tcPr>
            <w:tcW w:w="1305" w:type="dxa"/>
            <w:tcBorders>
              <w:top w:val="nil"/>
              <w:left w:val="nil"/>
              <w:bottom w:val="nil"/>
              <w:right w:val="nil"/>
            </w:tcBorders>
            <w:tcMar>
              <w:top w:w="0" w:type="dxa"/>
              <w:left w:w="53" w:type="dxa"/>
              <w:bottom w:w="0" w:type="dxa"/>
              <w:right w:w="53" w:type="dxa"/>
            </w:tcMar>
            <w:vAlign w:val="top"/>
          </w:tcPr>
          <w:p>
            <w:pPr>
              <w:keepNext/>
              <w:pageBreakBefore w:val="0"/>
              <w:spacing w:before="53" w:line="240" w:lineRule="auto"/>
              <w:jc w:val="left"/>
            </w:pPr>
            <w:r>
              <w:rPr>
                <w:rFonts w:ascii="Arial" w:eastAsia="Arial" w:hAnsi="Arial" w:cs="Arial"/>
                <w:b/>
                <w:i w:val="0"/>
                <w:color w:val="000000"/>
                <w:sz w:val="18"/>
                <w:u w:val="none"/>
              </w:rPr>
              <w:t>Poul A.</w:t>
            </w:r>
          </w:p>
          <w:p>
            <w:pPr>
              <w:spacing w:after="30" w:line="240" w:lineRule="auto"/>
              <w:jc w:val="left"/>
            </w:pPr>
            <w:r>
              <w:rPr>
                <w:rFonts w:ascii="Arial" w:eastAsia="Arial" w:hAnsi="Arial" w:cs="Arial"/>
                <w:b/>
                <w:i w:val="0"/>
                <w:color w:val="000000"/>
                <w:sz w:val="18"/>
                <w:u w:val="none"/>
              </w:rPr>
              <w:t>Winslow</w:t>
            </w:r>
          </w:p>
        </w:tc>
        <w:tc>
          <w:tcPr>
            <w:tcW w:w="180" w:type="dxa"/>
            <w:tcBorders>
              <w:top w:val="nil"/>
              <w:left w:val="dotted" w:sz="8" w:space="0" w:color="4494D1"/>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i w:val="0"/>
                <w:sz w:val="20"/>
              </w:rPr>
            </w:pPr>
            <w:r>
              <w:rPr>
                <w:rFonts w:ascii="Arial" w:eastAsia="Arial" w:hAnsi="Arial" w:cs="Arial"/>
                <w:b/>
                <w:i w:val="0"/>
                <w:sz w:val="28"/>
              </w:rPr>
              <w:t>3</w:t>
            </w:r>
            <w:r>
              <w:rPr>
                <w:rFonts w:ascii="Arial" w:eastAsia="Arial" w:hAnsi="Arial" w:cs="Arial"/>
                <w:b/>
                <w:i w:val="0"/>
                <w:sz w:val="20"/>
              </w:rPr>
              <w:t xml:space="preserve"> out of </w:t>
            </w:r>
            <w:r>
              <w:rPr>
                <w:rFonts w:ascii="Arial" w:eastAsia="Arial" w:hAnsi="Arial" w:cs="Arial"/>
                <w:b/>
                <w:i w:val="0"/>
                <w:sz w:val="20"/>
              </w:rPr>
              <w:t>5</w:t>
            </w: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60"/>
          <w:jc w:val="left"/>
        </w:trPr>
        <w:tc>
          <w:tcPr>
            <w:tcW w:w="150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8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60"/>
          <w:jc w:val="left"/>
        </w:trPr>
        <w:tc>
          <w:tcPr>
            <w:tcW w:w="15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8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2265"/>
          <w:jc w:val="left"/>
        </w:trPr>
        <w:tc>
          <w:tcPr>
            <w:tcW w:w="2805" w:type="dxa"/>
            <w:gridSpan w:val="2"/>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0" w:line="240" w:lineRule="auto"/>
              <w:ind w:left="0" w:right="0" w:firstLine="0"/>
              <w:jc w:val="left"/>
              <w:outlineLvl w:val="9"/>
              <w:rPr>
                <w:rFonts w:ascii="Arial" w:eastAsia="Arial" w:hAnsi="Arial" w:cs="Arial"/>
                <w:b/>
                <w:i w:val="0"/>
                <w:color w:val="4494D1"/>
                <w:sz w:val="8"/>
                <w:u w:val="none"/>
                <w:shd w:val="clear" w:color="auto" w:fill="FFFF00"/>
              </w:rPr>
            </w:pPr>
            <w:r>
              <w:rPr>
                <w:rFonts w:ascii="Arial" w:eastAsia="Arial" w:hAnsi="Arial" w:cs="Arial"/>
                <w:b/>
                <w:i w:val="0"/>
                <w:color w:val="4494D1"/>
                <w:sz w:val="8"/>
                <w:u w:val="none"/>
              </w:rPr>
              <w:t xml:space="preserve"> </w:t>
            </w:r>
          </w:p>
          <w:p>
            <w:pPr>
              <w:pageBreakBefore w:val="0"/>
              <w:numPr>
                <w:ilvl w:val="0"/>
                <w:numId w:val="0"/>
              </w:numPr>
              <w:spacing w:before="0" w:after="0" w:line="240" w:lineRule="auto"/>
              <w:ind w:left="0" w:right="0" w:firstLine="0"/>
              <w:jc w:val="left"/>
              <w:outlineLvl w:val="9"/>
              <w:rPr>
                <w:rFonts w:ascii="Arial" w:eastAsia="Arial" w:hAnsi="Arial" w:cs="Arial"/>
                <w:b w:val="0"/>
                <w:i w:val="0"/>
                <w:sz w:val="20"/>
              </w:rPr>
            </w:pPr>
            <w:r>
              <w:rPr>
                <w:rFonts w:ascii="Arial" w:eastAsia="Arial" w:hAnsi="Arial" w:cs="Arial"/>
                <w:b/>
                <w:i w:val="0"/>
                <w:color w:val="4494D1"/>
                <w:sz w:val="18"/>
                <w:u w:val="none"/>
              </w:rPr>
              <w:t>Additional Information</w:t>
            </w:r>
          </w:p>
          <w:p>
            <w:pPr>
              <w:pageBreakBefore w:val="0"/>
              <w:numPr>
                <w:ilvl w:val="0"/>
                <w:numId w:val="0"/>
              </w:numPr>
              <w:spacing w:before="0" w:after="0" w:line="288" w:lineRule="auto"/>
              <w:ind w:left="0" w:right="0" w:firstLine="0"/>
              <w:jc w:val="center"/>
              <w:outlineLvl w:val="9"/>
              <w:rPr>
                <w:rFonts w:ascii="Arial" w:eastAsia="Arial" w:hAnsi="Arial" w:cs="Arial"/>
                <w:b w:val="0"/>
                <w:i w:val="0"/>
                <w:color w:val="929292"/>
                <w:sz w:val="12"/>
                <w:u w:val="none"/>
              </w:rPr>
            </w:pPr>
          </w:p>
          <w:p>
            <w:pPr>
              <w:pageBreakBefore w:val="0"/>
              <w:numPr>
                <w:ilvl w:val="0"/>
                <w:numId w:val="0"/>
              </w:numPr>
              <w:spacing w:before="0" w:after="30" w:line="240" w:lineRule="auto"/>
              <w:ind w:left="0" w:right="0" w:firstLine="0"/>
              <w:jc w:val="left"/>
              <w:outlineLvl w:val="9"/>
              <w:rPr>
                <w:rFonts w:ascii="Arial" w:eastAsia="Arial" w:hAnsi="Arial" w:cs="Arial"/>
                <w:b/>
                <w:i w:val="0"/>
                <w:color w:val="929292"/>
                <w:sz w:val="20"/>
                <w:u w:val="none"/>
                <w:shd w:val="clear" w:color="auto" w:fill="FFFF00"/>
              </w:rPr>
            </w:pPr>
            <w:r>
              <w:rPr>
                <w:rFonts w:ascii="Arial" w:eastAsia="Arial" w:hAnsi="Arial" w:cs="Arial"/>
                <w:b w:val="0"/>
                <w:i w:val="0"/>
                <w:color w:val="929292"/>
                <w:sz w:val="20"/>
                <w:u w:val="none"/>
              </w:rPr>
              <w:t>For additional information regarding the Executive Co</w:t>
            </w:r>
            <w:r>
              <w:rPr>
                <w:rFonts w:ascii="Arial" w:eastAsia="Arial" w:hAnsi="Arial" w:cs="Arial"/>
                <w:b w:val="0"/>
                <w:i w:val="0"/>
                <w:color w:val="929292"/>
                <w:sz w:val="20"/>
                <w:u w:val="none"/>
              </w:rPr>
              <w:t>mmittee and its role</w:t>
            </w:r>
            <w:r>
              <w:rPr>
                <w:rFonts w:ascii="Arial" w:eastAsia="Arial" w:hAnsi="Arial" w:cs="Arial"/>
                <w:b w:val="0"/>
                <w:i w:val="0"/>
                <w:color w:val="929292"/>
                <w:sz w:val="20"/>
                <w:u w:val="none"/>
              </w:rPr>
              <w:t xml:space="preserve">, please refer to the Committee's charter </w:t>
            </w:r>
            <w:r>
              <w:rPr>
                <w:rFonts w:ascii="Arial" w:eastAsia="Arial" w:hAnsi="Arial" w:cs="Arial"/>
                <w:b w:val="0"/>
                <w:i w:val="0"/>
                <w:color w:val="929292"/>
                <w:sz w:val="20"/>
                <w:u w:val="none"/>
              </w:rPr>
              <w:t>available on our website at</w:t>
            </w:r>
            <w:r>
              <w:rPr>
                <w:rFonts w:ascii="Arial" w:eastAsia="Arial" w:hAnsi="Arial" w:cs="Arial"/>
                <w:b w:val="0"/>
                <w:i w:val="0"/>
                <w:sz w:val="20"/>
              </w:rPr>
              <w:t xml:space="preserve"> </w:t>
            </w:r>
            <w:r>
              <w:rPr>
                <w:rFonts w:ascii="Arial" w:eastAsia="Arial" w:hAnsi="Arial" w:cs="Arial"/>
                <w:b w:val="0"/>
                <w:i/>
                <w:color w:val="4495D1"/>
                <w:sz w:val="18"/>
                <w:u w:val="none"/>
              </w:rPr>
              <w:t>http://www.enstargroup.com/corporate-governance</w:t>
            </w:r>
          </w:p>
        </w:tc>
        <w:tc>
          <w:tcPr>
            <w:tcW w:w="7455" w:type="dxa"/>
            <w:gridSpan w:val="6"/>
            <w:vMerge w:val="restart"/>
            <w:tcBorders>
              <w:top w:val="nil"/>
              <w:left w:val="single" w:sz="8" w:space="0" w:color="4494D1"/>
              <w:bottom w:val="nil"/>
              <w:right w:val="nil"/>
            </w:tcBorders>
            <w:tcMar>
              <w:top w:w="0" w:type="dxa"/>
              <w:left w:w="53" w:type="dxa"/>
              <w:bottom w:w="0" w:type="dxa"/>
              <w:right w:w="53" w:type="dxa"/>
            </w:tcMar>
            <w:vAlign w:val="top"/>
          </w:tcPr>
          <w:p>
            <w:pPr>
              <w:keepNext/>
              <w:pageBreakBefore w:val="0"/>
              <w:numPr>
                <w:ilvl w:val="0"/>
                <w:numId w:val="0"/>
              </w:numPr>
              <w:spacing w:before="53" w:after="60" w:line="240" w:lineRule="auto"/>
              <w:ind w:left="90" w:right="0" w:firstLine="0"/>
              <w:jc w:val="left"/>
              <w:outlineLvl w:val="9"/>
              <w:rPr>
                <w:rFonts w:ascii="Arial" w:eastAsia="Arial" w:hAnsi="Arial" w:cs="Arial"/>
                <w:b/>
                <w:i w:val="0"/>
                <w:color w:val="4494D1"/>
                <w:sz w:val="4"/>
                <w:u w:val="none"/>
              </w:rPr>
            </w:pPr>
          </w:p>
          <w:p>
            <w:pPr>
              <w:pageBreakBefore w:val="0"/>
              <w:numPr>
                <w:ilvl w:val="0"/>
                <w:numId w:val="0"/>
              </w:numPr>
              <w:spacing w:before="0" w:after="120" w:line="240" w:lineRule="auto"/>
              <w:ind w:left="90" w:right="0" w:firstLine="0"/>
              <w:jc w:val="left"/>
              <w:outlineLvl w:val="9"/>
              <w:rPr>
                <w:rFonts w:ascii="Arial" w:eastAsia="Arial" w:hAnsi="Arial" w:cs="Arial"/>
                <w:b/>
                <w:i w:val="0"/>
                <w:color w:val="4494D1"/>
                <w:sz w:val="20"/>
                <w:u w:val="none"/>
              </w:rPr>
            </w:pPr>
            <w:r>
              <w:rPr>
                <w:rFonts w:ascii="Arial" w:eastAsia="Arial" w:hAnsi="Arial" w:cs="Arial"/>
                <w:b/>
                <w:i w:val="0"/>
                <w:color w:val="4494D1"/>
                <w:sz w:val="20"/>
                <w:u w:val="none"/>
              </w:rPr>
              <w:t>Primary Responsibilities</w:t>
            </w:r>
          </w:p>
          <w:p>
            <w:pPr>
              <w:pageBreakBefore w:val="0"/>
              <w:numPr>
                <w:ilvl w:val="0"/>
                <w:numId w:val="148"/>
              </w:numPr>
              <w:spacing w:before="60" w:after="60" w:line="288" w:lineRule="auto"/>
              <w:ind w:left="270" w:right="90" w:hanging="180"/>
              <w:jc w:val="left"/>
              <w:outlineLvl w:val="9"/>
              <w:rPr>
                <w:rFonts w:ascii="Arial" w:eastAsia="Arial" w:hAnsi="Arial" w:cs="Arial"/>
                <w:b w:val="0"/>
                <w:i w:val="0"/>
                <w:color w:val="4494D1"/>
                <w:sz w:val="20"/>
                <w:u w:val="none"/>
              </w:rPr>
            </w:pPr>
            <w:r>
              <w:rPr>
                <w:rFonts w:ascii="Arial" w:eastAsia="Arial" w:hAnsi="Arial" w:cs="Arial"/>
                <w:b w:val="0"/>
                <w:i w:val="0"/>
                <w:sz w:val="20"/>
              </w:rPr>
              <w:t xml:space="preserve">To exercise the power and authority of the Board when the entire Board is not available to meet, except that the Executive Committee </w:t>
            </w:r>
            <w:r>
              <w:rPr>
                <w:rFonts w:ascii="Arial" w:eastAsia="Arial" w:hAnsi="Arial" w:cs="Arial"/>
                <w:b w:val="0"/>
                <w:i/>
                <w:sz w:val="20"/>
              </w:rPr>
              <w:t>may not authorize</w:t>
            </w:r>
            <w:r>
              <w:rPr>
                <w:rFonts w:ascii="Arial" w:eastAsia="Arial" w:hAnsi="Arial" w:cs="Arial"/>
                <w:b w:val="0"/>
                <w:i w:val="0"/>
                <w:sz w:val="20"/>
              </w:rPr>
              <w:t xml:space="preserve"> the following:</w:t>
            </w:r>
          </w:p>
          <w:p>
            <w:pPr>
              <w:pageBreakBefore w:val="0"/>
              <w:numPr>
                <w:ilvl w:val="0"/>
                <w:numId w:val="149"/>
              </w:numPr>
              <w:spacing w:before="60" w:after="60" w:line="288" w:lineRule="auto"/>
              <w:ind w:left="540" w:right="90" w:hanging="270"/>
              <w:jc w:val="left"/>
              <w:outlineLvl w:val="9"/>
              <w:rPr>
                <w:rFonts w:ascii="Arial" w:eastAsia="Arial" w:hAnsi="Arial" w:cs="Arial"/>
                <w:b w:val="0"/>
                <w:i w:val="0"/>
                <w:color w:val="929292"/>
                <w:sz w:val="20"/>
                <w:u w:val="none"/>
              </w:rPr>
            </w:pPr>
            <w:r>
              <w:rPr>
                <w:rFonts w:ascii="Arial" w:eastAsia="Arial" w:hAnsi="Arial" w:cs="Arial"/>
                <w:b w:val="0"/>
                <w:i w:val="0"/>
                <w:sz w:val="20"/>
              </w:rPr>
              <w:t>the issuance of equity securities of the Company;</w:t>
            </w:r>
          </w:p>
          <w:p>
            <w:pPr>
              <w:pageBreakBefore w:val="0"/>
              <w:numPr>
                <w:ilvl w:val="0"/>
                <w:numId w:val="150"/>
              </w:numPr>
              <w:spacing w:before="60" w:after="60" w:line="288" w:lineRule="auto"/>
              <w:ind w:left="540" w:right="90" w:hanging="270"/>
              <w:jc w:val="left"/>
              <w:outlineLvl w:val="9"/>
              <w:rPr>
                <w:rFonts w:ascii="Arial" w:eastAsia="Arial" w:hAnsi="Arial" w:cs="Arial"/>
                <w:b w:val="0"/>
                <w:i w:val="0"/>
                <w:color w:val="929292"/>
                <w:sz w:val="20"/>
                <w:u w:val="none"/>
              </w:rPr>
            </w:pPr>
            <w:r>
              <w:rPr>
                <w:rFonts w:ascii="Arial" w:eastAsia="Arial" w:hAnsi="Arial" w:cs="Arial"/>
                <w:b w:val="0"/>
                <w:i w:val="0"/>
                <w:sz w:val="20"/>
              </w:rPr>
              <w:t>the merger, amalgamation, or other change in control transaction of the company;</w:t>
            </w:r>
          </w:p>
          <w:p>
            <w:pPr>
              <w:pageBreakBefore w:val="0"/>
              <w:numPr>
                <w:ilvl w:val="0"/>
                <w:numId w:val="151"/>
              </w:numPr>
              <w:spacing w:before="60" w:after="60" w:line="288" w:lineRule="auto"/>
              <w:ind w:left="540" w:right="90" w:hanging="270"/>
              <w:jc w:val="left"/>
              <w:outlineLvl w:val="9"/>
              <w:rPr>
                <w:rFonts w:ascii="Arial" w:eastAsia="Arial" w:hAnsi="Arial" w:cs="Arial"/>
                <w:b w:val="0"/>
                <w:i w:val="0"/>
                <w:color w:val="929292"/>
                <w:sz w:val="20"/>
                <w:u w:val="none"/>
              </w:rPr>
            </w:pPr>
            <w:r>
              <w:rPr>
                <w:rFonts w:ascii="Arial" w:eastAsia="Arial" w:hAnsi="Arial" w:cs="Arial"/>
                <w:b w:val="0"/>
                <w:i w:val="0"/>
                <w:sz w:val="20"/>
              </w:rPr>
              <w:t>the sale of all or substantially all of the assets of the Company;</w:t>
            </w:r>
          </w:p>
          <w:p>
            <w:pPr>
              <w:pageBreakBefore w:val="0"/>
              <w:numPr>
                <w:ilvl w:val="0"/>
                <w:numId w:val="152"/>
              </w:numPr>
              <w:spacing w:before="60" w:after="60" w:line="288" w:lineRule="auto"/>
              <w:ind w:left="540" w:right="90" w:hanging="270"/>
              <w:jc w:val="left"/>
              <w:outlineLvl w:val="9"/>
              <w:rPr>
                <w:rFonts w:ascii="Arial" w:eastAsia="Arial" w:hAnsi="Arial" w:cs="Arial"/>
                <w:b w:val="0"/>
                <w:i w:val="0"/>
                <w:color w:val="929292"/>
                <w:sz w:val="20"/>
                <w:u w:val="none"/>
              </w:rPr>
            </w:pPr>
            <w:r>
              <w:rPr>
                <w:rFonts w:ascii="Arial" w:eastAsia="Arial" w:hAnsi="Arial" w:cs="Arial"/>
                <w:b w:val="0"/>
                <w:i w:val="0"/>
                <w:sz w:val="20"/>
              </w:rPr>
              <w:t>the liquidation or dissolution of the Company;</w:t>
            </w:r>
          </w:p>
          <w:p>
            <w:pPr>
              <w:pageBreakBefore w:val="0"/>
              <w:numPr>
                <w:ilvl w:val="0"/>
                <w:numId w:val="153"/>
              </w:numPr>
              <w:spacing w:before="60" w:after="60" w:line="288" w:lineRule="auto"/>
              <w:ind w:left="540" w:right="90" w:hanging="270"/>
              <w:jc w:val="left"/>
              <w:outlineLvl w:val="9"/>
              <w:rPr>
                <w:rFonts w:ascii="Arial" w:eastAsia="Arial" w:hAnsi="Arial" w:cs="Arial"/>
                <w:b w:val="0"/>
                <w:i w:val="0"/>
                <w:color w:val="929292"/>
                <w:sz w:val="20"/>
                <w:u w:val="none"/>
              </w:rPr>
            </w:pPr>
            <w:r>
              <w:rPr>
                <w:rFonts w:ascii="Arial" w:eastAsia="Arial" w:hAnsi="Arial" w:cs="Arial"/>
                <w:b w:val="0"/>
                <w:i w:val="0"/>
                <w:sz w:val="20"/>
              </w:rPr>
              <w:t>any transaction that, in the aggregate, exceeds 10% of the Company's total assets;</w:t>
            </w:r>
          </w:p>
          <w:p>
            <w:pPr>
              <w:pageBreakBefore w:val="0"/>
              <w:numPr>
                <w:ilvl w:val="0"/>
                <w:numId w:val="154"/>
              </w:numPr>
              <w:spacing w:before="60" w:after="60" w:line="288" w:lineRule="auto"/>
              <w:ind w:left="540" w:right="90" w:hanging="270"/>
              <w:jc w:val="left"/>
              <w:outlineLvl w:val="9"/>
              <w:rPr>
                <w:rFonts w:ascii="Arial" w:eastAsia="Arial" w:hAnsi="Arial" w:cs="Arial"/>
                <w:b w:val="0"/>
                <w:i w:val="0"/>
                <w:color w:val="929292"/>
                <w:sz w:val="20"/>
                <w:u w:val="none"/>
              </w:rPr>
            </w:pPr>
            <w:r>
              <w:rPr>
                <w:rFonts w:ascii="Arial" w:eastAsia="Arial" w:hAnsi="Arial" w:cs="Arial"/>
                <w:b w:val="0"/>
                <w:i w:val="0"/>
                <w:sz w:val="20"/>
              </w:rPr>
              <w:t>any action that requires approval of the entire Board by the Company's Memorandum of Association or the Company's Bye-laws; or</w:t>
            </w:r>
          </w:p>
          <w:p>
            <w:pPr>
              <w:pageBreakBefore w:val="0"/>
              <w:numPr>
                <w:ilvl w:val="0"/>
                <w:numId w:val="155"/>
              </w:numPr>
              <w:spacing w:before="60" w:after="60" w:line="288" w:lineRule="auto"/>
              <w:ind w:left="540" w:right="90" w:hanging="270"/>
              <w:jc w:val="left"/>
              <w:outlineLvl w:val="9"/>
              <w:rPr>
                <w:rFonts w:ascii="Arial" w:eastAsia="Arial" w:hAnsi="Arial" w:cs="Arial"/>
                <w:b w:val="0"/>
                <w:i w:val="0"/>
                <w:color w:val="929292"/>
                <w:sz w:val="20"/>
                <w:u w:val="none"/>
              </w:rPr>
            </w:pPr>
            <w:r>
              <w:rPr>
                <w:rFonts w:ascii="Arial" w:eastAsia="Arial" w:hAnsi="Arial" w:cs="Arial"/>
                <w:b w:val="0"/>
                <w:i w:val="0"/>
                <w:sz w:val="20"/>
              </w:rPr>
              <w:t>any action prescribed by applicable law, rule or regulation, including but not limited to those prescribed by listing rules or SEC regulations (such as those powers granted to the Compensation, Audit, and Nominating and Governance Committees and requiring independent director decisions).</w:t>
            </w:r>
          </w:p>
          <w:p>
            <w:pPr>
              <w:pageBreakBefore w:val="0"/>
              <w:numPr>
                <w:ilvl w:val="0"/>
                <w:numId w:val="0"/>
              </w:numPr>
              <w:spacing w:before="0" w:after="0" w:line="288" w:lineRule="auto"/>
              <w:ind w:left="-180" w:right="90" w:firstLine="90"/>
              <w:jc w:val="left"/>
              <w:outlineLvl w:val="9"/>
              <w:rPr>
                <w:rFonts w:ascii="Arial" w:eastAsia="Arial" w:hAnsi="Arial" w:cs="Arial"/>
                <w:b/>
                <w:i w:val="0"/>
                <w:color w:val="000000"/>
                <w:sz w:val="18"/>
                <w:u w:val="none"/>
                <w:shd w:val="clear" w:color="auto" w:fill="FFFF00"/>
              </w:rPr>
            </w:pPr>
          </w:p>
          <w:p>
            <w:pPr>
              <w:pageBreakBefore w:val="0"/>
              <w:numPr>
                <w:ilvl w:val="0"/>
                <w:numId w:val="0"/>
              </w:numPr>
              <w:spacing w:before="60" w:after="60" w:line="288" w:lineRule="auto"/>
              <w:ind w:left="90" w:right="90" w:firstLine="0"/>
              <w:jc w:val="both"/>
              <w:outlineLvl w:val="9"/>
              <w:rPr>
                <w:rFonts w:ascii="Arial" w:eastAsia="Arial" w:hAnsi="Arial" w:cs="Arial"/>
                <w:b/>
                <w:i w:val="0"/>
                <w:color w:val="4494D1"/>
                <w:sz w:val="20"/>
                <w:u w:val="none"/>
                <w:shd w:val="clear" w:color="auto" w:fill="FFFF00"/>
              </w:rPr>
            </w:pPr>
            <w:r>
              <w:rPr>
                <w:rFonts w:ascii="Arial" w:eastAsia="Arial" w:hAnsi="Arial" w:cs="Arial"/>
                <w:b/>
                <w:i w:val="0"/>
                <w:color w:val="4494D1"/>
                <w:sz w:val="20"/>
                <w:u w:val="none"/>
              </w:rPr>
              <w:t>2023</w:t>
            </w:r>
            <w:r>
              <w:rPr>
                <w:rFonts w:ascii="Arial" w:eastAsia="Arial" w:hAnsi="Arial" w:cs="Arial"/>
                <w:b/>
                <w:i w:val="0"/>
                <w:color w:val="4494D1"/>
                <w:sz w:val="20"/>
                <w:u w:val="none"/>
              </w:rPr>
              <w:t xml:space="preserve"> Highlights</w:t>
            </w:r>
          </w:p>
          <w:p>
            <w:pPr>
              <w:pageBreakBefore w:val="0"/>
              <w:numPr>
                <w:ilvl w:val="0"/>
                <w:numId w:val="156"/>
              </w:numPr>
              <w:spacing w:before="0" w:after="120" w:line="300" w:lineRule="auto"/>
              <w:ind w:left="270" w:right="0" w:hanging="180"/>
              <w:jc w:val="left"/>
              <w:outlineLvl w:val="9"/>
              <w:rPr>
                <w:rFonts w:ascii="Arial" w:eastAsia="Arial" w:hAnsi="Arial" w:cs="Arial"/>
                <w:b w:val="0"/>
                <w:i w:val="0"/>
                <w:color w:val="4494D1"/>
                <w:sz w:val="20"/>
                <w:u w:val="none"/>
              </w:rPr>
            </w:pPr>
            <w:r>
              <w:rPr>
                <w:rFonts w:ascii="Arial" w:eastAsia="Arial" w:hAnsi="Arial" w:cs="Arial"/>
                <w:b w:val="0"/>
                <w:i w:val="0"/>
                <w:sz w:val="20"/>
              </w:rPr>
              <w:t xml:space="preserve">Because our full Board was able to meet throughout the year as needed, the Committee was not required to convene any meetings in 2023. </w:t>
            </w:r>
          </w:p>
          <w:p>
            <w:pPr>
              <w:pageBreakBefore w:val="0"/>
              <w:numPr>
                <w:ilvl w:val="0"/>
                <w:numId w:val="157"/>
              </w:numPr>
              <w:spacing w:before="0" w:after="30" w:line="300" w:lineRule="auto"/>
              <w:ind w:left="270" w:right="0" w:hanging="180"/>
              <w:jc w:val="left"/>
              <w:outlineLvl w:val="9"/>
              <w:rPr>
                <w:rFonts w:ascii="Arial" w:eastAsia="Arial" w:hAnsi="Arial" w:cs="Arial"/>
                <w:b w:val="0"/>
                <w:i w:val="0"/>
                <w:color w:val="4494D1"/>
                <w:sz w:val="20"/>
                <w:u w:val="none"/>
              </w:rPr>
            </w:pPr>
            <w:r>
              <w:rPr>
                <w:rFonts w:ascii="Arial" w:eastAsia="Arial" w:hAnsi="Arial" w:cs="Arial"/>
                <w:b w:val="0"/>
                <w:i w:val="0"/>
                <w:sz w:val="20"/>
              </w:rPr>
              <w:t>Our Board reviewed the Committee's charter in 2023, and determined that the Committee's purpose and composition remain appropriate for the effective functioning of the Board.</w:t>
            </w:r>
          </w:p>
        </w:tc>
      </w:tr>
      <w:tr>
        <w:tblPrEx>
          <w:tblW w:w="10260" w:type="dxa"/>
          <w:jc w:val="left"/>
          <w:tblInd w:w="0" w:type="dxa"/>
          <w:tblLayout w:type="fixed"/>
          <w:tblCellMar>
            <w:left w:w="108" w:type="dxa"/>
            <w:right w:w="108" w:type="dxa"/>
          </w:tblCellMar>
        </w:tblPrEx>
        <w:trPr>
          <w:cantSplit/>
          <w:trHeight w:hRule="exact" w:val="60"/>
          <w:jc w:val="left"/>
        </w:trPr>
        <w:tc>
          <w:tcPr>
            <w:tcW w:w="2805" w:type="dxa"/>
            <w:gridSpan w:val="2"/>
            <w:vMerge/>
            <w:tcBorders>
              <w:top w:val="nil"/>
              <w:left w:val="nil"/>
              <w:bottom w:val="nil"/>
              <w:right w:val="nil"/>
            </w:tcBorders>
          </w:tcPr>
          <w:p>
            <w:pPr>
              <w:keepNext/>
              <w:pageBreakBefore w:val="0"/>
            </w:pPr>
          </w:p>
        </w:tc>
        <w:tc>
          <w:tcPr>
            <w:tcW w:w="7455" w:type="dxa"/>
            <w:gridSpan w:val="6"/>
            <w:vMerge/>
            <w:tcBorders>
              <w:top w:val="nil"/>
              <w:left w:val="single" w:sz="8" w:space="0" w:color="4494D1"/>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8085"/>
          <w:jc w:val="left"/>
        </w:trPr>
        <w:tc>
          <w:tcPr>
            <w:tcW w:w="2805" w:type="dxa"/>
            <w:gridSpan w:val="2"/>
            <w:vMerge/>
            <w:tcBorders>
              <w:top w:val="nil"/>
              <w:left w:val="nil"/>
              <w:bottom w:val="nil"/>
              <w:right w:val="nil"/>
            </w:tcBorders>
          </w:tcPr>
          <w:p>
            <w:pPr>
              <w:keepNext/>
              <w:pageBreakBefore w:val="0"/>
            </w:pPr>
          </w:p>
        </w:tc>
        <w:tc>
          <w:tcPr>
            <w:tcW w:w="7455" w:type="dxa"/>
            <w:gridSpan w:val="6"/>
            <w:vMerge/>
            <w:tcBorders>
              <w:top w:val="nil"/>
              <w:left w:val="single" w:sz="8" w:space="0" w:color="4494D1"/>
              <w:bottom w:val="nil"/>
              <w:right w:val="nil"/>
            </w:tcBorders>
          </w:tcPr>
          <w:p>
            <w:pPr>
              <w:keepNext/>
              <w:pageBreakBefore w:val="0"/>
            </w:pPr>
          </w:p>
        </w:tc>
      </w:tr>
      <w:tr>
        <w:tblPrEx>
          <w:tblW w:w="10260" w:type="dxa"/>
          <w:jc w:val="left"/>
          <w:tblInd w:w="0" w:type="dxa"/>
          <w:tblLayout w:type="fixed"/>
          <w:tblCellMar>
            <w:left w:w="108" w:type="dxa"/>
            <w:right w:w="108" w:type="dxa"/>
          </w:tblCellMar>
        </w:tblPrEx>
        <w:trPr>
          <w:cantSplit/>
          <w:trHeight w:hRule="exact" w:val="585"/>
          <w:jc w:val="left"/>
        </w:trPr>
        <w:tc>
          <w:tcPr>
            <w:tcW w:w="10260" w:type="dxa"/>
            <w:gridSpan w:val="8"/>
            <w:tcBorders>
              <w:top w:val="nil"/>
              <w:left w:val="nil"/>
              <w:bottom w:val="single" w:sz="12" w:space="0" w:color="4494D1"/>
              <w:right w:val="nil"/>
            </w:tcBorders>
            <w:tcMar>
              <w:top w:w="0" w:type="dxa"/>
              <w:left w:w="53" w:type="dxa"/>
              <w:bottom w:w="0" w:type="dxa"/>
              <w:right w:w="53" w:type="dxa"/>
            </w:tcMar>
            <w:vAlign w:val="bottom"/>
          </w:tcPr>
          <w:p>
            <w:pPr>
              <w:pageBreakBefore w:val="0"/>
              <w:spacing w:before="53" w:line="288" w:lineRule="auto"/>
              <w:ind w:left="360" w:hanging="360"/>
              <w:jc w:val="left"/>
            </w:pPr>
            <w:r>
              <w:rPr>
                <w:rFonts w:ascii="Arial" w:eastAsia="Arial" w:hAnsi="Arial" w:cs="Arial"/>
                <w:b w:val="0"/>
                <w:i w:val="0"/>
                <w:color w:val="969698"/>
                <w:sz w:val="16"/>
                <w:u w:val="none"/>
              </w:rPr>
              <w:t>(1)    Mr. O'Shea was appointed to the Committee effective June 1, 2023.</w:t>
            </w:r>
          </w:p>
          <w:p>
            <w:pPr>
              <w:spacing w:after="30" w:line="288" w:lineRule="auto"/>
              <w:ind w:left="360" w:hanging="360"/>
              <w:jc w:val="left"/>
            </w:pPr>
          </w:p>
        </w:tc>
      </w:tr>
    </w:tbl>
    <w:p>
      <w:pPr>
        <w:keepNext w:val="0"/>
        <w:keepLines/>
        <w:pageBreakBefore w:val="0"/>
        <w:widowControl w:val="0"/>
        <w:numPr>
          <w:ilvl w:val="0"/>
          <w:numId w:val="0"/>
        </w:numPr>
        <w:spacing w:before="0" w:after="60" w:line="288" w:lineRule="auto"/>
        <w:ind w:left="0" w:right="0" w:firstLine="0"/>
        <w:jc w:val="left"/>
        <w:outlineLvl w:val="9"/>
        <w:rPr>
          <w:rFonts w:ascii="Arial" w:eastAsia="Arial" w:hAnsi="Arial" w:cs="Arial"/>
          <w:b/>
          <w:i w:val="0"/>
          <w:color w:val="4495D1"/>
          <w:sz w:val="2"/>
          <w:u w:val="none"/>
        </w:rPr>
      </w:pPr>
    </w:p>
    <w:p>
      <w:pPr>
        <w:keepNext w:val="0"/>
        <w:keepLines/>
        <w:pageBreakBefore w:val="0"/>
        <w:widowControl w:val="0"/>
        <w:numPr>
          <w:ilvl w:val="0"/>
          <w:numId w:val="0"/>
        </w:numPr>
        <w:spacing w:before="0" w:after="60" w:line="288" w:lineRule="auto"/>
        <w:ind w:left="0" w:right="0" w:firstLine="0"/>
        <w:jc w:val="left"/>
        <w:outlineLvl w:val="9"/>
        <w:rPr>
          <w:rFonts w:ascii="Arial" w:eastAsia="Arial" w:hAnsi="Arial" w:cs="Arial"/>
          <w:b/>
          <w:i w:val="0"/>
          <w:color w:val="4495D1"/>
          <w:sz w:val="2"/>
          <w:u w:val="none"/>
        </w:rPr>
        <w:sectPr>
          <w:headerReference w:type="default" r:id="rId109"/>
          <w:footerReference w:type="default" r:id="rId110"/>
          <w:type w:val="continuous"/>
          <w:pgSz w:w="12240" w:h="15840"/>
          <w:pgMar w:top="855" w:right="990" w:bottom="855" w:left="990" w:header="27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4"/>
          <w:u w:val="none"/>
        </w:rPr>
      </w:pPr>
      <w:bookmarkStart w:id="32" w:name="Section35"/>
      <w:bookmarkEnd w:id="32"/>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BOARD AND COMMITTEE OPERATIONS</w:t>
      </w:r>
    </w:p>
    <w:p>
      <w:pPr>
        <w:keepNext w:val="0"/>
        <w:keepLines w:val="0"/>
        <w:pageBreakBefore w:val="0"/>
        <w:widowControl/>
        <w:numPr>
          <w:ilvl w:val="0"/>
          <w:numId w:val="0"/>
        </w:numPr>
        <w:spacing w:before="0" w:after="60" w:line="288" w:lineRule="auto"/>
        <w:ind w:left="0" w:right="0" w:firstLine="0"/>
        <w:jc w:val="left"/>
        <w:outlineLvl w:val="1"/>
        <w:sectPr>
          <w:headerReference w:type="default" r:id="rId111"/>
          <w:footerReference w:type="default" r:id="rId112"/>
          <w:pgSz w:w="12240" w:h="15840"/>
          <w:pgMar w:top="855" w:right="990" w:bottom="855" w:left="990" w:header="270" w:footer="270"/>
          <w:cols w:space="708"/>
        </w:sectPr>
      </w:pPr>
    </w:p>
    <w:tbl>
      <w:tblPr>
        <w:tblpPr w:leftFromText="180" w:rightFromText="180" w:vertAnchor="text" w:tblpX="0" w:tblpY="1"/>
        <w:tblOverlap w:val="neve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
          <w:u w:val="none"/>
        </w:rPr>
        <w:sectPr>
          <w:type w:val="continuous"/>
          <w:pgSz w:w="12240" w:h="15840"/>
          <w:pgMar w:top="855" w:right="990" w:bottom="855" w:left="990" w:header="270" w:footer="270"/>
          <w:cols w:num="2" w:space="720"/>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4"/>
          <w:u w:val="none"/>
        </w:rPr>
      </w:pPr>
      <w:bookmarkStart w:id="33" w:name="Section36"/>
      <w:bookmarkEnd w:id="33"/>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Board Leadership Structure</w:t>
      </w:r>
    </w:p>
    <w:p>
      <w:pPr>
        <w:keepNext w:val="0"/>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Our Board is supportive of objective, independent leadership for itself and each of its committees. Our Board views the active, objective, independent oversight of management as central to effective Board governance, to serving the best interests of our Company and our shareholders, and to executing our strategic objectives and creating long-term value. T</w:t>
      </w:r>
      <w:r>
        <w:rPr>
          <w:rFonts w:ascii="Arial" w:eastAsia="Arial" w:hAnsi="Arial" w:cs="Arial"/>
          <w:b w:val="0"/>
          <w:i w:val="0"/>
          <w:color w:val="000000"/>
          <w:sz w:val="20"/>
          <w:u w:val="none"/>
        </w:rPr>
        <w:t xml:space="preserve">his support is exemplified in our Board's track record of: maintaining separate roles of Board Chair and Chief Executive Officer since 2011, </w:t>
      </w:r>
      <w:r>
        <w:rPr>
          <w:rFonts w:ascii="Arial" w:eastAsia="Arial" w:hAnsi="Arial" w:cs="Arial"/>
          <w:b w:val="0"/>
          <w:i w:val="0"/>
          <w:color w:val="000000"/>
          <w:sz w:val="20"/>
          <w:u w:val="none"/>
        </w:rPr>
        <w:t>having</w:t>
      </w:r>
      <w:r>
        <w:rPr>
          <w:rFonts w:ascii="Arial" w:eastAsia="Arial" w:hAnsi="Arial" w:cs="Arial"/>
          <w:b w:val="0"/>
          <w:i w:val="0"/>
          <w:color w:val="000000"/>
          <w:sz w:val="20"/>
          <w:u w:val="none"/>
        </w:rPr>
        <w:t xml:space="preserve"> an independent director </w:t>
      </w:r>
      <w:r>
        <w:rPr>
          <w:rFonts w:ascii="Arial" w:eastAsia="Arial" w:hAnsi="Arial" w:cs="Arial"/>
          <w:b w:val="0"/>
          <w:i w:val="0"/>
          <w:color w:val="000000"/>
          <w:sz w:val="20"/>
          <w:u w:val="none"/>
        </w:rPr>
        <w:t xml:space="preserve">serve as our Board's Chair for </w:t>
      </w:r>
      <w:r>
        <w:rPr>
          <w:rFonts w:ascii="Arial" w:eastAsia="Arial" w:hAnsi="Arial" w:cs="Arial"/>
          <w:b w:val="0"/>
          <w:i w:val="0"/>
          <w:color w:val="000000"/>
          <w:sz w:val="20"/>
          <w:u w:val="none"/>
        </w:rPr>
        <w:t>more than a</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decade</w:t>
      </w:r>
      <w:r>
        <w:rPr>
          <w:rFonts w:ascii="Arial" w:eastAsia="Arial" w:hAnsi="Arial" w:cs="Arial"/>
          <w:b w:val="0"/>
          <w:i w:val="0"/>
          <w:color w:val="000000"/>
          <w:sz w:val="20"/>
          <w:u w:val="none"/>
        </w:rPr>
        <w:t xml:space="preserve">, and appointing independent directors to serve as chairs of each of the Board's committees for the last </w:t>
      </w:r>
      <w:r>
        <w:rPr>
          <w:rFonts w:ascii="Arial" w:eastAsia="Arial" w:hAnsi="Arial" w:cs="Arial"/>
          <w:b w:val="0"/>
          <w:i w:val="0"/>
          <w:color w:val="000000"/>
          <w:sz w:val="20"/>
          <w:u w:val="none"/>
        </w:rPr>
        <w:t>seven</w:t>
      </w:r>
      <w:r>
        <w:rPr>
          <w:rFonts w:ascii="Arial" w:eastAsia="Arial" w:hAnsi="Arial" w:cs="Arial"/>
          <w:b w:val="0"/>
          <w:i w:val="0"/>
          <w:color w:val="000000"/>
          <w:sz w:val="20"/>
          <w:u w:val="none"/>
        </w:rPr>
        <w:t xml:space="preserve"> years.</w:t>
      </w:r>
    </w:p>
    <w:p>
      <w:pPr>
        <w:keepNext w:val="0"/>
        <w:keepLines/>
        <w:pageBreakBefore w:val="0"/>
        <w:widowControl w:val="0"/>
        <w:numPr>
          <w:ilvl w:val="0"/>
          <w:numId w:val="0"/>
        </w:numPr>
        <w:spacing w:before="0" w:after="120" w:line="300" w:lineRule="auto"/>
        <w:ind w:left="0" w:right="0" w:firstLine="0"/>
        <w:jc w:val="both"/>
        <w:outlineLvl w:val="9"/>
        <w:sectPr>
          <w:headerReference w:type="default" r:id="rId113"/>
          <w:footerReference w:type="default" r:id="rId114"/>
          <w:type w:val="continuous"/>
          <w:pgSz w:w="12240" w:h="15840"/>
          <w:pgMar w:top="855" w:right="990" w:bottom="855" w:left="990" w:header="270" w:footer="270"/>
          <w:cols w:space="708"/>
        </w:sectPr>
      </w:pPr>
    </w:p>
    <w:p>
      <w:pPr>
        <w:keepNext w:val="0"/>
        <w:keepLines/>
        <w:pageBreakBefore w:val="0"/>
        <w:widowControl w:val="0"/>
        <w:numPr>
          <w:ilvl w:val="0"/>
          <w:numId w:val="0"/>
        </w:numPr>
        <w:spacing w:before="240" w:after="120" w:line="288" w:lineRule="auto"/>
        <w:ind w:left="0" w:right="0" w:firstLine="0"/>
        <w:jc w:val="left"/>
        <w:outlineLvl w:val="9"/>
        <w:rPr>
          <w:rFonts w:ascii="Arial" w:eastAsia="Arial" w:hAnsi="Arial" w:cs="Arial"/>
          <w:b/>
          <w:i w:val="0"/>
          <w:color w:val="171449"/>
          <w:sz w:val="24"/>
          <w:u w:val="none"/>
        </w:rPr>
      </w:pPr>
      <w:bookmarkStart w:id="34" w:name="Section37"/>
      <w:bookmarkEnd w:id="34"/>
    </w:p>
    <w:p>
      <w:pPr>
        <w:keepNext w:val="0"/>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Independent Board Leadership</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Board is currently led by an independent director, Robert Campbell, who has served as its Chair since 2011. Our Bye-laws and Corporate Governance Guidelines permit the roles of Board Chair and Chief Executive Officer to be filled by the same or different individuals, although our Board continues to express a preference for the separation of the two roles. This flexibility allows the Board to determine whether the two roles should be combined or separated based upon our Company's evolving needs, strategy, operating environment, shareholder input, and the Board’s assessment of its leadership from time to time.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 Board believes that our shareholders are best served at this time by having an independent director serve as Chair. Our Board believes this leadership structure effectively allocates authority, responsibility, and oversight between management and the independent members of our Board. It gives primary responsibility for the operational leadership and strategic direction of the Company to our Chief Executive Officer, while the Chair facilitates our Board’s independent oversight of management, promotes communication between senior management and our Board about issues such as company strategy and performance, leadership team development, succession planning, and executive compensation. Our Chair engages with shareholders, and supports the Board's Nominating and Governance Committee's consideration of key governance matters.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 Board recognizes, however, that no single leadership model is right for all companies at all times and that, depending on the circumstances in the future, other leadership models might be appropriate for us. In the event our Board leadership model should change and our Board Chair were to no longer be independent, our Corporate Governance Guidelines provide an established Board Chair succession plan whereby the independent members of the Board will designate an independent director to act as the Lead Independent Director with clearly delineated responsibilities to ensure a minimum level of independent Board leadership is maintained.</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115"/>
          <w:footerReference w:type="default" r:id="rId116"/>
          <w:type w:val="continuous"/>
          <w:pgSz w:w="12240" w:h="15840"/>
          <w:pgMar w:top="855" w:right="990" w:bottom="855" w:left="990" w:header="270" w:footer="270"/>
          <w:cols w:space="708"/>
        </w:sectPr>
      </w:pPr>
    </w:p>
    <w:p>
      <w:pPr>
        <w:keepNext/>
        <w:keepLines/>
        <w:pageBreakBefore w:val="0"/>
        <w:widowControl w:val="0"/>
        <w:numPr>
          <w:ilvl w:val="0"/>
          <w:numId w:val="0"/>
        </w:numPr>
        <w:spacing w:before="240" w:after="120" w:line="288" w:lineRule="auto"/>
        <w:ind w:left="0" w:right="0" w:firstLine="0"/>
        <w:jc w:val="left"/>
        <w:outlineLvl w:val="9"/>
        <w:rPr>
          <w:rFonts w:ascii="Arial" w:eastAsia="Arial" w:hAnsi="Arial" w:cs="Arial"/>
          <w:b/>
          <w:i w:val="0"/>
          <w:color w:val="171449"/>
          <w:sz w:val="24"/>
          <w:u w:val="none"/>
        </w:rPr>
      </w:pPr>
      <w:bookmarkStart w:id="35" w:name="Section38"/>
      <w:bookmarkEnd w:id="35"/>
    </w:p>
    <w:p>
      <w:pPr>
        <w:keepNext/>
        <w:keepLines/>
        <w:pageBreakBefore w:val="0"/>
        <w:widowControl w:val="0"/>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Duties of our Board Chair</w:t>
      </w:r>
    </w:p>
    <w:p>
      <w:pPr>
        <w:keepNext/>
        <w:keepLines/>
        <w:pageBreakBefore w:val="0"/>
        <w:widowControl w:val="0"/>
        <w:numPr>
          <w:ilvl w:val="0"/>
          <w:numId w:val="0"/>
        </w:numPr>
        <w:spacing w:before="0" w:after="0" w:line="300" w:lineRule="auto"/>
        <w:ind w:left="0" w:right="0" w:firstLine="0"/>
        <w:jc w:val="left"/>
        <w:outlineLvl w:val="9"/>
        <w:rPr>
          <w:rFonts w:ascii="Arial" w:eastAsia="Arial" w:hAnsi="Arial" w:cs="Arial"/>
          <w:b w:val="0"/>
          <w:i w:val="0"/>
          <w:sz w:val="20"/>
        </w:rPr>
      </w:pPr>
      <w:r>
        <w:rPr>
          <w:rFonts w:ascii="Arial" w:eastAsia="Arial" w:hAnsi="Arial" w:cs="Arial"/>
          <w:b w:val="0"/>
          <w:i w:val="0"/>
          <w:sz w:val="20"/>
        </w:rPr>
        <w:t>The following table outlines the key functions and responsibilities of our Board Chair.</w:t>
      </w:r>
    </w:p>
    <w:tbl>
      <w:tblPr>
        <w:tblW w:w="1024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45"/>
      </w:tblGrid>
      <w:tr>
        <w:tblPrEx>
          <w:tblW w:w="1024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95"/>
          <w:jc w:val="left"/>
        </w:trPr>
        <w:tc>
          <w:tcPr>
            <w:tcW w:w="10245" w:type="dxa"/>
            <w:tcBorders>
              <w:top w:val="nil"/>
              <w:left w:val="nil"/>
              <w:bottom w:val="single" w:sz="12" w:space="0" w:color="4494D1"/>
              <w:right w:val="nil"/>
            </w:tcBorders>
            <w:tcMar>
              <w:top w:w="0" w:type="dxa"/>
              <w:left w:w="0" w:type="dxa"/>
              <w:bottom w:w="0" w:type="dxa"/>
              <w:right w:w="0" w:type="dxa"/>
            </w:tcMar>
            <w:vAlign w:val="bottom"/>
          </w:tcPr>
          <w:p>
            <w:pPr>
              <w:keepNext/>
              <w:pageBreakBefore w:val="0"/>
              <w:spacing w:before="0" w:after="0"/>
            </w:pPr>
          </w:p>
        </w:tc>
      </w:tr>
      <w:tr>
        <w:tblPrEx>
          <w:tblW w:w="10245" w:type="dxa"/>
          <w:jc w:val="left"/>
          <w:tblInd w:w="0" w:type="dxa"/>
          <w:tblLayout w:type="fixed"/>
          <w:tblCellMar>
            <w:left w:w="108" w:type="dxa"/>
            <w:right w:w="108" w:type="dxa"/>
          </w:tblCellMar>
        </w:tblPrEx>
        <w:trPr>
          <w:cantSplit/>
          <w:trHeight w:hRule="exact" w:val="1605"/>
          <w:jc w:val="left"/>
        </w:trPr>
        <w:tc>
          <w:tcPr>
            <w:tcW w:w="10245" w:type="dxa"/>
            <w:tcBorders>
              <w:top w:val="single" w:sz="12" w:space="0" w:color="4494D1"/>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120" w:line="300" w:lineRule="auto"/>
              <w:ind w:left="0" w:right="0" w:firstLine="0"/>
              <w:jc w:val="both"/>
              <w:outlineLvl w:val="9"/>
              <w:rPr>
                <w:rFonts w:ascii="Arial" w:eastAsia="Arial" w:hAnsi="Arial" w:cs="Arial"/>
                <w:b/>
                <w:i w:val="0"/>
                <w:color w:val="4494D1"/>
                <w:sz w:val="18"/>
                <w:u w:val="none"/>
              </w:rPr>
            </w:pPr>
            <w:r>
              <w:rPr>
                <w:rFonts w:ascii="Arial" w:eastAsia="Arial" w:hAnsi="Arial" w:cs="Arial"/>
                <w:b/>
                <w:i w:val="0"/>
                <w:color w:val="4494D1"/>
                <w:sz w:val="18"/>
                <w:u w:val="none"/>
              </w:rPr>
              <w:t>Board Leadership</w:t>
            </w:r>
          </w:p>
          <w:p>
            <w:pPr>
              <w:pageBreakBefore w:val="0"/>
              <w:numPr>
                <w:ilvl w:val="0"/>
                <w:numId w:val="175"/>
              </w:numPr>
              <w:spacing w:before="0" w:after="12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Presiding at meetings of the Board, including executive sessions of the independent directors</w:t>
            </w:r>
          </w:p>
          <w:p>
            <w:pPr>
              <w:pageBreakBefore w:val="0"/>
              <w:numPr>
                <w:ilvl w:val="0"/>
                <w:numId w:val="176"/>
              </w:numPr>
              <w:spacing w:before="0" w:after="12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Calling meetings of the Board</w:t>
            </w:r>
          </w:p>
          <w:p>
            <w:pPr>
              <w:pageBreakBefore w:val="0"/>
              <w:numPr>
                <w:ilvl w:val="0"/>
                <w:numId w:val="177"/>
              </w:numPr>
              <w:spacing w:before="0" w:after="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Soliciting views and feedback from all Board members and prompting engagement</w:t>
            </w:r>
          </w:p>
        </w:tc>
      </w:tr>
      <w:tr>
        <w:tblPrEx>
          <w:tblW w:w="10245" w:type="dxa"/>
          <w:jc w:val="left"/>
          <w:tblInd w:w="0" w:type="dxa"/>
          <w:tblLayout w:type="fixed"/>
          <w:tblCellMar>
            <w:left w:w="108" w:type="dxa"/>
            <w:right w:w="108" w:type="dxa"/>
          </w:tblCellMar>
        </w:tblPrEx>
        <w:trPr>
          <w:cantSplit/>
          <w:trHeight w:hRule="exact" w:val="1380"/>
          <w:jc w:val="left"/>
        </w:trPr>
        <w:tc>
          <w:tcPr>
            <w:tcW w:w="10245" w:type="dxa"/>
            <w:tcBorders>
              <w:top w:val="single" w:sz="4" w:space="0" w:color="929292"/>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120" w:line="300" w:lineRule="auto"/>
              <w:ind w:left="0" w:right="0" w:firstLine="0"/>
              <w:jc w:val="both"/>
              <w:outlineLvl w:val="9"/>
              <w:rPr>
                <w:rFonts w:ascii="Arial" w:eastAsia="Arial" w:hAnsi="Arial" w:cs="Arial"/>
                <w:b/>
                <w:i w:val="0"/>
                <w:color w:val="4494D1"/>
                <w:sz w:val="18"/>
                <w:u w:val="none"/>
              </w:rPr>
            </w:pPr>
            <w:r>
              <w:rPr>
                <w:rFonts w:ascii="Arial" w:eastAsia="Arial" w:hAnsi="Arial" w:cs="Arial"/>
                <w:b/>
                <w:i w:val="0"/>
                <w:color w:val="4494D1"/>
                <w:sz w:val="18"/>
                <w:u w:val="none"/>
              </w:rPr>
              <w:t>Board Priorities</w:t>
            </w:r>
          </w:p>
          <w:p>
            <w:pPr>
              <w:pageBreakBefore w:val="0"/>
              <w:numPr>
                <w:ilvl w:val="0"/>
                <w:numId w:val="173"/>
              </w:numPr>
              <w:spacing w:before="0" w:after="12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Focusing on key issues and tasks facing our Company, and on topics of interest to our Board</w:t>
            </w:r>
          </w:p>
          <w:p>
            <w:pPr>
              <w:pageBreakBefore w:val="0"/>
              <w:numPr>
                <w:ilvl w:val="0"/>
                <w:numId w:val="174"/>
              </w:numPr>
              <w:spacing w:before="0" w:after="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Contributing to the annual performance review of the CEO, and participating in succession planning with our Human Resources and Compensation Committee</w:t>
            </w:r>
          </w:p>
        </w:tc>
      </w:tr>
      <w:tr>
        <w:tblPrEx>
          <w:tblW w:w="10245" w:type="dxa"/>
          <w:jc w:val="left"/>
          <w:tblInd w:w="0" w:type="dxa"/>
          <w:tblLayout w:type="fixed"/>
          <w:tblCellMar>
            <w:left w:w="108" w:type="dxa"/>
            <w:right w:w="108" w:type="dxa"/>
          </w:tblCellMar>
        </w:tblPrEx>
        <w:trPr>
          <w:cantSplit/>
          <w:trHeight w:hRule="exact" w:val="2040"/>
          <w:jc w:val="left"/>
        </w:trPr>
        <w:tc>
          <w:tcPr>
            <w:tcW w:w="10245" w:type="dxa"/>
            <w:tcBorders>
              <w:top w:val="single" w:sz="4" w:space="0" w:color="929292"/>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120" w:line="300" w:lineRule="auto"/>
              <w:ind w:left="0" w:right="0" w:firstLine="0"/>
              <w:jc w:val="both"/>
              <w:outlineLvl w:val="9"/>
              <w:rPr>
                <w:rFonts w:ascii="Arial" w:eastAsia="Arial" w:hAnsi="Arial" w:cs="Arial"/>
                <w:b/>
                <w:i w:val="0"/>
                <w:color w:val="4494D1"/>
                <w:sz w:val="18"/>
                <w:u w:val="none"/>
              </w:rPr>
            </w:pPr>
            <w:r>
              <w:rPr>
                <w:rFonts w:ascii="Arial" w:eastAsia="Arial" w:hAnsi="Arial" w:cs="Arial"/>
                <w:b/>
                <w:i w:val="0"/>
                <w:color w:val="4494D1"/>
                <w:sz w:val="18"/>
                <w:u w:val="none"/>
              </w:rPr>
              <w:t>Board Culture</w:t>
            </w:r>
          </w:p>
          <w:p>
            <w:pPr>
              <w:pageBreakBefore w:val="0"/>
              <w:numPr>
                <w:ilvl w:val="0"/>
                <w:numId w:val="169"/>
              </w:numPr>
              <w:spacing w:before="0" w:after="12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 xml:space="preserve">Serving as a liaison between the CEO and executive management team and the Board </w:t>
            </w:r>
          </w:p>
          <w:p>
            <w:pPr>
              <w:pageBreakBefore w:val="0"/>
              <w:numPr>
                <w:ilvl w:val="0"/>
                <w:numId w:val="170"/>
              </w:numPr>
              <w:spacing w:before="0" w:after="12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Encouraging rigorous review, debate and challenge</w:t>
            </w:r>
          </w:p>
          <w:p>
            <w:pPr>
              <w:pageBreakBefore w:val="0"/>
              <w:numPr>
                <w:ilvl w:val="0"/>
                <w:numId w:val="171"/>
              </w:numPr>
              <w:spacing w:before="0" w:after="12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Providing support, advice, and feedback from our Board to the CEO while respecting executive responsibility</w:t>
            </w:r>
          </w:p>
          <w:p>
            <w:pPr>
              <w:pageBreakBefore w:val="0"/>
              <w:numPr>
                <w:ilvl w:val="0"/>
                <w:numId w:val="172"/>
              </w:numPr>
              <w:spacing w:before="0" w:after="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Assisting our Board, Nominating and Governance Committee, and management in complying with our Corporate Governance Guidelines and promoting corporate governance best practices</w:t>
            </w:r>
          </w:p>
        </w:tc>
      </w:tr>
      <w:tr>
        <w:tblPrEx>
          <w:tblW w:w="10245" w:type="dxa"/>
          <w:jc w:val="left"/>
          <w:tblInd w:w="0" w:type="dxa"/>
          <w:tblLayout w:type="fixed"/>
          <w:tblCellMar>
            <w:left w:w="108" w:type="dxa"/>
            <w:right w:w="108" w:type="dxa"/>
          </w:tblCellMar>
        </w:tblPrEx>
        <w:trPr>
          <w:cantSplit/>
          <w:trHeight w:hRule="exact" w:val="2115"/>
          <w:jc w:val="left"/>
        </w:trPr>
        <w:tc>
          <w:tcPr>
            <w:tcW w:w="10245" w:type="dxa"/>
            <w:tcBorders>
              <w:top w:val="single" w:sz="4" w:space="0" w:color="929292"/>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120" w:line="300" w:lineRule="auto"/>
              <w:ind w:left="0" w:right="0" w:firstLine="0"/>
              <w:jc w:val="both"/>
              <w:outlineLvl w:val="9"/>
              <w:rPr>
                <w:rFonts w:ascii="Arial" w:eastAsia="Arial" w:hAnsi="Arial" w:cs="Arial"/>
                <w:b/>
                <w:i w:val="0"/>
                <w:color w:val="4494D1"/>
                <w:sz w:val="18"/>
                <w:u w:val="none"/>
              </w:rPr>
            </w:pPr>
            <w:r>
              <w:rPr>
                <w:rFonts w:ascii="Arial" w:eastAsia="Arial" w:hAnsi="Arial" w:cs="Arial"/>
                <w:b/>
                <w:i w:val="0"/>
                <w:color w:val="4494D1"/>
                <w:sz w:val="18"/>
                <w:u w:val="none"/>
              </w:rPr>
              <w:t>Board Performance and Development</w:t>
            </w:r>
          </w:p>
          <w:p>
            <w:pPr>
              <w:pageBreakBefore w:val="0"/>
              <w:numPr>
                <w:ilvl w:val="0"/>
                <w:numId w:val="165"/>
              </w:numPr>
              <w:spacing w:before="0" w:after="12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 xml:space="preserve">Promoting the efficient and effective performance and functioning of our Board </w:t>
            </w:r>
          </w:p>
          <w:p>
            <w:pPr>
              <w:pageBreakBefore w:val="0"/>
              <w:numPr>
                <w:ilvl w:val="0"/>
                <w:numId w:val="166"/>
              </w:numPr>
              <w:spacing w:before="0" w:after="12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Consulting with our Nominating and Governance Committee on our Board's annual self-evaluation</w:t>
            </w:r>
          </w:p>
          <w:p>
            <w:pPr>
              <w:pageBreakBefore w:val="0"/>
              <w:numPr>
                <w:ilvl w:val="0"/>
                <w:numId w:val="167"/>
              </w:numPr>
              <w:spacing w:before="0" w:after="12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Preparing improvement plans to address areas identified during self-evaluation process and monitor progress</w:t>
            </w:r>
          </w:p>
          <w:p>
            <w:pPr>
              <w:pageBreakBefore w:val="0"/>
              <w:numPr>
                <w:ilvl w:val="0"/>
                <w:numId w:val="168"/>
              </w:numPr>
              <w:spacing w:before="0" w:after="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With our Nominating and Governance Committee, consulting in the identification and evaluation of director candidates' qualifications and consulting on committee membership and committee chairs</w:t>
            </w:r>
          </w:p>
        </w:tc>
      </w:tr>
      <w:tr>
        <w:tblPrEx>
          <w:tblW w:w="10245" w:type="dxa"/>
          <w:jc w:val="left"/>
          <w:tblInd w:w="0" w:type="dxa"/>
          <w:tblLayout w:type="fixed"/>
          <w:tblCellMar>
            <w:left w:w="108" w:type="dxa"/>
            <w:right w:w="108" w:type="dxa"/>
          </w:tblCellMar>
        </w:tblPrEx>
        <w:trPr>
          <w:cantSplit/>
          <w:trHeight w:hRule="exact" w:val="1815"/>
          <w:jc w:val="left"/>
        </w:trPr>
        <w:tc>
          <w:tcPr>
            <w:tcW w:w="10245" w:type="dxa"/>
            <w:tcBorders>
              <w:top w:val="single" w:sz="4" w:space="0" w:color="929292"/>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120" w:line="300" w:lineRule="auto"/>
              <w:ind w:left="0" w:right="0" w:firstLine="0"/>
              <w:jc w:val="both"/>
              <w:outlineLvl w:val="9"/>
              <w:rPr>
                <w:rFonts w:ascii="Arial" w:eastAsia="Arial" w:hAnsi="Arial" w:cs="Arial"/>
                <w:b/>
                <w:i w:val="0"/>
                <w:color w:val="4494D1"/>
                <w:sz w:val="18"/>
                <w:u w:val="none"/>
              </w:rPr>
            </w:pPr>
            <w:r>
              <w:rPr>
                <w:rFonts w:ascii="Arial" w:eastAsia="Arial" w:hAnsi="Arial" w:cs="Arial"/>
                <w:b/>
                <w:i w:val="0"/>
                <w:color w:val="4494D1"/>
                <w:sz w:val="18"/>
                <w:u w:val="none"/>
              </w:rPr>
              <w:t>Board Meetings</w:t>
            </w:r>
          </w:p>
          <w:p>
            <w:pPr>
              <w:pageBreakBefore w:val="0"/>
              <w:numPr>
                <w:ilvl w:val="0"/>
                <w:numId w:val="161"/>
              </w:numPr>
              <w:spacing w:before="0" w:after="12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Planning, reviewing, and approving meeting agendas for our Board</w:t>
            </w:r>
          </w:p>
          <w:p>
            <w:pPr>
              <w:pageBreakBefore w:val="0"/>
              <w:numPr>
                <w:ilvl w:val="0"/>
                <w:numId w:val="162"/>
              </w:numPr>
              <w:spacing w:before="0" w:after="12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Approving meeting schedules to provide for sufficient time for discussion of agenda items</w:t>
            </w:r>
          </w:p>
          <w:p>
            <w:pPr>
              <w:pageBreakBefore w:val="0"/>
              <w:numPr>
                <w:ilvl w:val="0"/>
                <w:numId w:val="163"/>
              </w:numPr>
              <w:spacing w:before="0" w:after="12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 xml:space="preserve">Advising the CEO and management of the information needs of our Board </w:t>
            </w:r>
          </w:p>
          <w:p>
            <w:pPr>
              <w:pageBreakBefore w:val="0"/>
              <w:numPr>
                <w:ilvl w:val="0"/>
                <w:numId w:val="164"/>
              </w:numPr>
              <w:spacing w:before="0" w:after="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Developing topics of discussion for executive sessions of our Board</w:t>
            </w:r>
          </w:p>
        </w:tc>
      </w:tr>
      <w:tr>
        <w:tblPrEx>
          <w:tblW w:w="10245" w:type="dxa"/>
          <w:jc w:val="left"/>
          <w:tblInd w:w="0" w:type="dxa"/>
          <w:tblLayout w:type="fixed"/>
          <w:tblCellMar>
            <w:left w:w="108" w:type="dxa"/>
            <w:right w:w="108" w:type="dxa"/>
          </w:tblCellMar>
        </w:tblPrEx>
        <w:trPr>
          <w:cantSplit/>
          <w:trHeight w:hRule="exact" w:val="1695"/>
          <w:jc w:val="left"/>
        </w:trPr>
        <w:tc>
          <w:tcPr>
            <w:tcW w:w="10245" w:type="dxa"/>
            <w:tcBorders>
              <w:top w:val="single" w:sz="4" w:space="0" w:color="929292"/>
              <w:left w:val="nil"/>
              <w:bottom w:val="single" w:sz="12" w:space="0" w:color="4494D1"/>
              <w:right w:val="nil"/>
            </w:tcBorders>
            <w:tcMar>
              <w:top w:w="0" w:type="dxa"/>
              <w:left w:w="53" w:type="dxa"/>
              <w:bottom w:w="0" w:type="dxa"/>
              <w:right w:w="53" w:type="dxa"/>
            </w:tcMar>
            <w:vAlign w:val="center"/>
          </w:tcPr>
          <w:p>
            <w:pPr>
              <w:pageBreakBefore w:val="0"/>
              <w:numPr>
                <w:ilvl w:val="0"/>
                <w:numId w:val="0"/>
              </w:numPr>
              <w:spacing w:before="0" w:after="120" w:line="300" w:lineRule="auto"/>
              <w:ind w:left="0" w:right="0" w:firstLine="0"/>
              <w:jc w:val="both"/>
              <w:outlineLvl w:val="9"/>
              <w:rPr>
                <w:rFonts w:ascii="Arial" w:eastAsia="Arial" w:hAnsi="Arial" w:cs="Arial"/>
                <w:b/>
                <w:i w:val="0"/>
                <w:color w:val="4494D1"/>
                <w:sz w:val="18"/>
                <w:u w:val="none"/>
              </w:rPr>
            </w:pPr>
            <w:r>
              <w:rPr>
                <w:rFonts w:ascii="Arial" w:eastAsia="Arial" w:hAnsi="Arial" w:cs="Arial"/>
                <w:b/>
                <w:i w:val="0"/>
                <w:color w:val="4494D1"/>
                <w:sz w:val="18"/>
                <w:u w:val="none"/>
              </w:rPr>
              <w:t>Shareholders and Other Stakeholders</w:t>
            </w:r>
          </w:p>
          <w:p>
            <w:pPr>
              <w:pageBreakBefore w:val="0"/>
              <w:numPr>
                <w:ilvl w:val="0"/>
                <w:numId w:val="158"/>
              </w:numPr>
              <w:spacing w:before="0" w:after="12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 xml:space="preserve">Consulting and directly communicating with shareholders and other key constituents, as appropriate </w:t>
            </w:r>
          </w:p>
          <w:p>
            <w:pPr>
              <w:pageBreakBefore w:val="0"/>
              <w:numPr>
                <w:ilvl w:val="0"/>
                <w:numId w:val="159"/>
              </w:numPr>
              <w:spacing w:before="0" w:after="12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Leading annual shareholder engagement program to discuss executive compensation and corporate governance matters</w:t>
            </w:r>
          </w:p>
          <w:p>
            <w:pPr>
              <w:pageBreakBefore w:val="0"/>
              <w:numPr>
                <w:ilvl w:val="0"/>
                <w:numId w:val="160"/>
              </w:numPr>
              <w:spacing w:before="0" w:after="0" w:line="300" w:lineRule="auto"/>
              <w:ind w:left="450" w:right="0" w:hanging="270"/>
              <w:jc w:val="both"/>
              <w:outlineLvl w:val="9"/>
              <w:rPr>
                <w:rFonts w:ascii="Arial" w:eastAsia="Arial" w:hAnsi="Arial" w:cs="Arial"/>
                <w:b w:val="0"/>
                <w:i w:val="0"/>
                <w:color w:val="4494D1"/>
                <w:sz w:val="18"/>
                <w:u w:val="none"/>
              </w:rPr>
            </w:pPr>
            <w:r>
              <w:rPr>
                <w:rFonts w:ascii="Arial" w:eastAsia="Arial" w:hAnsi="Arial" w:cs="Arial"/>
                <w:b w:val="0"/>
                <w:i w:val="0"/>
                <w:sz w:val="18"/>
              </w:rPr>
              <w:t>Being available for communication with our primary regulators (with or without management present) to discuss the appropriateness of our Board’s oversight of management and our Company</w:t>
            </w:r>
          </w:p>
        </w:tc>
      </w:tr>
    </w:tbl>
    <w:p>
      <w:pPr>
        <w:keepNext/>
        <w:keepLines/>
        <w:pageBreakBefore w:val="0"/>
        <w:widowControl w:val="0"/>
        <w:numPr>
          <w:ilvl w:val="0"/>
          <w:numId w:val="0"/>
        </w:numPr>
        <w:spacing w:before="0" w:after="320" w:line="300" w:lineRule="auto"/>
        <w:ind w:left="0" w:right="0" w:firstLine="0"/>
        <w:jc w:val="left"/>
        <w:outlineLvl w:val="9"/>
        <w:rPr>
          <w:sz w:val="2"/>
        </w:rPr>
      </w:pPr>
    </w:p>
    <w:p>
      <w:pPr>
        <w:keepNext/>
        <w:keepLines/>
        <w:pageBreakBefore w:val="0"/>
        <w:widowControl w:val="0"/>
        <w:numPr>
          <w:ilvl w:val="0"/>
          <w:numId w:val="0"/>
        </w:numPr>
        <w:spacing w:before="0" w:after="320" w:line="300" w:lineRule="auto"/>
        <w:ind w:left="0" w:right="0" w:firstLine="0"/>
        <w:jc w:val="left"/>
        <w:outlineLvl w:val="9"/>
        <w:rPr>
          <w:sz w:val="2"/>
        </w:rPr>
        <w:sectPr>
          <w:headerReference w:type="default" r:id="rId117"/>
          <w:footerReference w:type="default" r:id="rId118"/>
          <w:type w:val="continuous"/>
          <w:pgSz w:w="12240" w:h="15840"/>
          <w:pgMar w:top="855" w:right="990" w:bottom="855" w:left="990" w:header="27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4"/>
          <w:u w:val="none"/>
        </w:rPr>
      </w:pPr>
      <w:bookmarkStart w:id="36" w:name="Section39"/>
      <w:bookmarkEnd w:id="36"/>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Director Attendance at Meetings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We expect our directors to attend our annual general meeting of shareholders as well as all meetings of the Board and each committee on which they serve, absent extraordinary circumstances. In </w:t>
      </w:r>
      <w:r>
        <w:rPr>
          <w:rFonts w:ascii="Arial" w:eastAsia="Arial" w:hAnsi="Arial" w:cs="Arial"/>
          <w:b w:val="0"/>
          <w:i w:val="0"/>
          <w:color w:val="000000"/>
          <w:sz w:val="20"/>
          <w:u w:val="none"/>
        </w:rPr>
        <w:t>2023</w:t>
      </w:r>
      <w:r>
        <w:rPr>
          <w:rFonts w:ascii="Arial" w:eastAsia="Arial" w:hAnsi="Arial" w:cs="Arial"/>
          <w:b w:val="0"/>
          <w:i w:val="0"/>
          <w:sz w:val="20"/>
        </w:rPr>
        <w:t xml:space="preserve">, our Board </w:t>
      </w:r>
      <w:r>
        <w:rPr>
          <w:rFonts w:ascii="Arial" w:eastAsia="Arial" w:hAnsi="Arial" w:cs="Arial"/>
          <w:b w:val="0"/>
          <w:i w:val="0"/>
          <w:sz w:val="20"/>
        </w:rPr>
        <w:t>held</w:t>
      </w:r>
      <w:r>
        <w:rPr>
          <w:rFonts w:ascii="Arial" w:eastAsia="Arial" w:hAnsi="Arial" w:cs="Arial"/>
          <w:b w:val="0"/>
          <w:i w:val="0"/>
          <w:sz w:val="20"/>
        </w:rPr>
        <w:t xml:space="preserve"> </w:t>
      </w:r>
      <w:r>
        <w:rPr>
          <w:rFonts w:ascii="Arial" w:eastAsia="Arial" w:hAnsi="Arial" w:cs="Arial"/>
          <w:b w:val="0"/>
          <w:i w:val="0"/>
          <w:color w:val="000000"/>
          <w:sz w:val="20"/>
          <w:u w:val="none"/>
        </w:rPr>
        <w:t>nine</w:t>
      </w:r>
      <w:r>
        <w:rPr>
          <w:rFonts w:ascii="Arial" w:eastAsia="Arial" w:hAnsi="Arial" w:cs="Arial"/>
          <w:b w:val="0"/>
          <w:i w:val="0"/>
          <w:sz w:val="20"/>
        </w:rPr>
        <w:t xml:space="preserve"> meeti</w:t>
      </w:r>
      <w:r>
        <w:rPr>
          <w:rFonts w:ascii="Arial" w:eastAsia="Arial" w:hAnsi="Arial" w:cs="Arial"/>
          <w:b w:val="0"/>
          <w:i w:val="0"/>
          <w:sz w:val="20"/>
        </w:rPr>
        <w:t xml:space="preserve">ngs and its committees held </w:t>
      </w:r>
      <w:r>
        <w:rPr>
          <w:rFonts w:ascii="Arial" w:eastAsia="Arial" w:hAnsi="Arial" w:cs="Arial"/>
          <w:b w:val="0"/>
          <w:i w:val="0"/>
          <w:color w:val="000000"/>
          <w:sz w:val="20"/>
          <w:u w:val="none"/>
        </w:rPr>
        <w:t>24</w:t>
      </w:r>
      <w:r>
        <w:rPr>
          <w:rFonts w:ascii="Arial" w:eastAsia="Arial" w:hAnsi="Arial" w:cs="Arial"/>
          <w:b w:val="0"/>
          <w:i w:val="0"/>
          <w:sz w:val="20"/>
        </w:rPr>
        <w:t xml:space="preserve"> meetings in aggregate, for a combined total of </w:t>
      </w:r>
      <w:r>
        <w:rPr>
          <w:rFonts w:ascii="Arial" w:eastAsia="Arial" w:hAnsi="Arial" w:cs="Arial"/>
          <w:b w:val="0"/>
          <w:i w:val="0"/>
          <w:color w:val="000000"/>
          <w:sz w:val="20"/>
          <w:u w:val="none"/>
        </w:rPr>
        <w:t>33</w:t>
      </w:r>
      <w:r>
        <w:rPr>
          <w:rFonts w:ascii="Arial" w:eastAsia="Arial" w:hAnsi="Arial" w:cs="Arial"/>
          <w:b w:val="0"/>
          <w:i w:val="0"/>
          <w:sz w:val="20"/>
        </w:rPr>
        <w:t xml:space="preserve"> Board and com</w:t>
      </w:r>
      <w:r>
        <w:rPr>
          <w:rFonts w:ascii="Arial" w:eastAsia="Arial" w:hAnsi="Arial" w:cs="Arial"/>
          <w:b w:val="0"/>
          <w:i w:val="0"/>
          <w:sz w:val="20"/>
        </w:rPr>
        <w:t xml:space="preserve">mittee meetings. No incumbent director attended fewer than 75% of the total number of Board and applicable committee meetings held during the year ended </w:t>
      </w:r>
      <w:r>
        <w:rPr>
          <w:rFonts w:ascii="Arial" w:eastAsia="Arial" w:hAnsi="Arial" w:cs="Arial"/>
          <w:b w:val="0"/>
          <w:i w:val="0"/>
          <w:color w:val="000000"/>
          <w:sz w:val="20"/>
          <w:u w:val="none"/>
        </w:rPr>
        <w:t>December 31, 2023</w:t>
      </w:r>
      <w:r>
        <w:rPr>
          <w:rFonts w:ascii="Arial" w:eastAsia="Arial" w:hAnsi="Arial" w:cs="Arial"/>
          <w:b w:val="0"/>
          <w:i w:val="0"/>
          <w:sz w:val="20"/>
        </w:rPr>
        <w:t xml:space="preserve">, in each case during the period that such director served. In addition, all directors serving on our Board at the time of our </w:t>
      </w:r>
      <w:r>
        <w:rPr>
          <w:rFonts w:ascii="Arial" w:eastAsia="Arial" w:hAnsi="Arial" w:cs="Arial"/>
          <w:b w:val="0"/>
          <w:i w:val="0"/>
          <w:color w:val="000000"/>
          <w:sz w:val="20"/>
          <w:u w:val="none"/>
        </w:rPr>
        <w:t>2023</w:t>
      </w:r>
      <w:r>
        <w:rPr>
          <w:rFonts w:ascii="Arial" w:eastAsia="Arial" w:hAnsi="Arial" w:cs="Arial"/>
          <w:b w:val="0"/>
          <w:i w:val="0"/>
          <w:sz w:val="20"/>
        </w:rPr>
        <w:t xml:space="preserve"> annual general meeting of shareholders attended the meeting.</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Our independent directors also meet privately in executive session led by the Board Chair on a regular basis without our CEO or other members of management present.</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119"/>
          <w:footerReference w:type="default" r:id="rId120"/>
          <w:pgSz w:w="12240" w:h="15840"/>
          <w:pgMar w:top="855" w:right="990" w:bottom="855" w:left="990" w:header="27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shd w:val="clear" w:color="auto" w:fill="FFFF00"/>
        </w:rPr>
      </w:pPr>
      <w:bookmarkStart w:id="37" w:name="Section40"/>
      <w:bookmarkEnd w:id="37"/>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Director Orientation and Continuing Education</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We have a comprehensive orientation program for all new directors. This orientation program includes one-on-one meetings with senior management, visits to our headquarters when possible, and extensive written materials to familiarize new directors with our business, financial performance, strategic plans, director and executive compensation programs, and corporate governance policies and practices.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We also offer continuing education to assist directors in enhancing their skills and knowledge to better perform their duties and to recognize, and deal appropriately with, issues that may arise. These programs may be part of regular Board and committee meetings or provided by qualified third parties on various topics. In addition, the Company pays for all reasonable expenses for any director who wishes to attend an external director continuing education program approved by the Board's Chair.</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121"/>
          <w:footerReference w:type="default" r:id="rId122"/>
          <w:type w:val="continuous"/>
          <w:pgSz w:w="12240" w:h="15840"/>
          <w:pgMar w:top="855" w:right="990" w:bottom="855" w:left="990" w:header="27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38" w:name="Section41"/>
      <w:bookmarkEnd w:id="38"/>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Board and Committee Evaluations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Board recognizes that a robust and constructive evaluation process is an essential component of good corporate governance and Board effectiveness. Under the leadership of, and in consultation with, Board and committee Chairs, the Nominating and Governance Committee oversees the annual Board and committee evaluation process as well as the development and monitoring of any remediation plans. </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123"/>
          <w:footerReference w:type="default" r:id="rId124"/>
          <w:type w:val="continuous"/>
          <w:pgSz w:w="12240" w:h="15840"/>
          <w:pgMar w:top="855" w:right="990" w:bottom="855" w:left="990" w:header="270" w:footer="270"/>
          <w:cols w:space="708"/>
        </w:sect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bookmarkStart w:id="39" w:name="Section42"/>
      <w:bookmarkEnd w:id="39"/>
    </w:p>
    <w:p>
      <w:pPr>
        <w:keepNext w:val="0"/>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Evaluation Process and Incorporation of Feedback</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Our Board and each of its committees conduct separate annual self-evaluations. Each director evaluates the Board, the committees on which he or she serves, and individual director performance. Our annual evaluations typically cover areas such as: Board and committee efficiency and overall effectiveness; Board and committee composition and structure; performance of Board and committee leadership; director performance; strategic and performance abilities; Board and committee interaction with management; and quality of Board and committee meetings and materials. An overview of our annual Board and committee evaluation process is described below.</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160"/>
        <w:gridCol w:w="8100"/>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95"/>
        </w:trPr>
        <w:tc>
          <w:tcPr>
            <w:tcW w:w="2160" w:type="dxa"/>
            <w:tcBorders>
              <w:top w:val="nil"/>
              <w:left w:val="nil"/>
              <w:bottom w:val="single" w:sz="12" w:space="0" w:color="4494D1"/>
              <w:right w:val="nil"/>
            </w:tcBorders>
            <w:tcMar>
              <w:top w:w="0" w:type="dxa"/>
              <w:left w:w="0" w:type="dxa"/>
              <w:bottom w:w="0" w:type="dxa"/>
              <w:right w:w="0" w:type="dxa"/>
            </w:tcMar>
            <w:vAlign w:val="bottom"/>
          </w:tcPr>
          <w:p>
            <w:pPr>
              <w:keepNext/>
              <w:pageBreakBefore w:val="0"/>
              <w:spacing w:before="0" w:after="0"/>
            </w:pPr>
          </w:p>
        </w:tc>
        <w:tc>
          <w:tcPr>
            <w:tcW w:w="8100" w:type="dxa"/>
            <w:tcBorders>
              <w:top w:val="nil"/>
              <w:left w:val="nil"/>
              <w:bottom w:val="single" w:sz="12" w:space="0" w:color="4494D1"/>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1245"/>
        </w:trPr>
        <w:tc>
          <w:tcPr>
            <w:tcW w:w="2160" w:type="dxa"/>
            <w:tcBorders>
              <w:top w:val="single" w:sz="12" w:space="0" w:color="4494D1"/>
              <w:left w:val="nil"/>
              <w:bottom w:val="single" w:sz="4" w:space="0" w:color="929292"/>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i w:val="0"/>
                <w:color w:val="4494D1"/>
                <w:sz w:val="18"/>
                <w:u w:val="none"/>
              </w:rPr>
              <w:t>Determine Scope, Focus Areas, and Format</w:t>
            </w:r>
          </w:p>
        </w:tc>
        <w:tc>
          <w:tcPr>
            <w:tcW w:w="8100" w:type="dxa"/>
            <w:tcBorders>
              <w:top w:val="single" w:sz="12" w:space="0" w:color="4494D1"/>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0" w:line="300" w:lineRule="auto"/>
              <w:ind w:left="0" w:right="0" w:firstLine="0"/>
              <w:jc w:val="both"/>
              <w:outlineLvl w:val="9"/>
              <w:rPr>
                <w:rFonts w:ascii="Arial" w:eastAsia="Arial" w:hAnsi="Arial" w:cs="Arial"/>
                <w:b w:val="0"/>
                <w:i w:val="0"/>
                <w:sz w:val="18"/>
              </w:rPr>
            </w:pPr>
            <w:r>
              <w:rPr>
                <w:rFonts w:ascii="Arial" w:eastAsia="Arial" w:hAnsi="Arial" w:cs="Arial"/>
                <w:b w:val="0"/>
                <w:i w:val="0"/>
                <w:sz w:val="18"/>
              </w:rPr>
              <w:t xml:space="preserve">The formal self-evaluation may be in the form of written or oral questions administered by Board members, management, or third parties. Each year, our Nominating and Governance Committee, with input from Board and committee Chairs, discusses and considers the appropriate approach, including areas of focus, scope and format, and approves the selected evaluations. </w:t>
            </w:r>
          </w:p>
        </w:tc>
      </w:tr>
      <w:tr>
        <w:tblPrEx>
          <w:tblW w:w="10260" w:type="dxa"/>
          <w:tblInd w:w="0" w:type="dxa"/>
          <w:tblLayout w:type="fixed"/>
          <w:tblCellMar>
            <w:left w:w="108" w:type="dxa"/>
            <w:right w:w="108" w:type="dxa"/>
          </w:tblCellMar>
        </w:tblPrEx>
        <w:trPr>
          <w:cantSplit/>
          <w:trHeight w:hRule="exact" w:val="1335"/>
        </w:trPr>
        <w:tc>
          <w:tcPr>
            <w:tcW w:w="2160" w:type="dxa"/>
            <w:tcBorders>
              <w:top w:val="single" w:sz="4" w:space="0" w:color="929292"/>
              <w:left w:val="nil"/>
              <w:bottom w:val="single" w:sz="4" w:space="0" w:color="929292"/>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i w:val="0"/>
                <w:color w:val="4494D1"/>
                <w:sz w:val="18"/>
                <w:u w:val="none"/>
              </w:rPr>
              <w:t>Conduct Evaluation</w:t>
            </w:r>
          </w:p>
        </w:tc>
        <w:tc>
          <w:tcPr>
            <w:tcW w:w="8100" w:type="dxa"/>
            <w:tcBorders>
              <w:top w:val="single" w:sz="4" w:space="0" w:color="929292"/>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0" w:line="300" w:lineRule="auto"/>
              <w:ind w:left="0" w:right="0" w:firstLine="0"/>
              <w:jc w:val="both"/>
              <w:outlineLvl w:val="9"/>
              <w:rPr>
                <w:rFonts w:ascii="Arial" w:eastAsia="Arial" w:hAnsi="Arial" w:cs="Arial"/>
                <w:b w:val="0"/>
                <w:i w:val="0"/>
                <w:sz w:val="18"/>
              </w:rPr>
            </w:pPr>
            <w:r>
              <w:rPr>
                <w:rFonts w:ascii="Arial" w:eastAsia="Arial" w:hAnsi="Arial" w:cs="Arial"/>
                <w:b w:val="0"/>
                <w:i w:val="0"/>
                <w:sz w:val="18"/>
              </w:rPr>
              <w:t>Members of our Board and each of its committees participate in the formal evaluation process, responding to questions designed to elicit information to be used in improving Board and committee effectiveness and individual director performance. In 202</w:t>
            </w:r>
            <w:r>
              <w:rPr>
                <w:rFonts w:ascii="Arial" w:eastAsia="Arial" w:hAnsi="Arial" w:cs="Arial"/>
                <w:b w:val="0"/>
                <w:i w:val="0"/>
                <w:sz w:val="18"/>
              </w:rPr>
              <w:t>3</w:t>
            </w:r>
            <w:r>
              <w:rPr>
                <w:rFonts w:ascii="Arial" w:eastAsia="Arial" w:hAnsi="Arial" w:cs="Arial"/>
                <w:b w:val="0"/>
                <w:i w:val="0"/>
                <w:sz w:val="18"/>
              </w:rPr>
              <w:t>, our Board evaluation was administered via written questionnaires supplemented by one-on-one interviews between each director and the Board Chair.</w:t>
            </w:r>
          </w:p>
        </w:tc>
      </w:tr>
      <w:tr>
        <w:tblPrEx>
          <w:tblW w:w="10260" w:type="dxa"/>
          <w:tblInd w:w="0" w:type="dxa"/>
          <w:tblLayout w:type="fixed"/>
          <w:tblCellMar>
            <w:left w:w="108" w:type="dxa"/>
            <w:right w:w="108" w:type="dxa"/>
          </w:tblCellMar>
        </w:tblPrEx>
        <w:trPr>
          <w:cantSplit/>
          <w:trHeight w:hRule="exact" w:val="945"/>
        </w:trPr>
        <w:tc>
          <w:tcPr>
            <w:tcW w:w="2160" w:type="dxa"/>
            <w:tcBorders>
              <w:top w:val="single" w:sz="4" w:space="0" w:color="929292"/>
              <w:left w:val="nil"/>
              <w:bottom w:val="single" w:sz="4" w:space="0" w:color="929292"/>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i w:val="0"/>
                <w:color w:val="4494D1"/>
                <w:sz w:val="18"/>
                <w:u w:val="none"/>
              </w:rPr>
              <w:t>Review Feedback</w:t>
            </w:r>
          </w:p>
        </w:tc>
        <w:tc>
          <w:tcPr>
            <w:tcW w:w="8100" w:type="dxa"/>
            <w:tcBorders>
              <w:top w:val="single" w:sz="4" w:space="0" w:color="929292"/>
              <w:left w:val="nil"/>
              <w:bottom w:val="single" w:sz="4" w:space="0" w:color="929292"/>
              <w:right w:val="nil"/>
            </w:tcBorders>
            <w:tcMar>
              <w:top w:w="0" w:type="dxa"/>
              <w:left w:w="53" w:type="dxa"/>
              <w:bottom w:w="0" w:type="dxa"/>
              <w:right w:w="53" w:type="dxa"/>
            </w:tcMar>
            <w:vAlign w:val="center"/>
          </w:tcPr>
          <w:p>
            <w:pPr>
              <w:keepNext/>
              <w:pageBreakBefore w:val="0"/>
              <w:spacing w:before="0" w:after="0" w:line="300" w:lineRule="auto"/>
              <w:jc w:val="both"/>
            </w:pPr>
            <w:r>
              <w:rPr>
                <w:rFonts w:ascii="Arial" w:eastAsia="Arial" w:hAnsi="Arial" w:cs="Arial"/>
                <w:b w:val="0"/>
                <w:i w:val="0"/>
                <w:color w:val="000000"/>
                <w:sz w:val="18"/>
                <w:u w:val="none"/>
              </w:rPr>
              <w:t>Director feedback solicited from the formal self-evaluation process is discussed during Board and committee meetings and, where appropriate, addressed with individual directors and/or management.</w:t>
            </w:r>
          </w:p>
        </w:tc>
      </w:tr>
      <w:tr>
        <w:tblPrEx>
          <w:tblW w:w="10260" w:type="dxa"/>
          <w:tblInd w:w="0" w:type="dxa"/>
          <w:tblLayout w:type="fixed"/>
          <w:tblCellMar>
            <w:left w:w="108" w:type="dxa"/>
            <w:right w:w="108" w:type="dxa"/>
          </w:tblCellMar>
        </w:tblPrEx>
        <w:trPr>
          <w:cantSplit/>
          <w:trHeight w:hRule="exact" w:val="1440"/>
        </w:trPr>
        <w:tc>
          <w:tcPr>
            <w:tcW w:w="2160" w:type="dxa"/>
            <w:tcBorders>
              <w:top w:val="single" w:sz="4" w:space="0" w:color="929292"/>
              <w:left w:val="nil"/>
              <w:bottom w:val="single" w:sz="12" w:space="0" w:color="4494D1"/>
              <w:right w:val="nil"/>
            </w:tcBorders>
            <w:tcMar>
              <w:top w:w="0" w:type="dxa"/>
              <w:left w:w="53" w:type="dxa"/>
              <w:bottom w:w="0" w:type="dxa"/>
              <w:right w:w="53" w:type="dxa"/>
            </w:tcMar>
            <w:vAlign w:val="center"/>
          </w:tcPr>
          <w:p>
            <w:pPr>
              <w:pageBreakBefore w:val="0"/>
              <w:spacing w:before="0" w:after="0" w:line="240" w:lineRule="auto"/>
              <w:jc w:val="left"/>
            </w:pPr>
            <w:r>
              <w:rPr>
                <w:rFonts w:ascii="Arial" w:eastAsia="Arial" w:hAnsi="Arial" w:cs="Arial"/>
                <w:b/>
                <w:i w:val="0"/>
                <w:color w:val="4494D1"/>
                <w:sz w:val="18"/>
                <w:u w:val="none"/>
              </w:rPr>
              <w:t>Respond to Director Input</w:t>
            </w:r>
          </w:p>
        </w:tc>
        <w:tc>
          <w:tcPr>
            <w:tcW w:w="8100" w:type="dxa"/>
            <w:tcBorders>
              <w:top w:val="single" w:sz="4" w:space="0" w:color="929292"/>
              <w:left w:val="nil"/>
              <w:bottom w:val="single" w:sz="12" w:space="0" w:color="4494D1"/>
              <w:right w:val="nil"/>
            </w:tcBorders>
            <w:tcMar>
              <w:top w:w="0" w:type="dxa"/>
              <w:left w:w="53" w:type="dxa"/>
              <w:bottom w:w="0" w:type="dxa"/>
              <w:right w:w="53" w:type="dxa"/>
            </w:tcMar>
            <w:vAlign w:val="center"/>
          </w:tcPr>
          <w:p>
            <w:pPr>
              <w:pageBreakBefore w:val="0"/>
              <w:spacing w:before="0" w:after="0" w:line="240" w:lineRule="auto"/>
              <w:jc w:val="both"/>
            </w:pPr>
            <w:r>
              <w:rPr>
                <w:rFonts w:ascii="Arial" w:eastAsia="Arial" w:hAnsi="Arial" w:cs="Arial"/>
                <w:b w:val="0"/>
                <w:i w:val="0"/>
                <w:color w:val="000000"/>
                <w:sz w:val="18"/>
                <w:u w:val="none"/>
              </w:rPr>
              <w:t>In response to feedback from the evaluation process, our Board and committees work to improve the effectiveness of their policies, processes, and procedures. Recent examples include enhancements to meeting materials and agenda topics, committee responsibilities, committee reports to the Board, the Board evaluation process, director on-boarding, director continuing education, and management interaction.</w:t>
            </w:r>
          </w:p>
        </w:tc>
      </w:tr>
    </w:tbl>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sectPr>
          <w:headerReference w:type="default" r:id="rId125"/>
          <w:footerReference w:type="default" r:id="rId126"/>
          <w:type w:val="continuous"/>
          <w:pgSz w:w="12240" w:h="15840"/>
          <w:pgMar w:top="855" w:right="990" w:bottom="855" w:left="990" w:header="270" w:footer="270"/>
          <w:cols w:space="708"/>
        </w:sectPr>
      </w:pPr>
    </w:p>
    <w:p>
      <w:pPr>
        <w:keepNext w:val="0"/>
        <w:keepLines/>
        <w:pageBreakBefore w:val="0"/>
        <w:widowControl w:val="0"/>
        <w:numPr>
          <w:ilvl w:val="0"/>
          <w:numId w:val="0"/>
        </w:numPr>
        <w:spacing w:before="0" w:after="60" w:line="288" w:lineRule="auto"/>
        <w:ind w:left="0" w:right="0" w:firstLine="0"/>
        <w:jc w:val="left"/>
        <w:outlineLvl w:val="9"/>
        <w:rPr>
          <w:rFonts w:ascii="Arial" w:eastAsia="Arial" w:hAnsi="Arial" w:cs="Arial"/>
          <w:b/>
          <w:i w:val="0"/>
          <w:color w:val="4495D1"/>
          <w:sz w:val="24"/>
          <w:u w:val="none"/>
        </w:rPr>
      </w:pPr>
      <w:bookmarkStart w:id="40" w:name="Section43"/>
      <w:bookmarkEnd w:id="40"/>
    </w:p>
    <w:p>
      <w:pPr>
        <w:keepNext w:val="0"/>
        <w:keepLines/>
        <w:pageBreakBefore w:val="0"/>
        <w:widowControl w:val="0"/>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BOARD OVERSIGHT OF RISK MANAGEMENT</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
          <w:u w:val="none"/>
        </w:rPr>
        <w:sectPr>
          <w:headerReference w:type="default" r:id="rId127"/>
          <w:footerReference w:type="default" r:id="rId128"/>
          <w:pgSz w:w="12240" w:h="15840"/>
          <w:pgMar w:top="855" w:right="990" w:bottom="855" w:left="990" w:header="270" w:footer="270"/>
          <w:cols w:space="708"/>
        </w:sectPr>
      </w:pPr>
    </w:p>
    <w:p>
      <w:pPr>
        <w:keepNext w:val="0"/>
        <w:keepLines/>
        <w:pageBreakBefore w:val="0"/>
        <w:widowControl w:val="0"/>
        <w:numPr>
          <w:ilvl w:val="0"/>
          <w:numId w:val="0"/>
        </w:numPr>
        <w:spacing w:before="0" w:after="60" w:line="288" w:lineRule="auto"/>
        <w:ind w:left="0" w:right="0" w:firstLine="0"/>
        <w:jc w:val="left"/>
        <w:outlineLvl w:val="2"/>
        <w:rPr>
          <w:rFonts w:ascii="Arial" w:eastAsia="Arial" w:hAnsi="Arial" w:cs="Arial"/>
          <w:b/>
          <w:i w:val="0"/>
          <w:color w:val="171449"/>
          <w:sz w:val="24"/>
          <w:u w:val="none"/>
        </w:rPr>
      </w:pPr>
      <w:bookmarkStart w:id="41" w:name="Section44"/>
      <w:bookmarkEnd w:id="41"/>
      <w:r>
        <w:rPr>
          <w:rFonts w:ascii="Arial" w:eastAsia="Arial" w:hAnsi="Arial" w:cs="Arial"/>
          <w:b/>
          <w:i w:val="0"/>
          <w:color w:val="171449"/>
          <w:sz w:val="24"/>
          <w:u w:val="none"/>
        </w:rPr>
        <w:t>Risk Management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Inherent in the Board’s responsibilities is an understanding of and effective oversight over the various risks facing the Company. The Board does not view risk in isolation. The Board recognizes that it is neither possible nor prudent to eliminate all risk. Indeed, purposeful and appropriate risk taking is essential for the Company to be competitive on a global basis and to achieve the Company’s long-term strategic objectives. Ensuring appropriate governance structures, processes and procedures are in place to provide for effective risk management that is aligned with strategy and embedded throughout our operations is fundamental to the Board. This facilitates:</w:t>
      </w:r>
    </w:p>
    <w:p>
      <w:pPr>
        <w:keepNext w:val="0"/>
        <w:keepLines w:val="0"/>
        <w:pageBreakBefore w:val="0"/>
        <w:widowControl/>
        <w:numPr>
          <w:ilvl w:val="0"/>
          <w:numId w:val="178"/>
        </w:numPr>
        <w:spacing w:before="0" w:after="120" w:line="300" w:lineRule="auto"/>
        <w:ind w:left="720" w:right="0" w:hanging="360"/>
        <w:jc w:val="both"/>
        <w:outlineLvl w:val="9"/>
        <w:rPr>
          <w:rFonts w:ascii="Arial" w:eastAsia="Arial" w:hAnsi="Arial" w:cs="Arial"/>
          <w:b w:val="0"/>
          <w:i w:val="0"/>
          <w:color w:val="4494D1"/>
          <w:sz w:val="20"/>
          <w:u w:val="none"/>
        </w:rPr>
      </w:pPr>
      <w:r>
        <w:rPr>
          <w:rFonts w:ascii="Arial" w:eastAsia="Arial" w:hAnsi="Arial" w:cs="Arial"/>
          <w:b w:val="0"/>
          <w:i w:val="0"/>
          <w:sz w:val="20"/>
        </w:rPr>
        <w:t>understanding critical risks in the Company’s business and strategy;</w:t>
      </w:r>
    </w:p>
    <w:p>
      <w:pPr>
        <w:keepNext w:val="0"/>
        <w:keepLines w:val="0"/>
        <w:pageBreakBefore w:val="0"/>
        <w:widowControl/>
        <w:numPr>
          <w:ilvl w:val="0"/>
          <w:numId w:val="179"/>
        </w:numPr>
        <w:spacing w:before="0" w:after="120" w:line="300" w:lineRule="auto"/>
        <w:ind w:left="720" w:right="0" w:hanging="360"/>
        <w:jc w:val="both"/>
        <w:outlineLvl w:val="9"/>
        <w:rPr>
          <w:rFonts w:ascii="Arial" w:eastAsia="Arial" w:hAnsi="Arial" w:cs="Arial"/>
          <w:b w:val="0"/>
          <w:i w:val="0"/>
          <w:color w:val="4494D1"/>
          <w:sz w:val="20"/>
          <w:u w:val="none"/>
        </w:rPr>
      </w:pPr>
      <w:r>
        <w:rPr>
          <w:rFonts w:ascii="Arial" w:eastAsia="Arial" w:hAnsi="Arial" w:cs="Arial"/>
          <w:b w:val="0"/>
          <w:i w:val="0"/>
          <w:sz w:val="20"/>
        </w:rPr>
        <w:t>allocating responsibilities for risk oversight among the full Board and its committees;</w:t>
      </w:r>
    </w:p>
    <w:p>
      <w:pPr>
        <w:keepNext w:val="0"/>
        <w:keepLines w:val="0"/>
        <w:pageBreakBefore w:val="0"/>
        <w:widowControl/>
        <w:numPr>
          <w:ilvl w:val="0"/>
          <w:numId w:val="180"/>
        </w:numPr>
        <w:spacing w:before="0" w:after="120" w:line="300" w:lineRule="auto"/>
        <w:ind w:left="720" w:right="0" w:hanging="360"/>
        <w:jc w:val="both"/>
        <w:outlineLvl w:val="9"/>
        <w:rPr>
          <w:rFonts w:ascii="Arial" w:eastAsia="Arial" w:hAnsi="Arial" w:cs="Arial"/>
          <w:b w:val="0"/>
          <w:i w:val="0"/>
          <w:color w:val="4494D1"/>
          <w:sz w:val="20"/>
          <w:u w:val="none"/>
        </w:rPr>
      </w:pPr>
      <w:r>
        <w:rPr>
          <w:rFonts w:ascii="Arial" w:eastAsia="Arial" w:hAnsi="Arial" w:cs="Arial"/>
          <w:b w:val="0"/>
          <w:i w:val="0"/>
          <w:sz w:val="20"/>
        </w:rPr>
        <w:t>evaluating the Company’s risk management processes and whether they are functioning adequately;</w:t>
      </w:r>
    </w:p>
    <w:p>
      <w:pPr>
        <w:keepNext w:val="0"/>
        <w:keepLines w:val="0"/>
        <w:pageBreakBefore w:val="0"/>
        <w:widowControl/>
        <w:numPr>
          <w:ilvl w:val="0"/>
          <w:numId w:val="181"/>
        </w:numPr>
        <w:spacing w:before="0" w:after="120" w:line="300" w:lineRule="auto"/>
        <w:ind w:left="720" w:right="0" w:hanging="360"/>
        <w:jc w:val="both"/>
        <w:outlineLvl w:val="9"/>
        <w:rPr>
          <w:rFonts w:ascii="Arial" w:eastAsia="Arial" w:hAnsi="Arial" w:cs="Arial"/>
          <w:b w:val="0"/>
          <w:i w:val="0"/>
          <w:color w:val="4494D1"/>
          <w:sz w:val="20"/>
          <w:u w:val="none"/>
        </w:rPr>
      </w:pPr>
      <w:r>
        <w:rPr>
          <w:rFonts w:ascii="Arial" w:eastAsia="Arial" w:hAnsi="Arial" w:cs="Arial"/>
          <w:b w:val="0"/>
          <w:i w:val="0"/>
          <w:sz w:val="20"/>
        </w:rPr>
        <w:t>facilitating open communication between management and Directors; and</w:t>
      </w:r>
    </w:p>
    <w:p>
      <w:pPr>
        <w:keepNext w:val="0"/>
        <w:keepLines w:val="0"/>
        <w:pageBreakBefore w:val="0"/>
        <w:widowControl/>
        <w:numPr>
          <w:ilvl w:val="0"/>
          <w:numId w:val="182"/>
        </w:numPr>
        <w:spacing w:before="0" w:after="120" w:line="300" w:lineRule="auto"/>
        <w:ind w:left="720" w:right="0" w:hanging="360"/>
        <w:jc w:val="both"/>
        <w:outlineLvl w:val="9"/>
        <w:rPr>
          <w:rFonts w:ascii="Arial" w:eastAsia="Arial" w:hAnsi="Arial" w:cs="Arial"/>
          <w:b w:val="0"/>
          <w:i w:val="0"/>
          <w:color w:val="4494D1"/>
          <w:sz w:val="20"/>
          <w:u w:val="none"/>
        </w:rPr>
      </w:pPr>
      <w:r>
        <w:rPr>
          <w:rFonts w:ascii="Arial" w:eastAsia="Arial" w:hAnsi="Arial" w:cs="Arial"/>
          <w:b w:val="0"/>
          <w:i w:val="0"/>
          <w:sz w:val="20"/>
        </w:rPr>
        <w:t>fostering an appropriate culture of integrity and risk awareness.</w:t>
      </w:r>
    </w:p>
    <w:p>
      <w:pPr>
        <w:keepNext w:val="0"/>
        <w:keepLines w:val="0"/>
        <w:pageBreakBefore w:val="0"/>
        <w:widowControl/>
        <w:numPr>
          <w:ilvl w:val="0"/>
          <w:numId w:val="182"/>
        </w:numPr>
        <w:spacing w:before="0" w:after="120" w:line="300" w:lineRule="auto"/>
        <w:ind w:left="720" w:right="0" w:hanging="360"/>
        <w:jc w:val="both"/>
        <w:outlineLvl w:val="9"/>
        <w:sectPr>
          <w:headerReference w:type="default" r:id="rId129"/>
          <w:footerReference w:type="default" r:id="rId130"/>
          <w:type w:val="continuous"/>
          <w:pgSz w:w="12240" w:h="15840"/>
          <w:pgMar w:top="855" w:right="990" w:bottom="855" w:left="990" w:header="27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0"/>
          <w:u w:val="none"/>
        </w:rPr>
      </w:pPr>
      <w:bookmarkStart w:id="42" w:name="Section45"/>
      <w:bookmarkEnd w:id="42"/>
    </w:p>
    <w:p>
      <w:pPr>
        <w:keepNext w:val="0"/>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Our Risk Governance Documents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We are committed to responsible and rigorous risk management and through a comprehensive approach with a defined Enterprise Risk Management Framework ("ERM Framework") and Risk Appetite Framework (collectively, our "ERM Program"). Management and the Board regularly review the ERM Framework and Risk Appetite Framework to promote continuous enhancement and improvement. The ERM Framework sets forth roles, responsibilities, and accountability for the management of risk and describes how our Board oversees the establishment of our risk appetite, including both quantitative limits and qualitative statements and objectives for our activities. This framework of objective, independent Board oversight and management’s robust risk management better enables us to serve our clients, deliver long-term value for our shareholders, and achieve our strategic objectives.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Our ERM Framework serves as the foundation for consistent and effective risk management. It outlines the key risks that our Company faces: strategic risk, capital adequacy risk, acquisition/transaction risk, reserving risk, investment risk, liquidity risk, foreign exchange risk, credit/counterparty risk, operational risk, regulatory risk, tax risk, and ESG risk. It describes components of our risk management approach, including our culture of effectively managing risk, risk appetite, risk management processes, and risk management governance structure.</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Our Risk Appetite Framework defines the aggregate levels and types of risk our Board and management believe appropriate to achieve our Company’s strategic objectives and business plans. </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131"/>
          <w:footerReference w:type="default" r:id="rId132"/>
          <w:type w:val="continuous"/>
          <w:pgSz w:w="12240" w:h="15840"/>
          <w:pgMar w:top="855" w:right="990" w:bottom="855" w:left="990" w:header="270" w:footer="270"/>
          <w:cols w:space="708"/>
        </w:sectPr>
      </w:pPr>
    </w:p>
    <w:p>
      <w:pPr>
        <w:keepNext/>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0"/>
          <w:u w:val="none"/>
        </w:rPr>
      </w:pPr>
      <w:bookmarkStart w:id="43" w:name="Section46"/>
      <w:bookmarkEnd w:id="43"/>
    </w:p>
    <w:p>
      <w:pPr>
        <w:keepNext w:val="0"/>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Our Risk Governance Structure</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 Board, with the assistance of its committees, reviews and oversees our ERM Program, including management's implementation of the same. Our risk governance structure is designed to complement our Board’s commitment to maintaining an objective, independent Board and committee leadership structure, and to fostering integrity over risk management throughout our Company.</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A summary of our risk governance structure is set out below. Further details of our Company’s risk management policies, practices and framework are described in "Item. 1 Business - Enterprise Risk Management" of our Annual Report on Form 10-K for the year ended </w:t>
      </w:r>
      <w:r>
        <w:rPr>
          <w:rFonts w:ascii="Arial" w:eastAsia="Arial" w:hAnsi="Arial" w:cs="Arial"/>
          <w:b w:val="0"/>
          <w:i w:val="0"/>
          <w:color w:val="000000"/>
          <w:sz w:val="20"/>
          <w:u w:val="none"/>
        </w:rPr>
        <w:t>December 31, 2023</w:t>
      </w:r>
      <w:r>
        <w:rPr>
          <w:rFonts w:ascii="Arial" w:eastAsia="Arial" w:hAnsi="Arial" w:cs="Arial"/>
          <w:b w:val="0"/>
          <w:i w:val="0"/>
          <w:sz w:val="20"/>
        </w:rPr>
        <w: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0" w:line="300" w:lineRule="auto"/>
        <w:ind w:left="0" w:right="0" w:firstLine="0"/>
        <w:jc w:val="both"/>
        <w:outlineLvl w:val="9"/>
        <w:rPr>
          <w:rFonts w:ascii="Arial" w:eastAsia="Arial" w:hAnsi="Arial" w:cs="Arial"/>
          <w:b w:val="0"/>
          <w:i w:val="0"/>
          <w:sz w:val="20"/>
        </w:rPr>
      </w:pP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20"/>
        <w:gridCol w:w="585"/>
        <w:gridCol w:w="565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20"/>
        </w:trPr>
        <w:tc>
          <w:tcPr>
            <w:tcW w:w="4020" w:type="dxa"/>
            <w:tcBorders>
              <w:top w:val="nil"/>
              <w:left w:val="nil"/>
              <w:bottom w:val="single" w:sz="12" w:space="0" w:color="4494D1"/>
              <w:right w:val="nil"/>
            </w:tcBorders>
            <w:tcMar>
              <w:top w:w="0" w:type="dxa"/>
              <w:left w:w="0" w:type="dxa"/>
              <w:bottom w:w="0" w:type="dxa"/>
              <w:right w:w="0" w:type="dxa"/>
            </w:tcMar>
            <w:vAlign w:val="bottom"/>
          </w:tcPr>
          <w:p>
            <w:pPr>
              <w:keepNext/>
              <w:pageBreakBefore w:val="0"/>
              <w:spacing w:before="0" w:after="0"/>
            </w:pPr>
          </w:p>
        </w:tc>
        <w:tc>
          <w:tcPr>
            <w:tcW w:w="585" w:type="dxa"/>
            <w:tcBorders>
              <w:top w:val="nil"/>
              <w:left w:val="nil"/>
              <w:bottom w:val="single" w:sz="12" w:space="0" w:color="4494D1"/>
              <w:right w:val="nil"/>
            </w:tcBorders>
            <w:tcMar>
              <w:top w:w="0" w:type="dxa"/>
              <w:left w:w="0" w:type="dxa"/>
              <w:bottom w:w="0" w:type="dxa"/>
              <w:right w:w="0" w:type="dxa"/>
            </w:tcMar>
            <w:vAlign w:val="bottom"/>
          </w:tcPr>
          <w:p>
            <w:pPr>
              <w:keepNext/>
              <w:pageBreakBefore w:val="0"/>
              <w:spacing w:before="0" w:after="0"/>
            </w:pPr>
          </w:p>
        </w:tc>
        <w:tc>
          <w:tcPr>
            <w:tcW w:w="5655" w:type="dxa"/>
            <w:tcBorders>
              <w:top w:val="nil"/>
              <w:left w:val="nil"/>
              <w:bottom w:val="single" w:sz="12" w:space="0" w:color="4494D1"/>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60"/>
        </w:trPr>
        <w:tc>
          <w:tcPr>
            <w:tcW w:w="4020"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58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23" w:after="30" w:line="240" w:lineRule="auto"/>
              <w:ind w:left="0" w:right="0" w:firstLine="0"/>
              <w:jc w:val="center"/>
              <w:outlineLvl w:val="9"/>
              <w:rPr>
                <w:rFonts w:ascii="Wingdings 3" w:eastAsia="Wingdings 3" w:hAnsi="Wingdings 3" w:cs="Wingdings 3"/>
                <w:b w:val="0"/>
                <w:i w:val="0"/>
                <w:color w:val="4494D1"/>
                <w:sz w:val="40"/>
                <w:u w:val="none"/>
              </w:rPr>
            </w:pPr>
            <w:r>
              <w:pict>
                <v:shape id="_x0000_i1202" type="#_x0000_t75" style="width:16.5pt;height:16.5pt">
                  <v:imagedata r:id="rId133" o:title=""/>
                  <o:lock v:ext="edit" aspectratio="t"/>
                </v:shape>
              </w:pict>
            </w:r>
          </w:p>
        </w:tc>
        <w:tc>
          <w:tcPr>
            <w:tcW w:w="5655"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895"/>
        </w:trPr>
        <w:tc>
          <w:tcPr>
            <w:tcW w:w="4020"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0" w:line="240" w:lineRule="auto"/>
              <w:ind w:left="0" w:right="0" w:firstLine="0"/>
              <w:jc w:val="left"/>
              <w:outlineLvl w:val="9"/>
              <w:rPr>
                <w:rFonts w:ascii="Arial" w:eastAsia="Arial" w:hAnsi="Arial" w:cs="Arial"/>
                <w:b w:val="0"/>
                <w:i w:val="0"/>
                <w:color w:val="4494D1"/>
                <w:sz w:val="24"/>
                <w:u w:val="none"/>
              </w:rPr>
            </w:pPr>
            <w:r>
              <w:rPr>
                <w:rFonts w:ascii="Arial" w:eastAsia="Arial" w:hAnsi="Arial" w:cs="Arial"/>
                <w:b w:val="0"/>
                <w:i w:val="0"/>
                <w:color w:val="4494D1"/>
                <w:sz w:val="24"/>
                <w:u w:val="none"/>
              </w:rPr>
              <w:t>Board of Directors</w:t>
            </w:r>
          </w:p>
          <w:p>
            <w:pPr>
              <w:pageBreakBefore w:val="0"/>
              <w:numPr>
                <w:ilvl w:val="0"/>
                <w:numId w:val="0"/>
              </w:numPr>
              <w:spacing w:before="0" w:after="0" w:line="240" w:lineRule="auto"/>
              <w:ind w:left="0" w:right="0" w:firstLine="0"/>
              <w:jc w:val="left"/>
              <w:outlineLvl w:val="9"/>
              <w:rPr>
                <w:rFonts w:ascii="Arial" w:eastAsia="Arial" w:hAnsi="Arial" w:cs="Arial"/>
                <w:b w:val="0"/>
                <w:i w:val="0"/>
                <w:sz w:val="20"/>
              </w:rPr>
            </w:pPr>
          </w:p>
          <w:p>
            <w:pPr>
              <w:pageBreakBefore w:val="0"/>
              <w:numPr>
                <w:ilvl w:val="0"/>
                <w:numId w:val="0"/>
              </w:numPr>
              <w:spacing w:before="0" w:after="0" w:line="240" w:lineRule="auto"/>
              <w:ind w:left="0" w:right="0" w:firstLine="0"/>
              <w:jc w:val="both"/>
              <w:outlineLvl w:val="9"/>
              <w:rPr>
                <w:rFonts w:ascii="Arial" w:eastAsia="Arial" w:hAnsi="Arial" w:cs="Arial"/>
                <w:b w:val="0"/>
                <w:i w:val="0"/>
                <w:sz w:val="18"/>
              </w:rPr>
            </w:pPr>
            <w:r>
              <w:rPr>
                <w:rFonts w:ascii="Arial" w:eastAsia="Arial" w:hAnsi="Arial" w:cs="Arial"/>
                <w:b w:val="0"/>
                <w:i w:val="0"/>
                <w:sz w:val="18"/>
              </w:rPr>
              <w:t>Our Board provides objective, independent oversight of risk and:</w:t>
            </w:r>
          </w:p>
          <w:p>
            <w:pPr>
              <w:pageBreakBefore w:val="0"/>
              <w:numPr>
                <w:ilvl w:val="0"/>
                <w:numId w:val="0"/>
              </w:numPr>
              <w:spacing w:before="0" w:after="0" w:line="240" w:lineRule="auto"/>
              <w:ind w:left="0" w:right="0" w:firstLine="0"/>
              <w:jc w:val="both"/>
              <w:outlineLvl w:val="9"/>
              <w:rPr>
                <w:rFonts w:ascii="Arial" w:eastAsia="Arial" w:hAnsi="Arial" w:cs="Arial"/>
                <w:b w:val="0"/>
                <w:i w:val="0"/>
                <w:sz w:val="18"/>
              </w:rPr>
            </w:pPr>
          </w:p>
          <w:p>
            <w:pPr>
              <w:pageBreakBefore w:val="0"/>
              <w:numPr>
                <w:ilvl w:val="0"/>
                <w:numId w:val="183"/>
              </w:numPr>
              <w:spacing w:before="0" w:after="0" w:line="240" w:lineRule="auto"/>
              <w:ind w:left="270" w:right="0" w:hanging="270"/>
              <w:jc w:val="both"/>
              <w:outlineLvl w:val="9"/>
              <w:rPr>
                <w:rFonts w:ascii="Arial" w:eastAsia="Arial" w:hAnsi="Arial" w:cs="Arial"/>
                <w:b w:val="0"/>
                <w:i w:val="0"/>
                <w:color w:val="4494D1"/>
                <w:sz w:val="18"/>
                <w:u w:val="none"/>
              </w:rPr>
            </w:pPr>
            <w:r>
              <w:rPr>
                <w:rFonts w:ascii="Arial" w:eastAsia="Arial" w:hAnsi="Arial" w:cs="Arial"/>
                <w:b w:val="0"/>
                <w:i w:val="0"/>
                <w:color w:val="4494D1"/>
                <w:sz w:val="18"/>
                <w:u w:val="none"/>
              </w:rPr>
              <w:t>Receives regular updates from our Risk Committee and other Board committees,</w:t>
            </w:r>
            <w:r>
              <w:rPr>
                <w:rFonts w:ascii="Arial" w:eastAsia="Arial" w:hAnsi="Arial" w:cs="Arial"/>
                <w:b w:val="0"/>
                <w:i w:val="0"/>
                <w:sz w:val="18"/>
              </w:rPr>
              <w:t xml:space="preserve"> providing our Board with integrated, thorough insight about how our company manages risk.</w:t>
            </w:r>
          </w:p>
          <w:p>
            <w:pPr>
              <w:pageBreakBefore w:val="0"/>
              <w:numPr>
                <w:ilvl w:val="0"/>
                <w:numId w:val="0"/>
              </w:numPr>
              <w:spacing w:before="0" w:after="0" w:line="240" w:lineRule="auto"/>
              <w:ind w:left="270" w:right="0" w:hanging="270"/>
              <w:jc w:val="both"/>
              <w:outlineLvl w:val="9"/>
              <w:rPr>
                <w:rFonts w:ascii="Arial" w:eastAsia="Arial" w:hAnsi="Arial" w:cs="Arial"/>
                <w:b w:val="0"/>
                <w:i w:val="0"/>
                <w:sz w:val="18"/>
              </w:rPr>
            </w:pPr>
          </w:p>
          <w:p>
            <w:pPr>
              <w:pageBreakBefore w:val="0"/>
              <w:numPr>
                <w:ilvl w:val="0"/>
                <w:numId w:val="184"/>
              </w:numPr>
              <w:spacing w:before="0" w:after="0" w:line="240" w:lineRule="auto"/>
              <w:ind w:left="270" w:right="0" w:hanging="270"/>
              <w:jc w:val="both"/>
              <w:outlineLvl w:val="9"/>
              <w:rPr>
                <w:rFonts w:ascii="Arial" w:eastAsia="Arial" w:hAnsi="Arial" w:cs="Arial"/>
                <w:b w:val="0"/>
                <w:i w:val="0"/>
                <w:color w:val="4494D1"/>
                <w:sz w:val="14"/>
                <w:u w:val="none"/>
              </w:rPr>
            </w:pPr>
            <w:r>
              <w:rPr>
                <w:rFonts w:ascii="Arial" w:eastAsia="Arial" w:hAnsi="Arial" w:cs="Arial"/>
                <w:b w:val="0"/>
                <w:i w:val="0"/>
                <w:color w:val="4494D1"/>
                <w:sz w:val="18"/>
                <w:u w:val="none"/>
              </w:rPr>
              <w:t>Receives regular risk reporting from management</w:t>
            </w:r>
            <w:r>
              <w:rPr>
                <w:rFonts w:ascii="Arial" w:eastAsia="Arial" w:hAnsi="Arial" w:cs="Arial"/>
                <w:b w:val="0"/>
                <w:i w:val="0"/>
                <w:sz w:val="18"/>
              </w:rPr>
              <w:t xml:space="preserve"> including a report that provides updates on how key and emerging risks are being identified, assessed and mitigated. This includes comprehensive independent risk reviews of strategic initiatives (e.g. acquisitions).</w:t>
            </w:r>
          </w:p>
          <w:p>
            <w:pPr>
              <w:pageBreakBefore w:val="0"/>
              <w:numPr>
                <w:ilvl w:val="0"/>
                <w:numId w:val="0"/>
              </w:numPr>
              <w:spacing w:before="0" w:after="0" w:line="240" w:lineRule="auto"/>
              <w:ind w:left="270" w:right="0" w:hanging="270"/>
              <w:jc w:val="both"/>
              <w:outlineLvl w:val="9"/>
              <w:rPr>
                <w:rFonts w:ascii="Arial" w:eastAsia="Arial" w:hAnsi="Arial" w:cs="Arial"/>
                <w:b w:val="0"/>
                <w:i w:val="0"/>
                <w:sz w:val="18"/>
              </w:rPr>
            </w:pPr>
          </w:p>
          <w:p>
            <w:pPr>
              <w:pageBreakBefore w:val="0"/>
              <w:numPr>
                <w:ilvl w:val="0"/>
                <w:numId w:val="185"/>
              </w:numPr>
              <w:spacing w:before="0" w:after="0" w:line="240" w:lineRule="auto"/>
              <w:ind w:left="270" w:right="0" w:hanging="270"/>
              <w:jc w:val="both"/>
              <w:outlineLvl w:val="9"/>
              <w:rPr>
                <w:rFonts w:ascii="Arial" w:eastAsia="Arial" w:hAnsi="Arial" w:cs="Arial"/>
                <w:b w:val="0"/>
                <w:i w:val="0"/>
                <w:color w:val="4494D1"/>
                <w:sz w:val="18"/>
                <w:u w:val="none"/>
              </w:rPr>
            </w:pPr>
            <w:r>
              <w:rPr>
                <w:rFonts w:ascii="Arial" w:eastAsia="Arial" w:hAnsi="Arial" w:cs="Arial"/>
                <w:b w:val="0"/>
                <w:i w:val="0"/>
                <w:color w:val="4494D1"/>
                <w:sz w:val="18"/>
                <w:u w:val="none"/>
              </w:rPr>
              <w:t>Periodically holds stand-alone sessions at (and between) Board meetings</w:t>
            </w:r>
            <w:r>
              <w:rPr>
                <w:rFonts w:ascii="Arial" w:eastAsia="Arial" w:hAnsi="Arial" w:cs="Arial"/>
                <w:b w:val="0"/>
                <w:i w:val="0"/>
                <w:sz w:val="18"/>
              </w:rPr>
              <w:t xml:space="preserve"> to discuss the risks that are considered prevailing or urgent, including those identified in management’s report on key risks. Examples of key risk stand-alone discussion topics include risks related to  information security, cybersecurity, sustainability, and human capital management (including diversity, equity and inclusion).</w:t>
            </w:r>
          </w:p>
          <w:p>
            <w:pPr>
              <w:pageBreakBefore w:val="0"/>
              <w:numPr>
                <w:ilvl w:val="0"/>
                <w:numId w:val="0"/>
              </w:numPr>
              <w:spacing w:before="0" w:after="0" w:line="240" w:lineRule="auto"/>
              <w:ind w:left="270" w:right="0" w:hanging="270"/>
              <w:jc w:val="both"/>
              <w:outlineLvl w:val="9"/>
              <w:rPr>
                <w:rFonts w:ascii="Arial" w:eastAsia="Arial" w:hAnsi="Arial" w:cs="Arial"/>
                <w:b w:val="0"/>
                <w:i w:val="0"/>
                <w:sz w:val="18"/>
              </w:rPr>
            </w:pPr>
          </w:p>
          <w:p>
            <w:pPr>
              <w:pageBreakBefore w:val="0"/>
              <w:numPr>
                <w:ilvl w:val="0"/>
                <w:numId w:val="186"/>
              </w:numPr>
              <w:spacing w:before="0" w:after="0" w:line="240" w:lineRule="auto"/>
              <w:ind w:left="270" w:right="0" w:hanging="270"/>
              <w:jc w:val="both"/>
              <w:outlineLvl w:val="9"/>
              <w:rPr>
                <w:rFonts w:ascii="Arial" w:eastAsia="Arial" w:hAnsi="Arial" w:cs="Arial"/>
                <w:b w:val="0"/>
                <w:i w:val="0"/>
                <w:color w:val="4494D1"/>
                <w:sz w:val="18"/>
                <w:u w:val="none"/>
              </w:rPr>
            </w:pPr>
            <w:r>
              <w:rPr>
                <w:rFonts w:ascii="Arial" w:eastAsia="Arial" w:hAnsi="Arial" w:cs="Arial"/>
                <w:b w:val="0"/>
                <w:i w:val="0"/>
                <w:color w:val="4494D1"/>
                <w:sz w:val="18"/>
                <w:u w:val="none"/>
              </w:rPr>
              <w:t>Oversees senior management’s development and implementation of our ERM Framework,</w:t>
            </w:r>
            <w:r>
              <w:rPr>
                <w:rFonts w:ascii="Arial" w:eastAsia="Arial" w:hAnsi="Arial" w:cs="Arial"/>
                <w:b w:val="0"/>
                <w:i w:val="0"/>
                <w:sz w:val="18"/>
              </w:rPr>
              <w:t xml:space="preserve"> our Risk Appetite Framework, and our capital, strategic, and financial operating plans.</w:t>
            </w:r>
          </w:p>
          <w:p>
            <w:pPr>
              <w:pageBreakBefore w:val="0"/>
              <w:numPr>
                <w:ilvl w:val="0"/>
                <w:numId w:val="0"/>
              </w:numPr>
              <w:spacing w:before="0" w:after="0" w:line="240" w:lineRule="auto"/>
              <w:ind w:left="270" w:right="0" w:hanging="270"/>
              <w:jc w:val="both"/>
              <w:outlineLvl w:val="9"/>
              <w:rPr>
                <w:rFonts w:ascii="Arial" w:eastAsia="Arial" w:hAnsi="Arial" w:cs="Arial"/>
                <w:b w:val="0"/>
                <w:i w:val="0"/>
                <w:sz w:val="18"/>
              </w:rPr>
            </w:pPr>
          </w:p>
          <w:p>
            <w:pPr>
              <w:pageBreakBefore w:val="0"/>
              <w:numPr>
                <w:ilvl w:val="0"/>
                <w:numId w:val="187"/>
              </w:numPr>
              <w:spacing w:before="0" w:after="0" w:line="240" w:lineRule="auto"/>
              <w:ind w:left="270" w:right="0" w:hanging="270"/>
              <w:jc w:val="both"/>
              <w:outlineLvl w:val="9"/>
              <w:rPr>
                <w:rFonts w:ascii="Arial" w:eastAsia="Arial" w:hAnsi="Arial" w:cs="Arial"/>
                <w:b w:val="0"/>
                <w:i w:val="0"/>
                <w:color w:val="4494D1"/>
                <w:sz w:val="18"/>
                <w:u w:val="none"/>
              </w:rPr>
            </w:pPr>
            <w:r>
              <w:rPr>
                <w:rFonts w:ascii="Arial" w:eastAsia="Arial" w:hAnsi="Arial" w:cs="Arial"/>
                <w:b w:val="0"/>
                <w:i w:val="0"/>
                <w:color w:val="4494D1"/>
                <w:sz w:val="18"/>
                <w:u w:val="none"/>
              </w:rPr>
              <w:t>Oversees directly and through committees our financial performance, execution against capital, strategic, and financial operating plans,</w:t>
            </w:r>
            <w:r>
              <w:rPr>
                <w:rFonts w:ascii="Arial" w:eastAsia="Arial" w:hAnsi="Arial" w:cs="Arial"/>
                <w:b w:val="0"/>
                <w:i w:val="0"/>
                <w:sz w:val="18"/>
              </w:rPr>
              <w:t xml:space="preserve"> compliance with risk appetite parameters, and the adequacy of internal controls, each of which our management monitors.</w:t>
            </w:r>
          </w:p>
          <w:p>
            <w:pPr>
              <w:pageBreakBefore w:val="0"/>
              <w:numPr>
                <w:ilvl w:val="0"/>
                <w:numId w:val="0"/>
              </w:numPr>
              <w:spacing w:before="0" w:after="0" w:line="240" w:lineRule="auto"/>
              <w:ind w:left="-450" w:right="0" w:firstLine="90"/>
              <w:jc w:val="both"/>
              <w:outlineLvl w:val="9"/>
              <w:rPr>
                <w:rFonts w:ascii="Arial" w:eastAsia="Arial" w:hAnsi="Arial" w:cs="Arial"/>
                <w:b w:val="0"/>
                <w:i w:val="0"/>
                <w:sz w:val="18"/>
              </w:rPr>
            </w:pPr>
          </w:p>
          <w:p>
            <w:pPr>
              <w:pageBreakBefore w:val="0"/>
              <w:numPr>
                <w:ilvl w:val="0"/>
                <w:numId w:val="188"/>
              </w:numPr>
              <w:spacing w:before="0" w:after="0" w:line="240" w:lineRule="auto"/>
              <w:ind w:left="270" w:right="0" w:hanging="270"/>
              <w:jc w:val="both"/>
              <w:outlineLvl w:val="9"/>
              <w:rPr>
                <w:rFonts w:ascii="Arial" w:eastAsia="Arial" w:hAnsi="Arial" w:cs="Arial"/>
                <w:b w:val="0"/>
                <w:i w:val="0"/>
                <w:color w:val="4494D1"/>
                <w:sz w:val="18"/>
                <w:u w:val="none"/>
              </w:rPr>
            </w:pPr>
            <w:r>
              <w:rPr>
                <w:rFonts w:ascii="Arial" w:eastAsia="Arial" w:hAnsi="Arial" w:cs="Arial"/>
                <w:b w:val="0"/>
                <w:i w:val="0"/>
                <w:color w:val="4494D1"/>
                <w:sz w:val="18"/>
                <w:u w:val="none"/>
              </w:rPr>
              <w:t>Directly oversees legal and compliance risk,</w:t>
            </w:r>
            <w:r>
              <w:rPr>
                <w:rFonts w:ascii="Arial" w:eastAsia="Arial" w:hAnsi="Arial" w:cs="Arial"/>
                <w:b w:val="0"/>
                <w:i w:val="0"/>
                <w:sz w:val="18"/>
              </w:rPr>
              <w:t xml:space="preserve"> and regularly receives updates from management on legal and compliance risk-related matters such as those arising from litigation.</w:t>
            </w:r>
          </w:p>
          <w:p>
            <w:pPr>
              <w:pageBreakBefore w:val="0"/>
              <w:numPr>
                <w:ilvl w:val="0"/>
                <w:numId w:val="0"/>
              </w:numPr>
              <w:spacing w:before="0" w:after="0" w:line="240" w:lineRule="auto"/>
              <w:ind w:left="-450" w:right="0" w:firstLine="90"/>
              <w:jc w:val="both"/>
              <w:outlineLvl w:val="9"/>
              <w:rPr>
                <w:rFonts w:ascii="Arial" w:eastAsia="Arial" w:hAnsi="Arial" w:cs="Arial"/>
                <w:b w:val="0"/>
                <w:i w:val="0"/>
                <w:color w:val="4494D1"/>
                <w:sz w:val="18"/>
                <w:u w:val="none"/>
              </w:rPr>
            </w:pPr>
          </w:p>
          <w:p>
            <w:pPr>
              <w:pageBreakBefore w:val="0"/>
              <w:numPr>
                <w:ilvl w:val="0"/>
                <w:numId w:val="189"/>
              </w:numPr>
              <w:spacing w:before="0" w:after="0" w:line="240" w:lineRule="auto"/>
              <w:ind w:left="270" w:right="0" w:hanging="270"/>
              <w:jc w:val="both"/>
              <w:outlineLvl w:val="9"/>
              <w:rPr>
                <w:rFonts w:ascii="Arial" w:eastAsia="Arial" w:hAnsi="Arial" w:cs="Arial"/>
                <w:b w:val="0"/>
                <w:i w:val="0"/>
                <w:color w:val="4494D1"/>
                <w:sz w:val="18"/>
                <w:u w:val="none"/>
              </w:rPr>
            </w:pPr>
            <w:r>
              <w:rPr>
                <w:rFonts w:ascii="Arial" w:eastAsia="Arial" w:hAnsi="Arial" w:cs="Arial"/>
                <w:b w:val="0"/>
                <w:i w:val="0"/>
                <w:color w:val="4494D1"/>
                <w:sz w:val="18"/>
                <w:u w:val="none"/>
              </w:rPr>
              <w:t xml:space="preserve">Considers risk when reviewing material transactions </w:t>
            </w:r>
            <w:r>
              <w:rPr>
                <w:rFonts w:ascii="Arial" w:eastAsia="Arial" w:hAnsi="Arial" w:cs="Arial"/>
                <w:b w:val="0"/>
                <w:i w:val="0"/>
                <w:sz w:val="18"/>
              </w:rPr>
              <w:t>and in connection with strategic planning and other matters.</w:t>
            </w:r>
          </w:p>
          <w:p>
            <w:pPr>
              <w:pageBreakBefore w:val="0"/>
              <w:numPr>
                <w:ilvl w:val="0"/>
                <w:numId w:val="0"/>
              </w:numPr>
              <w:spacing w:before="0" w:after="0" w:line="240" w:lineRule="auto"/>
              <w:ind w:left="-450" w:right="0" w:firstLine="90"/>
              <w:jc w:val="both"/>
              <w:outlineLvl w:val="9"/>
              <w:rPr>
                <w:rFonts w:ascii="Arial" w:eastAsia="Arial" w:hAnsi="Arial" w:cs="Arial"/>
                <w:b w:val="0"/>
                <w:i w:val="0"/>
                <w:sz w:val="18"/>
              </w:rPr>
            </w:pPr>
          </w:p>
          <w:p>
            <w:pPr>
              <w:pageBreakBefore w:val="0"/>
              <w:numPr>
                <w:ilvl w:val="0"/>
                <w:numId w:val="190"/>
              </w:numPr>
              <w:spacing w:before="0" w:after="30" w:line="240" w:lineRule="auto"/>
              <w:ind w:left="270" w:right="0" w:hanging="270"/>
              <w:jc w:val="both"/>
              <w:outlineLvl w:val="9"/>
              <w:rPr>
                <w:rFonts w:ascii="Arial" w:eastAsia="Arial" w:hAnsi="Arial" w:cs="Arial"/>
                <w:b w:val="0"/>
                <w:i w:val="0"/>
                <w:color w:val="4494D1"/>
                <w:sz w:val="18"/>
                <w:u w:val="none"/>
              </w:rPr>
            </w:pPr>
            <w:r>
              <w:rPr>
                <w:rFonts w:ascii="Arial" w:eastAsia="Arial" w:hAnsi="Arial" w:cs="Arial"/>
                <w:b w:val="0"/>
                <w:i w:val="0"/>
                <w:color w:val="4494D1"/>
                <w:sz w:val="18"/>
                <w:u w:val="none"/>
              </w:rPr>
              <w:t>Reviews and approves our ERM Framework and Risk Appetite Framework annually</w:t>
            </w:r>
            <w:r>
              <w:rPr>
                <w:rFonts w:ascii="Arial" w:eastAsia="Arial" w:hAnsi="Arial" w:cs="Arial"/>
                <w:b w:val="0"/>
                <w:i w:val="0"/>
                <w:sz w:val="18"/>
              </w:rPr>
              <w:t xml:space="preserve"> or more frequently in connection with material changes in the Company's risk profile.</w:t>
            </w:r>
          </w:p>
        </w:tc>
        <w:tc>
          <w:tcPr>
            <w:tcW w:w="585" w:type="dxa"/>
            <w:vMerge/>
            <w:tcBorders>
              <w:top w:val="nil"/>
              <w:left w:val="nil"/>
              <w:bottom w:val="nil"/>
              <w:right w:val="nil"/>
            </w:tcBorders>
          </w:tcPr>
          <w:p>
            <w:pPr>
              <w:keepNext/>
              <w:pageBreakBefore w:val="0"/>
            </w:pPr>
          </w:p>
        </w:tc>
        <w:tc>
          <w:tcPr>
            <w:tcW w:w="5655" w:type="dxa"/>
            <w:tcBorders>
              <w:top w:val="nil"/>
              <w:left w:val="nil"/>
              <w:bottom w:val="single" w:sz="4" w:space="0" w:color="929292"/>
              <w:right w:val="nil"/>
            </w:tcBorders>
            <w:tcMar>
              <w:top w:w="0" w:type="dxa"/>
              <w:left w:w="53" w:type="dxa"/>
              <w:bottom w:w="0" w:type="dxa"/>
              <w:right w:w="53" w:type="dxa"/>
            </w:tcMar>
            <w:vAlign w:val="top"/>
          </w:tcPr>
          <w:p>
            <w:pPr>
              <w:keepNext/>
              <w:pageBreakBefore w:val="0"/>
              <w:numPr>
                <w:ilvl w:val="0"/>
                <w:numId w:val="0"/>
              </w:numPr>
              <w:spacing w:before="53" w:after="0" w:line="240" w:lineRule="auto"/>
              <w:ind w:left="0" w:right="0" w:firstLine="0"/>
              <w:jc w:val="left"/>
              <w:outlineLvl w:val="9"/>
              <w:rPr>
                <w:rFonts w:ascii="Arial" w:eastAsia="Arial" w:hAnsi="Arial" w:cs="Arial"/>
                <w:b w:val="0"/>
                <w:i w:val="0"/>
                <w:color w:val="4494D1"/>
                <w:sz w:val="24"/>
                <w:u w:val="none"/>
              </w:rPr>
            </w:pPr>
            <w:r>
              <w:rPr>
                <w:rFonts w:ascii="Arial" w:eastAsia="Arial" w:hAnsi="Arial" w:cs="Arial"/>
                <w:b w:val="0"/>
                <w:i w:val="0"/>
                <w:color w:val="4494D1"/>
                <w:sz w:val="24"/>
                <w:u w:val="none"/>
              </w:rPr>
              <w:t>Risk Committee</w:t>
            </w:r>
          </w:p>
          <w:p>
            <w:pPr>
              <w:pageBreakBefore w:val="0"/>
              <w:numPr>
                <w:ilvl w:val="0"/>
                <w:numId w:val="0"/>
              </w:numPr>
              <w:spacing w:before="0" w:after="0" w:line="240" w:lineRule="auto"/>
              <w:ind w:left="0" w:right="0" w:firstLine="0"/>
              <w:jc w:val="left"/>
              <w:outlineLvl w:val="9"/>
              <w:rPr>
                <w:rFonts w:ascii="Arial" w:eastAsia="Arial" w:hAnsi="Arial" w:cs="Arial"/>
                <w:b w:val="0"/>
                <w:i w:val="0"/>
                <w:sz w:val="18"/>
              </w:rPr>
            </w:pPr>
          </w:p>
          <w:p>
            <w:pPr>
              <w:pageBreakBefore w:val="0"/>
              <w:numPr>
                <w:ilvl w:val="0"/>
                <w:numId w:val="0"/>
              </w:numPr>
              <w:spacing w:before="0" w:after="30" w:line="240" w:lineRule="auto"/>
              <w:ind w:left="0" w:right="0" w:firstLine="0"/>
              <w:jc w:val="both"/>
              <w:outlineLvl w:val="9"/>
              <w:rPr>
                <w:rFonts w:ascii="Arial" w:eastAsia="Arial" w:hAnsi="Arial" w:cs="Arial"/>
                <w:b w:val="0"/>
                <w:i w:val="0"/>
                <w:sz w:val="18"/>
              </w:rPr>
            </w:pPr>
            <w:r>
              <w:rPr>
                <w:rFonts w:ascii="Arial" w:eastAsia="Arial" w:hAnsi="Arial" w:cs="Arial"/>
                <w:b w:val="0"/>
                <w:i w:val="0"/>
                <w:sz w:val="18"/>
              </w:rPr>
              <w:t>Our Risk Committee has primary committee responsibility for overseeing the ERM Framework, our overall risk appetite, and material risks facing our company. The Committee regularly receives updates from management on risk-related matters and risk reporting from management and management risk committees, including a report that addresses and provides updates on key and emerging risks. The Committee also oversees senior management’s development of our ERM Framework and Risk Appetite Framework, and management’s alignment of our risk profile to our capital, strategic and operating plans. In addition, our Risk Committee approves our ERM Framework and Risk Appetite Framework on an annual basis and recommends them to the Board for approval.</w:t>
            </w:r>
          </w:p>
        </w:tc>
      </w:tr>
      <w:tr>
        <w:tblPrEx>
          <w:tblW w:w="10260" w:type="dxa"/>
          <w:tblInd w:w="0" w:type="dxa"/>
          <w:tblLayout w:type="fixed"/>
          <w:tblCellMar>
            <w:left w:w="108" w:type="dxa"/>
            <w:right w:w="108" w:type="dxa"/>
          </w:tblCellMar>
        </w:tblPrEx>
        <w:trPr>
          <w:cantSplit/>
          <w:trHeight w:hRule="exact" w:val="1695"/>
        </w:trPr>
        <w:tc>
          <w:tcPr>
            <w:tcW w:w="4020" w:type="dxa"/>
            <w:vMerge/>
            <w:tcBorders>
              <w:top w:val="nil"/>
              <w:left w:val="nil"/>
              <w:bottom w:val="nil"/>
              <w:right w:val="nil"/>
            </w:tcBorders>
          </w:tcPr>
          <w:p>
            <w:pPr>
              <w:keepNext/>
              <w:pageBreakBefore w:val="0"/>
            </w:pPr>
          </w:p>
        </w:tc>
        <w:tc>
          <w:tcPr>
            <w:tcW w:w="5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43" w:after="0" w:line="240" w:lineRule="auto"/>
              <w:ind w:left="0" w:right="0" w:firstLine="0"/>
              <w:jc w:val="center"/>
              <w:outlineLvl w:val="9"/>
              <w:rPr>
                <w:rFonts w:ascii="Wingdings 3" w:eastAsia="Wingdings 3" w:hAnsi="Wingdings 3" w:cs="Wingdings 3"/>
                <w:b w:val="0"/>
                <w:i w:val="0"/>
                <w:color w:val="4494D1"/>
                <w:sz w:val="4"/>
                <w:u w:val="none"/>
              </w:rPr>
            </w:pPr>
          </w:p>
          <w:p>
            <w:pPr>
              <w:pageBreakBefore w:val="0"/>
              <w:numPr>
                <w:ilvl w:val="0"/>
                <w:numId w:val="0"/>
              </w:numPr>
              <w:spacing w:before="0" w:after="30" w:line="240" w:lineRule="auto"/>
              <w:ind w:left="0" w:right="0" w:firstLine="0"/>
              <w:jc w:val="center"/>
              <w:outlineLvl w:val="9"/>
              <w:rPr>
                <w:rFonts w:ascii="Wingdings 3" w:eastAsia="Wingdings 3" w:hAnsi="Wingdings 3" w:cs="Wingdings 3"/>
                <w:b w:val="0"/>
                <w:i w:val="0"/>
                <w:color w:val="4494D1"/>
                <w:sz w:val="40"/>
                <w:u w:val="none"/>
              </w:rPr>
            </w:pPr>
            <w:r>
              <w:pict>
                <v:shape id="_x0000_s1203" type="#_x0000_t75" style="width:15pt;height:15pt;margin-top:0;margin-left:0;mso-position-horizontal:center;position:absolute;z-index:251763712">
                  <v:imagedata r:id="rId133" o:title=""/>
                  <o:lock v:ext="edit" aspectratio="t"/>
                  <w10:wrap type="square"/>
                </v:shape>
              </w:pict>
            </w:r>
          </w:p>
        </w:tc>
        <w:tc>
          <w:tcPr>
            <w:tcW w:w="5655" w:type="dxa"/>
            <w:tcBorders>
              <w:top w:val="single" w:sz="4" w:space="0" w:color="929292"/>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color w:val="4494D1"/>
                <w:sz w:val="24"/>
                <w:u w:val="none"/>
              </w:rPr>
            </w:pPr>
            <w:r>
              <w:rPr>
                <w:rFonts w:ascii="Arial" w:eastAsia="Arial" w:hAnsi="Arial" w:cs="Arial"/>
                <w:b w:val="0"/>
                <w:i w:val="0"/>
                <w:color w:val="4494D1"/>
                <w:sz w:val="24"/>
                <w:u w:val="none"/>
              </w:rPr>
              <w:t>Audit Committee</w:t>
            </w:r>
          </w:p>
          <w:p>
            <w:pPr>
              <w:pageBreakBefore w:val="0"/>
              <w:numPr>
                <w:ilvl w:val="0"/>
                <w:numId w:val="0"/>
              </w:numPr>
              <w:spacing w:before="0" w:after="0" w:line="240" w:lineRule="auto"/>
              <w:ind w:left="0" w:right="0" w:firstLine="0"/>
              <w:jc w:val="left"/>
              <w:outlineLvl w:val="9"/>
              <w:rPr>
                <w:rFonts w:ascii="Arial" w:eastAsia="Arial" w:hAnsi="Arial" w:cs="Arial"/>
                <w:b w:val="0"/>
                <w:i w:val="0"/>
                <w:sz w:val="18"/>
              </w:rPr>
            </w:pPr>
          </w:p>
          <w:p>
            <w:pPr>
              <w:pageBreakBefore w:val="0"/>
              <w:numPr>
                <w:ilvl w:val="0"/>
                <w:numId w:val="0"/>
              </w:numPr>
              <w:spacing w:before="0" w:after="0" w:line="240" w:lineRule="auto"/>
              <w:ind w:left="0" w:right="0" w:firstLine="0"/>
              <w:jc w:val="both"/>
              <w:outlineLvl w:val="9"/>
              <w:rPr>
                <w:rFonts w:ascii="Arial" w:eastAsia="Arial" w:hAnsi="Arial" w:cs="Arial"/>
                <w:b w:val="0"/>
                <w:i w:val="0"/>
                <w:color w:val="4495D1"/>
                <w:sz w:val="18"/>
                <w:u w:val="none"/>
              </w:rPr>
            </w:pPr>
            <w:r>
              <w:rPr>
                <w:rFonts w:ascii="Arial" w:eastAsia="Arial" w:hAnsi="Arial" w:cs="Arial"/>
                <w:b w:val="0"/>
                <w:i w:val="0"/>
                <w:sz w:val="18"/>
              </w:rPr>
              <w:t>Our Audit Committee oversees the Company's internal controls over financial reporting. The Committee receives direct reports on internal controls from the Company’s Internal Audit leadership, who meets with the Committee on a quarterly basis and maintains an open dialogue with the Committee's Chair.</w:t>
            </w:r>
          </w:p>
        </w:tc>
      </w:tr>
      <w:tr>
        <w:tblPrEx>
          <w:tblW w:w="10260" w:type="dxa"/>
          <w:tblInd w:w="0" w:type="dxa"/>
          <w:tblLayout w:type="fixed"/>
          <w:tblCellMar>
            <w:left w:w="108" w:type="dxa"/>
            <w:right w:w="108" w:type="dxa"/>
          </w:tblCellMar>
        </w:tblPrEx>
        <w:trPr>
          <w:cantSplit/>
          <w:trHeight w:hRule="exact" w:val="1905"/>
        </w:trPr>
        <w:tc>
          <w:tcPr>
            <w:tcW w:w="4020" w:type="dxa"/>
            <w:vMerge/>
            <w:tcBorders>
              <w:top w:val="nil"/>
              <w:left w:val="nil"/>
              <w:bottom w:val="nil"/>
              <w:right w:val="nil"/>
            </w:tcBorders>
          </w:tcPr>
          <w:p>
            <w:pPr>
              <w:keepNext/>
              <w:pageBreakBefore w:val="0"/>
            </w:pPr>
          </w:p>
        </w:tc>
        <w:tc>
          <w:tcPr>
            <w:tcW w:w="5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43" w:after="0" w:line="240" w:lineRule="auto"/>
              <w:ind w:left="0" w:right="0" w:firstLine="0"/>
              <w:jc w:val="center"/>
              <w:outlineLvl w:val="9"/>
              <w:rPr>
                <w:rFonts w:ascii="Wingdings 3" w:eastAsia="Wingdings 3" w:hAnsi="Wingdings 3" w:cs="Wingdings 3"/>
                <w:b w:val="0"/>
                <w:i w:val="0"/>
                <w:color w:val="4494D1"/>
                <w:sz w:val="6"/>
                <w:u w:val="none"/>
              </w:rPr>
            </w:pPr>
          </w:p>
          <w:p>
            <w:pPr>
              <w:pageBreakBefore w:val="0"/>
              <w:numPr>
                <w:ilvl w:val="0"/>
                <w:numId w:val="0"/>
              </w:numPr>
              <w:spacing w:before="0" w:after="0" w:line="240" w:lineRule="auto"/>
              <w:ind w:left="0" w:right="0" w:firstLine="0"/>
              <w:jc w:val="center"/>
              <w:outlineLvl w:val="9"/>
              <w:rPr>
                <w:rFonts w:ascii="Wingdings 3" w:eastAsia="Wingdings 3" w:hAnsi="Wingdings 3" w:cs="Wingdings 3"/>
                <w:b w:val="0"/>
                <w:i w:val="0"/>
                <w:color w:val="4494D1"/>
                <w:sz w:val="4"/>
                <w:u w:val="none"/>
              </w:rPr>
            </w:pPr>
          </w:p>
          <w:p>
            <w:pPr>
              <w:pageBreakBefore w:val="0"/>
              <w:numPr>
                <w:ilvl w:val="0"/>
                <w:numId w:val="0"/>
              </w:numPr>
              <w:spacing w:before="0" w:after="30" w:line="240" w:lineRule="auto"/>
              <w:ind w:left="0" w:right="0" w:firstLine="0"/>
              <w:jc w:val="center"/>
              <w:outlineLvl w:val="9"/>
              <w:rPr>
                <w:rFonts w:ascii="Wingdings 3" w:eastAsia="Wingdings 3" w:hAnsi="Wingdings 3" w:cs="Wingdings 3"/>
                <w:b w:val="0"/>
                <w:i w:val="0"/>
                <w:color w:val="4494D1"/>
                <w:sz w:val="40"/>
                <w:u w:val="none"/>
              </w:rPr>
            </w:pPr>
            <w:r>
              <w:pict>
                <v:shape id="_x0000_s1204" type="#_x0000_t75" style="width:15pt;height:15pt;margin-top:0;margin-left:0;mso-position-horizontal:center;position:absolute;z-index:251764736">
                  <v:imagedata r:id="rId133" o:title=""/>
                  <o:lock v:ext="edit" aspectratio="t"/>
                  <w10:wrap type="square"/>
                </v:shape>
              </w:pict>
            </w:r>
          </w:p>
        </w:tc>
        <w:tc>
          <w:tcPr>
            <w:tcW w:w="5655" w:type="dxa"/>
            <w:tcBorders>
              <w:top w:val="single" w:sz="4" w:space="0" w:color="929292"/>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color w:val="4494D1"/>
                <w:sz w:val="24"/>
                <w:u w:val="none"/>
              </w:rPr>
            </w:pPr>
            <w:r>
              <w:rPr>
                <w:rFonts w:ascii="Arial" w:eastAsia="Arial" w:hAnsi="Arial" w:cs="Arial"/>
                <w:b w:val="0"/>
                <w:i w:val="0"/>
                <w:color w:val="4494D1"/>
                <w:sz w:val="24"/>
                <w:u w:val="none"/>
              </w:rPr>
              <w:t>Human Resources and Compensation Committee</w:t>
            </w:r>
          </w:p>
          <w:p>
            <w:pPr>
              <w:pageBreakBefore w:val="0"/>
              <w:numPr>
                <w:ilvl w:val="0"/>
                <w:numId w:val="0"/>
              </w:numPr>
              <w:spacing w:before="0" w:after="0" w:line="240" w:lineRule="auto"/>
              <w:ind w:left="0" w:right="0" w:firstLine="0"/>
              <w:jc w:val="left"/>
              <w:outlineLvl w:val="9"/>
              <w:rPr>
                <w:rFonts w:ascii="Arial" w:eastAsia="Arial" w:hAnsi="Arial" w:cs="Arial"/>
                <w:b w:val="0"/>
                <w:i w:val="0"/>
                <w:sz w:val="18"/>
              </w:rPr>
            </w:pPr>
          </w:p>
          <w:p>
            <w:pPr>
              <w:pageBreakBefore w:val="0"/>
              <w:numPr>
                <w:ilvl w:val="0"/>
                <w:numId w:val="0"/>
              </w:numPr>
              <w:spacing w:before="0" w:after="0" w:line="240" w:lineRule="auto"/>
              <w:ind w:left="0" w:right="0" w:firstLine="0"/>
              <w:jc w:val="both"/>
              <w:outlineLvl w:val="9"/>
              <w:rPr>
                <w:rFonts w:ascii="Arial" w:eastAsia="Arial" w:hAnsi="Arial" w:cs="Arial"/>
                <w:b w:val="0"/>
                <w:i w:val="0"/>
                <w:color w:val="4495D1"/>
                <w:sz w:val="18"/>
                <w:u w:val="none"/>
              </w:rPr>
            </w:pPr>
            <w:r>
              <w:rPr>
                <w:rFonts w:ascii="Arial" w:eastAsia="Arial" w:hAnsi="Arial" w:cs="Arial"/>
                <w:b w:val="0"/>
                <w:i w:val="0"/>
                <w:sz w:val="18"/>
              </w:rPr>
              <w:t>Our Human Resources and Compensation Committee oversees the development of our compensation policies and practices, which are designed to balance risk and reward in a way that does not encourage unnecessary or excessive risk-taking by our employees. The Committee also oversees and supports the Board in management succession planning.</w:t>
            </w:r>
          </w:p>
        </w:tc>
      </w:tr>
      <w:tr>
        <w:tblPrEx>
          <w:tblW w:w="10260" w:type="dxa"/>
          <w:tblInd w:w="0" w:type="dxa"/>
          <w:tblLayout w:type="fixed"/>
          <w:tblCellMar>
            <w:left w:w="108" w:type="dxa"/>
            <w:right w:w="108" w:type="dxa"/>
          </w:tblCellMar>
        </w:tblPrEx>
        <w:trPr>
          <w:cantSplit/>
          <w:trHeight w:hRule="exact" w:val="1560"/>
        </w:trPr>
        <w:tc>
          <w:tcPr>
            <w:tcW w:w="4020" w:type="dxa"/>
            <w:vMerge/>
            <w:tcBorders>
              <w:top w:val="nil"/>
              <w:left w:val="nil"/>
              <w:bottom w:val="nil"/>
              <w:right w:val="nil"/>
            </w:tcBorders>
          </w:tcPr>
          <w:p>
            <w:pPr>
              <w:keepNext/>
              <w:pageBreakBefore w:val="0"/>
            </w:pPr>
          </w:p>
        </w:tc>
        <w:tc>
          <w:tcPr>
            <w:tcW w:w="5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43" w:after="0" w:line="240" w:lineRule="auto"/>
              <w:ind w:left="0" w:right="0" w:firstLine="0"/>
              <w:jc w:val="center"/>
              <w:outlineLvl w:val="9"/>
              <w:rPr>
                <w:rFonts w:ascii="Wingdings 3" w:eastAsia="Wingdings 3" w:hAnsi="Wingdings 3" w:cs="Wingdings 3"/>
                <w:b w:val="0"/>
                <w:i w:val="0"/>
                <w:color w:val="4494D1"/>
                <w:sz w:val="4"/>
                <w:u w:val="none"/>
              </w:rPr>
            </w:pPr>
          </w:p>
          <w:p>
            <w:pPr>
              <w:pageBreakBefore w:val="0"/>
              <w:numPr>
                <w:ilvl w:val="0"/>
                <w:numId w:val="0"/>
              </w:numPr>
              <w:spacing w:before="0" w:after="0" w:line="240" w:lineRule="auto"/>
              <w:ind w:left="0" w:right="0" w:firstLine="0"/>
              <w:jc w:val="center"/>
              <w:outlineLvl w:val="9"/>
              <w:rPr>
                <w:rFonts w:ascii="Wingdings 3" w:eastAsia="Wingdings 3" w:hAnsi="Wingdings 3" w:cs="Wingdings 3"/>
                <w:b w:val="0"/>
                <w:i w:val="0"/>
                <w:color w:val="4494D1"/>
                <w:sz w:val="8"/>
                <w:u w:val="none"/>
              </w:rPr>
            </w:pPr>
          </w:p>
          <w:p>
            <w:pPr>
              <w:pageBreakBefore w:val="0"/>
              <w:numPr>
                <w:ilvl w:val="0"/>
                <w:numId w:val="0"/>
              </w:numPr>
              <w:spacing w:before="0" w:after="30" w:line="240" w:lineRule="auto"/>
              <w:ind w:left="0" w:right="0" w:firstLine="0"/>
              <w:jc w:val="center"/>
              <w:outlineLvl w:val="9"/>
              <w:rPr>
                <w:rFonts w:ascii="Wingdings 3" w:eastAsia="Wingdings 3" w:hAnsi="Wingdings 3" w:cs="Wingdings 3"/>
                <w:b w:val="0"/>
                <w:i w:val="0"/>
                <w:color w:val="4494D1"/>
                <w:sz w:val="40"/>
                <w:u w:val="none"/>
              </w:rPr>
            </w:pPr>
            <w:r>
              <w:pict>
                <v:shape id="_x0000_s1205" type="#_x0000_t75" style="width:15pt;height:15pt;margin-top:0;margin-left:0;mso-position-horizontal:center;position:absolute;z-index:251765760">
                  <v:imagedata r:id="rId133" o:title=""/>
                  <o:lock v:ext="edit" aspectratio="t"/>
                  <w10:wrap type="square"/>
                </v:shape>
              </w:pict>
            </w:r>
          </w:p>
        </w:tc>
        <w:tc>
          <w:tcPr>
            <w:tcW w:w="5655" w:type="dxa"/>
            <w:tcBorders>
              <w:top w:val="single" w:sz="4" w:space="0" w:color="929292"/>
              <w:left w:val="nil"/>
              <w:bottom w:val="single" w:sz="4" w:space="0" w:color="929292"/>
              <w:right w:val="nil"/>
            </w:tcBorders>
            <w:tcMar>
              <w:top w:w="0" w:type="dxa"/>
              <w:left w:w="53" w:type="dxa"/>
              <w:bottom w:w="0" w:type="dxa"/>
              <w:right w:w="53" w:type="dxa"/>
            </w:tcMar>
            <w:vAlign w:val="top"/>
          </w:tcPr>
          <w:p>
            <w:pPr>
              <w:keepNext/>
              <w:pageBreakBefore w:val="0"/>
              <w:numPr>
                <w:ilvl w:val="0"/>
                <w:numId w:val="0"/>
              </w:numPr>
              <w:spacing w:before="43" w:after="0" w:line="240" w:lineRule="auto"/>
              <w:ind w:left="0" w:right="0" w:firstLine="0"/>
              <w:jc w:val="left"/>
              <w:outlineLvl w:val="9"/>
              <w:rPr>
                <w:rFonts w:ascii="Arial" w:eastAsia="Arial" w:hAnsi="Arial" w:cs="Arial"/>
                <w:b w:val="0"/>
                <w:i w:val="0"/>
                <w:color w:val="4494D1"/>
                <w:sz w:val="18"/>
                <w:u w:val="none"/>
              </w:rPr>
            </w:pPr>
          </w:p>
          <w:p>
            <w:pPr>
              <w:pageBreakBefore w:val="0"/>
              <w:numPr>
                <w:ilvl w:val="0"/>
                <w:numId w:val="0"/>
              </w:numPr>
              <w:spacing w:before="0" w:after="0" w:line="240" w:lineRule="auto"/>
              <w:ind w:left="0" w:right="0" w:firstLine="0"/>
              <w:jc w:val="left"/>
              <w:outlineLvl w:val="9"/>
              <w:rPr>
                <w:rFonts w:ascii="Arial" w:eastAsia="Arial" w:hAnsi="Arial" w:cs="Arial"/>
                <w:b w:val="0"/>
                <w:i w:val="0"/>
                <w:color w:val="4494D1"/>
                <w:sz w:val="24"/>
                <w:u w:val="none"/>
              </w:rPr>
            </w:pPr>
            <w:r>
              <w:rPr>
                <w:rFonts w:ascii="Arial" w:eastAsia="Arial" w:hAnsi="Arial" w:cs="Arial"/>
                <w:b w:val="0"/>
                <w:i w:val="0"/>
                <w:color w:val="4494D1"/>
                <w:sz w:val="24"/>
                <w:u w:val="none"/>
              </w:rPr>
              <w:t>Nominating and Governance Committee</w:t>
            </w:r>
          </w:p>
          <w:p>
            <w:pPr>
              <w:pageBreakBefore w:val="0"/>
              <w:numPr>
                <w:ilvl w:val="0"/>
                <w:numId w:val="0"/>
              </w:numPr>
              <w:spacing w:before="0" w:after="0" w:line="240" w:lineRule="auto"/>
              <w:ind w:left="0" w:right="0" w:firstLine="0"/>
              <w:jc w:val="left"/>
              <w:outlineLvl w:val="9"/>
              <w:rPr>
                <w:rFonts w:ascii="Arial" w:eastAsia="Arial" w:hAnsi="Arial" w:cs="Arial"/>
                <w:b w:val="0"/>
                <w:i w:val="0"/>
                <w:sz w:val="18"/>
              </w:rPr>
            </w:pPr>
          </w:p>
          <w:p>
            <w:pPr>
              <w:pageBreakBefore w:val="0"/>
              <w:numPr>
                <w:ilvl w:val="0"/>
                <w:numId w:val="0"/>
              </w:numPr>
              <w:spacing w:before="0" w:after="30" w:line="240" w:lineRule="auto"/>
              <w:ind w:left="0" w:right="0" w:firstLine="0"/>
              <w:jc w:val="both"/>
              <w:outlineLvl w:val="9"/>
              <w:rPr>
                <w:rFonts w:ascii="Arial" w:eastAsia="Arial" w:hAnsi="Arial" w:cs="Arial"/>
                <w:b w:val="0"/>
                <w:i w:val="0"/>
                <w:color w:val="4495D1"/>
                <w:sz w:val="18"/>
                <w:u w:val="none"/>
              </w:rPr>
            </w:pPr>
            <w:r>
              <w:rPr>
                <w:rFonts w:ascii="Arial" w:eastAsia="Arial" w:hAnsi="Arial" w:cs="Arial"/>
                <w:b w:val="0"/>
                <w:i w:val="0"/>
                <w:sz w:val="18"/>
              </w:rPr>
              <w:t>Our Nominating and Governance Committee provides additional risk management oversight for corporate governance matters, including with respect to reviewing Board and Committee composition, and the Company’s relations with shareholders.</w:t>
            </w:r>
          </w:p>
        </w:tc>
      </w:tr>
      <w:tr>
        <w:tblPrEx>
          <w:tblW w:w="10260" w:type="dxa"/>
          <w:tblInd w:w="0" w:type="dxa"/>
          <w:tblLayout w:type="fixed"/>
          <w:tblCellMar>
            <w:left w:w="108" w:type="dxa"/>
            <w:right w:w="108" w:type="dxa"/>
          </w:tblCellMar>
        </w:tblPrEx>
        <w:trPr>
          <w:cantSplit/>
          <w:trHeight w:hRule="exact" w:val="2445"/>
        </w:trPr>
        <w:tc>
          <w:tcPr>
            <w:tcW w:w="4020" w:type="dxa"/>
            <w:vMerge/>
            <w:tcBorders>
              <w:top w:val="nil"/>
              <w:left w:val="nil"/>
              <w:bottom w:val="single" w:sz="4" w:space="0" w:color="929292"/>
              <w:right w:val="nil"/>
            </w:tcBorders>
          </w:tcPr>
          <w:p>
            <w:pPr>
              <w:keepNext/>
              <w:pageBreakBefore w:val="0"/>
            </w:pPr>
          </w:p>
        </w:tc>
        <w:tc>
          <w:tcPr>
            <w:tcW w:w="58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43" w:after="0" w:line="240" w:lineRule="auto"/>
              <w:ind w:left="0" w:right="0" w:firstLine="0"/>
              <w:jc w:val="center"/>
              <w:outlineLvl w:val="9"/>
              <w:rPr>
                <w:rFonts w:ascii="Wingdings 3" w:eastAsia="Wingdings 3" w:hAnsi="Wingdings 3" w:cs="Wingdings 3"/>
                <w:b w:val="0"/>
                <w:i w:val="0"/>
                <w:color w:val="4494D1"/>
                <w:sz w:val="4"/>
                <w:u w:val="none"/>
              </w:rPr>
            </w:pPr>
          </w:p>
          <w:p>
            <w:pPr>
              <w:pageBreakBefore w:val="0"/>
              <w:numPr>
                <w:ilvl w:val="0"/>
                <w:numId w:val="0"/>
              </w:numPr>
              <w:spacing w:before="0" w:after="0" w:line="240" w:lineRule="auto"/>
              <w:ind w:left="0" w:right="0" w:firstLine="0"/>
              <w:jc w:val="center"/>
              <w:outlineLvl w:val="9"/>
              <w:rPr>
                <w:rFonts w:ascii="Wingdings 3" w:eastAsia="Wingdings 3" w:hAnsi="Wingdings 3" w:cs="Wingdings 3"/>
                <w:b w:val="0"/>
                <w:i w:val="0"/>
                <w:color w:val="4494D1"/>
                <w:sz w:val="8"/>
                <w:u w:val="none"/>
              </w:rPr>
            </w:pPr>
          </w:p>
          <w:p>
            <w:pPr>
              <w:pageBreakBefore w:val="0"/>
              <w:numPr>
                <w:ilvl w:val="0"/>
                <w:numId w:val="0"/>
              </w:numPr>
              <w:spacing w:before="0" w:after="30" w:line="240" w:lineRule="auto"/>
              <w:ind w:left="0" w:right="0" w:firstLine="0"/>
              <w:jc w:val="center"/>
              <w:outlineLvl w:val="9"/>
              <w:rPr>
                <w:rFonts w:ascii="Wingdings 3" w:eastAsia="Wingdings 3" w:hAnsi="Wingdings 3" w:cs="Wingdings 3"/>
                <w:b w:val="0"/>
                <w:i w:val="0"/>
                <w:color w:val="4494D1"/>
                <w:sz w:val="40"/>
                <w:u w:val="none"/>
              </w:rPr>
            </w:pPr>
            <w:r>
              <w:pict>
                <v:shape id="_x0000_s1206" type="#_x0000_t75" style="width:15pt;height:15pt;margin-top:0;margin-left:0;mso-position-horizontal:center;position:absolute;z-index:251766784">
                  <v:imagedata r:id="rId133" o:title=""/>
                  <o:lock v:ext="edit" aspectratio="t"/>
                  <w10:wrap type="square"/>
                </v:shape>
              </w:pict>
            </w:r>
          </w:p>
        </w:tc>
        <w:tc>
          <w:tcPr>
            <w:tcW w:w="5655" w:type="dxa"/>
            <w:tcBorders>
              <w:top w:val="single" w:sz="4" w:space="0" w:color="929292"/>
              <w:left w:val="nil"/>
              <w:bottom w:val="single" w:sz="4" w:space="0" w:color="929292"/>
              <w:right w:val="nil"/>
            </w:tcBorders>
            <w:tcMar>
              <w:top w:w="0" w:type="dxa"/>
              <w:left w:w="53" w:type="dxa"/>
              <w:bottom w:w="0" w:type="dxa"/>
              <w:right w:w="53" w:type="dxa"/>
            </w:tcMar>
            <w:vAlign w:val="top"/>
          </w:tcPr>
          <w:p>
            <w:pPr>
              <w:keepNext/>
              <w:pageBreakBefore w:val="0"/>
              <w:numPr>
                <w:ilvl w:val="0"/>
                <w:numId w:val="0"/>
              </w:numPr>
              <w:spacing w:before="43" w:after="0" w:line="240" w:lineRule="auto"/>
              <w:ind w:left="0" w:right="0" w:firstLine="0"/>
              <w:jc w:val="left"/>
              <w:outlineLvl w:val="9"/>
              <w:rPr>
                <w:rFonts w:ascii="Arial" w:eastAsia="Arial" w:hAnsi="Arial" w:cs="Arial"/>
                <w:b w:val="0"/>
                <w:i w:val="0"/>
                <w:color w:val="4494D1"/>
                <w:sz w:val="18"/>
                <w:u w:val="none"/>
              </w:rPr>
            </w:pPr>
          </w:p>
          <w:p>
            <w:pPr>
              <w:pageBreakBefore w:val="0"/>
              <w:numPr>
                <w:ilvl w:val="0"/>
                <w:numId w:val="0"/>
              </w:numPr>
              <w:spacing w:before="0" w:after="0" w:line="240" w:lineRule="auto"/>
              <w:ind w:left="0" w:right="0" w:firstLine="0"/>
              <w:jc w:val="left"/>
              <w:outlineLvl w:val="9"/>
              <w:rPr>
                <w:rFonts w:ascii="Arial" w:eastAsia="Arial" w:hAnsi="Arial" w:cs="Arial"/>
                <w:b w:val="0"/>
                <w:i w:val="0"/>
                <w:color w:val="4494D1"/>
                <w:sz w:val="24"/>
                <w:u w:val="none"/>
              </w:rPr>
            </w:pPr>
            <w:r>
              <w:rPr>
                <w:rFonts w:ascii="Arial" w:eastAsia="Arial" w:hAnsi="Arial" w:cs="Arial"/>
                <w:b w:val="0"/>
                <w:i w:val="0"/>
                <w:color w:val="4494D1"/>
                <w:sz w:val="24"/>
                <w:u w:val="none"/>
              </w:rPr>
              <w:t>Investment Committee</w:t>
            </w:r>
          </w:p>
          <w:p>
            <w:pPr>
              <w:pageBreakBefore w:val="0"/>
              <w:numPr>
                <w:ilvl w:val="0"/>
                <w:numId w:val="0"/>
              </w:numPr>
              <w:spacing w:before="0" w:after="0" w:line="240" w:lineRule="auto"/>
              <w:ind w:left="0" w:right="0" w:firstLine="0"/>
              <w:jc w:val="left"/>
              <w:outlineLvl w:val="9"/>
              <w:rPr>
                <w:rFonts w:ascii="Arial" w:eastAsia="Arial" w:hAnsi="Arial" w:cs="Arial"/>
                <w:b w:val="0"/>
                <w:i w:val="0"/>
                <w:sz w:val="18"/>
              </w:rPr>
            </w:pPr>
          </w:p>
          <w:p>
            <w:pPr>
              <w:pageBreakBefore w:val="0"/>
              <w:numPr>
                <w:ilvl w:val="0"/>
                <w:numId w:val="0"/>
              </w:numPr>
              <w:spacing w:before="0" w:after="30" w:line="240" w:lineRule="auto"/>
              <w:ind w:left="0" w:right="0" w:firstLine="0"/>
              <w:jc w:val="both"/>
              <w:outlineLvl w:val="9"/>
              <w:rPr>
                <w:rFonts w:ascii="Arial" w:eastAsia="Arial" w:hAnsi="Arial" w:cs="Arial"/>
                <w:b w:val="0"/>
                <w:i w:val="0"/>
                <w:color w:val="4495D1"/>
                <w:sz w:val="18"/>
                <w:u w:val="none"/>
              </w:rPr>
            </w:pPr>
            <w:r>
              <w:rPr>
                <w:rFonts w:ascii="Arial" w:eastAsia="Arial" w:hAnsi="Arial" w:cs="Arial"/>
                <w:b w:val="0"/>
                <w:i w:val="0"/>
                <w:sz w:val="18"/>
              </w:rPr>
              <w:t>Our Investment Committee provides additional risk management oversight for investment risk. The Committee regularly evaluates and tests the Company's investment portfolio and investment strategies under various stress scenarios, oversees compliance with investment guidelines (which assists the Company in monitoring its investment-related risks), and it monitors and evaluates the Company's internal investment management department and external investment managers.</w:t>
            </w:r>
          </w:p>
        </w:tc>
      </w:tr>
      <w:tr>
        <w:tblPrEx>
          <w:tblW w:w="10260" w:type="dxa"/>
          <w:tblInd w:w="0" w:type="dxa"/>
          <w:tblLayout w:type="fixed"/>
          <w:tblCellMar>
            <w:left w:w="108" w:type="dxa"/>
            <w:right w:w="108" w:type="dxa"/>
          </w:tblCellMar>
        </w:tblPrEx>
        <w:trPr>
          <w:cantSplit/>
          <w:trHeight w:hRule="exact" w:val="405"/>
        </w:trPr>
        <w:tc>
          <w:tcPr>
            <w:tcW w:w="10260" w:type="dxa"/>
            <w:gridSpan w:val="3"/>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4140"/>
              <w:jc w:val="left"/>
              <w:outlineLvl w:val="9"/>
              <w:rPr>
                <w:rFonts w:ascii="Wingdings 3" w:eastAsia="Wingdings 3" w:hAnsi="Wingdings 3" w:cs="Wingdings 3"/>
                <w:b/>
                <w:i w:val="0"/>
                <w:color w:val="4494D1"/>
                <w:sz w:val="40"/>
                <w:u w:val="none"/>
              </w:rPr>
            </w:pPr>
            <w:r>
              <w:pict>
                <v:shape id="_x0000_s1207" type="#_x0000_t75" style="width:18pt;height:18pt;margin-top:0;margin-left:0;mso-position-horizontal:left;position:absolute;z-index:251767808">
                  <v:imagedata r:id="rId134" o:title=""/>
                  <o:lock v:ext="edit" aspectratio="t"/>
                  <w10:wrap type="square"/>
                </v:shape>
              </w:pict>
            </w:r>
          </w:p>
        </w:tc>
      </w:tr>
      <w:tr>
        <w:tblPrEx>
          <w:tblW w:w="10260" w:type="dxa"/>
          <w:tblInd w:w="0" w:type="dxa"/>
          <w:tblLayout w:type="fixed"/>
          <w:tblCellMar>
            <w:left w:w="108" w:type="dxa"/>
            <w:right w:w="108" w:type="dxa"/>
          </w:tblCellMar>
        </w:tblPrEx>
        <w:trPr>
          <w:cantSplit/>
          <w:trHeight w:hRule="exact" w:val="2925"/>
        </w:trPr>
        <w:tc>
          <w:tcPr>
            <w:tcW w:w="10260" w:type="dxa"/>
            <w:gridSpan w:val="3"/>
            <w:tcBorders>
              <w:top w:val="nil"/>
              <w:left w:val="nil"/>
              <w:bottom w:val="single" w:sz="12" w:space="0" w:color="4494D1"/>
              <w:right w:val="nil"/>
            </w:tcBorders>
            <w:tcMar>
              <w:top w:w="0" w:type="dxa"/>
              <w:left w:w="53" w:type="dxa"/>
              <w:bottom w:w="0" w:type="dxa"/>
              <w:right w:w="53" w:type="dxa"/>
            </w:tcMar>
            <w:vAlign w:val="top"/>
          </w:tcPr>
          <w:p>
            <w:pPr>
              <w:pageBreakBefore w:val="0"/>
              <w:numPr>
                <w:ilvl w:val="0"/>
                <w:numId w:val="0"/>
              </w:numPr>
              <w:spacing w:before="53" w:after="0" w:line="240" w:lineRule="auto"/>
              <w:ind w:left="0" w:right="0" w:firstLine="0"/>
              <w:jc w:val="left"/>
              <w:outlineLvl w:val="9"/>
              <w:rPr>
                <w:rFonts w:ascii="Arial" w:eastAsia="Arial" w:hAnsi="Arial" w:cs="Arial"/>
                <w:b w:val="0"/>
                <w:i w:val="0"/>
                <w:color w:val="4494D1"/>
                <w:sz w:val="24"/>
                <w:u w:val="none"/>
              </w:rPr>
            </w:pPr>
            <w:r>
              <w:rPr>
                <w:rFonts w:ascii="Arial" w:eastAsia="Arial" w:hAnsi="Arial" w:cs="Arial"/>
                <w:b w:val="0"/>
                <w:i w:val="0"/>
                <w:color w:val="4494D1"/>
                <w:sz w:val="24"/>
                <w:u w:val="none"/>
              </w:rPr>
              <w:t>Role of Management</w:t>
            </w:r>
          </w:p>
          <w:p>
            <w:pPr>
              <w:pageBreakBefore w:val="0"/>
              <w:numPr>
                <w:ilvl w:val="0"/>
                <w:numId w:val="0"/>
              </w:numPr>
              <w:spacing w:before="0" w:after="0" w:line="240" w:lineRule="auto"/>
              <w:ind w:left="0" w:right="0" w:firstLine="0"/>
              <w:jc w:val="left"/>
              <w:outlineLvl w:val="9"/>
              <w:rPr>
                <w:rFonts w:ascii="Arial" w:eastAsia="Arial" w:hAnsi="Arial" w:cs="Arial"/>
                <w:b w:val="0"/>
                <w:i w:val="0"/>
                <w:sz w:val="18"/>
              </w:rPr>
            </w:pPr>
          </w:p>
          <w:p>
            <w:pPr>
              <w:pageBreakBefore w:val="0"/>
              <w:numPr>
                <w:ilvl w:val="0"/>
                <w:numId w:val="0"/>
              </w:numPr>
              <w:spacing w:before="0" w:after="30" w:line="288" w:lineRule="auto"/>
              <w:ind w:left="0" w:right="0" w:firstLine="0"/>
              <w:jc w:val="both"/>
              <w:outlineLvl w:val="9"/>
              <w:rPr>
                <w:rFonts w:ascii="Arial" w:eastAsia="Arial" w:hAnsi="Arial" w:cs="Arial"/>
                <w:b w:val="0"/>
                <w:i w:val="0"/>
                <w:color w:val="4495D1"/>
                <w:sz w:val="20"/>
                <w:u w:val="none"/>
              </w:rPr>
            </w:pPr>
            <w:r>
              <w:rPr>
                <w:rFonts w:ascii="Arial" w:eastAsia="Arial" w:hAnsi="Arial" w:cs="Arial"/>
                <w:b w:val="0"/>
                <w:i w:val="0"/>
                <w:sz w:val="18"/>
              </w:rPr>
              <w:t xml:space="preserve">While the Board and its committees oversee the ERM Program, the Company's Risk Management function, headed by the Group Chief Risk Officer ("CRO"), is responsible for designing and operationalizing the various components of the ERM Framework throughout the group. The Company has robust internal processes and an effective internal control environment that facilitates the identification and management of risks and regular communication with the Board. This includes an enterprise risk management system utilizing a 'Three Lines Model' with the first line comprising management designed and owned processes and controls, the second line comprising various risk, controls and compliance oversight functions established by management, and the third line comprising independent assurance from our Internal Audit function. Management communicates routinely with the Board, Board committees and individual directors on the significant risks identified and how they are being managed. To ensure independence, our CRO reports to the CEO and has direct access to the Chair of our Risk Committee. Additionally, our CRO participates in Board, Risk Committee, Audit Committee, and Investment Committee meetings. Our </w:t>
            </w:r>
            <w:r>
              <w:rPr>
                <w:rFonts w:ascii="Arial" w:eastAsia="Arial" w:hAnsi="Arial" w:cs="Arial"/>
                <w:b w:val="0"/>
                <w:i w:val="0"/>
                <w:sz w:val="18"/>
              </w:rPr>
              <w:t>Chief Audit</w:t>
            </w:r>
            <w:r>
              <w:rPr>
                <w:rFonts w:ascii="Arial" w:eastAsia="Arial" w:hAnsi="Arial" w:cs="Arial"/>
                <w:b w:val="0"/>
                <w:i w:val="0"/>
                <w:sz w:val="18"/>
              </w:rPr>
              <w:t xml:space="preserve"> Executive</w:t>
            </w:r>
            <w:r>
              <w:rPr>
                <w:rFonts w:ascii="Arial" w:eastAsia="Arial" w:hAnsi="Arial" w:cs="Arial"/>
                <w:b w:val="0"/>
                <w:i w:val="0"/>
                <w:sz w:val="18"/>
              </w:rPr>
              <w:t xml:space="preserve"> also reports directly to the Audit Committee.</w:t>
            </w:r>
          </w:p>
        </w:tc>
      </w:tr>
    </w:tbl>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sectPr>
          <w:headerReference w:type="default" r:id="rId135"/>
          <w:footerReference w:type="default" r:id="rId136"/>
          <w:type w:val="continuous"/>
          <w:pgSz w:w="12240" w:h="15840"/>
          <w:pgMar w:top="855" w:right="990" w:bottom="855" w:left="990" w:header="27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44" w:name="Section47"/>
      <w:bookmarkEnd w:id="44"/>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Selected Areas of Oversight</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785"/>
        <w:gridCol w:w="847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95"/>
        </w:trPr>
        <w:tc>
          <w:tcPr>
            <w:tcW w:w="17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475" w:type="dxa"/>
            <w:tcBorders>
              <w:top w:val="nil"/>
              <w:left w:val="nil"/>
              <w:bottom w:val="single" w:sz="8" w:space="0" w:color="4494D1"/>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4815"/>
        </w:trPr>
        <w:tc>
          <w:tcPr>
            <w:tcW w:w="178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center"/>
              <w:outlineLvl w:val="9"/>
              <w:rPr>
                <w:rFonts w:ascii="Webdings" w:eastAsia="Webdings" w:hAnsi="Webdings" w:cs="Webdings"/>
                <w:b w:val="0"/>
                <w:i w:val="0"/>
                <w:color w:val="4495D1"/>
                <w:sz w:val="88"/>
                <w:u w:val="none"/>
              </w:rPr>
            </w:pPr>
            <w:r>
              <w:pict>
                <v:shape id="_x0000_s1208" type="#_x0000_t75" style="width:60pt;height:60pt;margin-top:0;margin-left:0;mso-position-horizontal:center;position:absolute;z-index:251768832">
                  <v:imagedata r:id="rId137" o:title=""/>
                  <o:lock v:ext="edit" aspectratio="t"/>
                  <w10:wrap type="square"/>
                </v:shape>
              </w:pict>
            </w:r>
          </w:p>
        </w:tc>
        <w:tc>
          <w:tcPr>
            <w:tcW w:w="8475" w:type="dxa"/>
            <w:tcBorders>
              <w:top w:val="single" w:sz="8" w:space="0" w:color="4494D1"/>
              <w:left w:val="nil"/>
              <w:bottom w:val="single" w:sz="8" w:space="0" w:color="4494D1"/>
              <w:right w:val="nil"/>
            </w:tcBorders>
            <w:tcMar>
              <w:top w:w="0" w:type="dxa"/>
              <w:left w:w="53" w:type="dxa"/>
              <w:bottom w:w="0" w:type="dxa"/>
              <w:right w:w="53" w:type="dxa"/>
            </w:tcMar>
            <w:vAlign w:val="center"/>
          </w:tcPr>
          <w:p>
            <w:pPr>
              <w:keepNext/>
              <w:pageBreakBefore w:val="0"/>
              <w:numPr>
                <w:ilvl w:val="0"/>
                <w:numId w:val="0"/>
              </w:numPr>
              <w:spacing w:before="0" w:after="0" w:line="300" w:lineRule="auto"/>
              <w:ind w:left="90" w:right="0" w:firstLine="0"/>
              <w:jc w:val="both"/>
              <w:outlineLvl w:val="9"/>
              <w:rPr>
                <w:rFonts w:ascii="Arial" w:eastAsia="Arial" w:hAnsi="Arial" w:cs="Arial"/>
                <w:b/>
                <w:i w:val="0"/>
                <w:sz w:val="20"/>
              </w:rPr>
            </w:pPr>
            <w:r>
              <w:rPr>
                <w:rFonts w:ascii="Arial" w:eastAsia="Arial" w:hAnsi="Arial" w:cs="Arial"/>
                <w:b/>
                <w:i w:val="0"/>
                <w:sz w:val="20"/>
              </w:rPr>
              <w:t>INFORMATION SECURITY</w:t>
            </w:r>
          </w:p>
          <w:p>
            <w:pPr>
              <w:pageBreakBefore w:val="0"/>
              <w:numPr>
                <w:ilvl w:val="0"/>
                <w:numId w:val="0"/>
              </w:numPr>
              <w:spacing w:before="0" w:after="0" w:line="300" w:lineRule="auto"/>
              <w:ind w:left="90" w:right="0" w:firstLine="0"/>
              <w:jc w:val="both"/>
              <w:outlineLvl w:val="9"/>
              <w:rPr>
                <w:rFonts w:ascii="Arial" w:eastAsia="Arial" w:hAnsi="Arial" w:cs="Arial"/>
                <w:b/>
                <w:i w:val="0"/>
                <w:color w:val="4494D1"/>
                <w:sz w:val="12"/>
                <w:u w:val="none"/>
              </w:rPr>
            </w:pPr>
          </w:p>
          <w:p>
            <w:pPr>
              <w:pageBreakBefore w:val="0"/>
              <w:numPr>
                <w:ilvl w:val="0"/>
                <w:numId w:val="0"/>
              </w:numPr>
              <w:spacing w:before="0" w:after="0" w:line="300" w:lineRule="auto"/>
              <w:ind w:left="90" w:right="90" w:firstLine="0"/>
              <w:jc w:val="both"/>
              <w:outlineLvl w:val="9"/>
              <w:rPr>
                <w:rFonts w:ascii="Arial" w:eastAsia="Arial" w:hAnsi="Arial" w:cs="Arial"/>
                <w:b w:val="0"/>
                <w:i w:val="0"/>
                <w:sz w:val="20"/>
              </w:rPr>
            </w:pPr>
            <w:r>
              <w:rPr>
                <w:rFonts w:ascii="Arial" w:eastAsia="Arial" w:hAnsi="Arial" w:cs="Arial"/>
                <w:b w:val="0"/>
                <w:i w:val="0"/>
                <w:sz w:val="20"/>
              </w:rPr>
              <w:t>The Board, directly and through the Risk Committee, maintains oversight over the Company's management of information security and cybersecurity risk. Primary responsibility for the Board’s role in oversight of the Company’s management of cybersecurity risk is delegated to the Risk Committee. The Risk Committee is responsible for reviewing, discussing with management, and overseeing the Company’s data privacy, information technology and security and cybersecurity risk exposures. The Company employs a multilayered, proactive approach to identify, evaluate, mitigate and prevent potential cyber and information security threats through its information security program, which is integrated into the Company’s broader ERM program. The Company’s information security program is supervised by our Global Chief Information Officer (CIO) and our Global Head of Information Security (GHIS). Our CIO and GHIS provide regular updates on cybersecurity risk and our information security program to the Risk Committee. These reports typically occur on a quarterly basis and include updates on current cyber risks, cybersecurity strategies and initiatives, event preparedness, the status of projects to strengthen our information security program, and the emerging cybersecurity threat landscape.</w:t>
            </w:r>
          </w:p>
        </w:tc>
      </w:tr>
      <w:tr>
        <w:tblPrEx>
          <w:tblW w:w="10260" w:type="dxa"/>
          <w:tblInd w:w="0" w:type="dxa"/>
          <w:tblLayout w:type="fixed"/>
          <w:tblCellMar>
            <w:left w:w="108" w:type="dxa"/>
            <w:right w:w="108" w:type="dxa"/>
          </w:tblCellMar>
        </w:tblPrEx>
        <w:trPr>
          <w:cantSplit/>
          <w:trHeight w:hRule="exact" w:val="2700"/>
        </w:trPr>
        <w:tc>
          <w:tcPr>
            <w:tcW w:w="178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center"/>
              <w:outlineLvl w:val="9"/>
              <w:rPr>
                <w:rFonts w:ascii="Webdings" w:eastAsia="Webdings" w:hAnsi="Webdings" w:cs="Webdings"/>
                <w:b w:val="0"/>
                <w:i w:val="0"/>
                <w:color w:val="4494D1"/>
                <w:sz w:val="88"/>
                <w:u w:val="none"/>
              </w:rPr>
            </w:pPr>
            <w:r>
              <w:pict>
                <v:shape id="_x0000_s1209" type="#_x0000_t75" style="width:71.25pt;height:71.25pt;margin-top:0;margin-left:0;mso-position-horizontal:center;position:absolute;z-index:251769856">
                  <v:imagedata r:id="rId138" o:title=""/>
                  <o:lock v:ext="edit" aspectratio="t"/>
                  <w10:wrap type="square"/>
                </v:shape>
              </w:pict>
            </w:r>
          </w:p>
        </w:tc>
        <w:tc>
          <w:tcPr>
            <w:tcW w:w="8475" w:type="dxa"/>
            <w:tcBorders>
              <w:top w:val="single" w:sz="8" w:space="0" w:color="4494D1"/>
              <w:left w:val="nil"/>
              <w:bottom w:val="single" w:sz="12" w:space="0" w:color="4494D1"/>
              <w:right w:val="nil"/>
            </w:tcBorders>
            <w:tcMar>
              <w:top w:w="0" w:type="dxa"/>
              <w:left w:w="53" w:type="dxa"/>
              <w:bottom w:w="0" w:type="dxa"/>
              <w:right w:w="53" w:type="dxa"/>
            </w:tcMar>
            <w:vAlign w:val="center"/>
          </w:tcPr>
          <w:p>
            <w:pPr>
              <w:keepNext/>
              <w:pageBreakBefore w:val="0"/>
              <w:numPr>
                <w:ilvl w:val="0"/>
                <w:numId w:val="0"/>
              </w:numPr>
              <w:spacing w:before="0" w:after="0" w:line="300" w:lineRule="auto"/>
              <w:ind w:left="90" w:right="0" w:firstLine="0"/>
              <w:jc w:val="both"/>
              <w:outlineLvl w:val="9"/>
              <w:rPr>
                <w:rFonts w:ascii="Arial" w:eastAsia="Arial" w:hAnsi="Arial" w:cs="Arial"/>
                <w:b/>
                <w:i w:val="0"/>
                <w:sz w:val="20"/>
              </w:rPr>
            </w:pPr>
            <w:r>
              <w:rPr>
                <w:rFonts w:ascii="Arial" w:eastAsia="Arial" w:hAnsi="Arial" w:cs="Arial"/>
                <w:b/>
                <w:i w:val="0"/>
                <w:sz w:val="20"/>
              </w:rPr>
              <w:t>HUMAN CAPITAL MANAGEMENT</w:t>
            </w:r>
          </w:p>
          <w:p>
            <w:pPr>
              <w:pageBreakBefore w:val="0"/>
              <w:numPr>
                <w:ilvl w:val="0"/>
                <w:numId w:val="0"/>
              </w:numPr>
              <w:spacing w:before="0" w:after="0" w:line="300" w:lineRule="auto"/>
              <w:ind w:left="90" w:right="0" w:firstLine="0"/>
              <w:jc w:val="both"/>
              <w:outlineLvl w:val="9"/>
              <w:rPr>
                <w:rFonts w:ascii="Arial" w:eastAsia="Arial" w:hAnsi="Arial" w:cs="Arial"/>
                <w:b/>
                <w:i w:val="0"/>
                <w:color w:val="4494D1"/>
                <w:sz w:val="12"/>
                <w:u w:val="none"/>
              </w:rPr>
            </w:pPr>
          </w:p>
          <w:p>
            <w:pPr>
              <w:pageBreakBefore w:val="0"/>
              <w:numPr>
                <w:ilvl w:val="0"/>
                <w:numId w:val="0"/>
              </w:numPr>
              <w:spacing w:before="0" w:after="0" w:line="300" w:lineRule="auto"/>
              <w:ind w:left="90" w:right="0" w:firstLine="0"/>
              <w:jc w:val="both"/>
              <w:outlineLvl w:val="9"/>
              <w:rPr>
                <w:rFonts w:ascii="Arial" w:eastAsia="Arial" w:hAnsi="Arial" w:cs="Arial"/>
                <w:b w:val="0"/>
                <w:i w:val="0"/>
                <w:sz w:val="20"/>
              </w:rPr>
            </w:pPr>
            <w:r>
              <w:rPr>
                <w:rFonts w:ascii="Arial" w:eastAsia="Arial" w:hAnsi="Arial" w:cs="Arial"/>
                <w:b w:val="0"/>
                <w:i w:val="0"/>
                <w:sz w:val="20"/>
              </w:rPr>
              <w:t xml:space="preserve">The Board is actively engaged in overseeing senior management development and succession as well as the Company’s key human capital management strategies. The Human Resources and Compensation Committee oversees succession planning, talent optimization initiatives, HR strategy, incentive compensation, and progress related to </w:t>
            </w:r>
            <w:r>
              <w:rPr>
                <w:rFonts w:ascii="Arial" w:eastAsia="Arial" w:hAnsi="Arial" w:cs="Arial"/>
                <w:b w:val="0"/>
                <w:i w:val="0"/>
                <w:sz w:val="20"/>
              </w:rPr>
              <w:t>DE&amp;I</w:t>
            </w:r>
            <w:r>
              <w:rPr>
                <w:rFonts w:ascii="Arial" w:eastAsia="Arial" w:hAnsi="Arial" w:cs="Arial"/>
                <w:b w:val="0"/>
                <w:i w:val="0"/>
                <w:sz w:val="20"/>
              </w:rPr>
              <w:t>. The Nominating and Governance Committee oversees director succession planning. Both committees provide reports and feedback to the full Board for its collective review and discussion.</w:t>
            </w:r>
          </w:p>
        </w:tc>
      </w:tr>
      <w:tr>
        <w:tblPrEx>
          <w:tblW w:w="10260" w:type="dxa"/>
          <w:tblInd w:w="0" w:type="dxa"/>
          <w:tblLayout w:type="fixed"/>
          <w:tblCellMar>
            <w:left w:w="108" w:type="dxa"/>
            <w:right w:w="108" w:type="dxa"/>
          </w:tblCellMar>
        </w:tblPrEx>
        <w:trPr>
          <w:cantSplit/>
          <w:trHeight w:hRule="exact" w:val="2700"/>
        </w:trPr>
        <w:tc>
          <w:tcPr>
            <w:tcW w:w="178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center"/>
              <w:outlineLvl w:val="9"/>
              <w:rPr>
                <w:rFonts w:ascii="Webdings" w:eastAsia="Webdings" w:hAnsi="Webdings" w:cs="Webdings"/>
                <w:b w:val="0"/>
                <w:i w:val="0"/>
                <w:color w:val="4494D1"/>
                <w:sz w:val="88"/>
                <w:u w:val="none"/>
              </w:rPr>
            </w:pPr>
            <w:r>
              <w:pict>
                <v:shape id="_x0000_s1210" type="#_x0000_t75" style="width:60pt;height:60pt;margin-top:0;margin-left:0;mso-position-horizontal:center;position:absolute;z-index:251770880">
                  <v:imagedata r:id="rId139" o:title=""/>
                  <o:lock v:ext="edit" aspectratio="t"/>
                  <w10:wrap type="square"/>
                </v:shape>
              </w:pict>
            </w:r>
          </w:p>
        </w:tc>
        <w:tc>
          <w:tcPr>
            <w:tcW w:w="8475" w:type="dxa"/>
            <w:tcBorders>
              <w:top w:val="single" w:sz="12" w:space="0" w:color="4494D1"/>
              <w:left w:val="nil"/>
              <w:bottom w:val="single" w:sz="12" w:space="0" w:color="4494D1"/>
              <w:right w:val="nil"/>
            </w:tcBorders>
            <w:tcMar>
              <w:top w:w="0" w:type="dxa"/>
              <w:left w:w="53" w:type="dxa"/>
              <w:bottom w:w="0" w:type="dxa"/>
              <w:right w:w="53" w:type="dxa"/>
            </w:tcMar>
            <w:vAlign w:val="center"/>
          </w:tcPr>
          <w:p>
            <w:pPr>
              <w:keepNext/>
              <w:pageBreakBefore w:val="0"/>
              <w:numPr>
                <w:ilvl w:val="0"/>
                <w:numId w:val="0"/>
              </w:numPr>
              <w:spacing w:before="0" w:after="0" w:line="300" w:lineRule="auto"/>
              <w:ind w:left="90" w:right="0" w:firstLine="0"/>
              <w:jc w:val="both"/>
              <w:outlineLvl w:val="9"/>
              <w:rPr>
                <w:rFonts w:ascii="Arial" w:eastAsia="Arial" w:hAnsi="Arial" w:cs="Arial"/>
                <w:b/>
                <w:i w:val="0"/>
                <w:sz w:val="20"/>
              </w:rPr>
            </w:pPr>
            <w:r>
              <w:rPr>
                <w:rFonts w:ascii="Arial" w:eastAsia="Arial" w:hAnsi="Arial" w:cs="Arial"/>
                <w:b/>
                <w:i w:val="0"/>
                <w:sz w:val="20"/>
              </w:rPr>
              <w:t>ENVIRONMENT</w:t>
            </w:r>
          </w:p>
          <w:p>
            <w:pPr>
              <w:pageBreakBefore w:val="0"/>
              <w:numPr>
                <w:ilvl w:val="0"/>
                <w:numId w:val="0"/>
              </w:numPr>
              <w:spacing w:before="0" w:after="0" w:line="300" w:lineRule="auto"/>
              <w:ind w:left="90" w:right="0" w:firstLine="0"/>
              <w:jc w:val="both"/>
              <w:outlineLvl w:val="9"/>
              <w:rPr>
                <w:rFonts w:ascii="Arial" w:eastAsia="Arial" w:hAnsi="Arial" w:cs="Arial"/>
                <w:b/>
                <w:i w:val="0"/>
                <w:color w:val="4494D1"/>
                <w:sz w:val="20"/>
                <w:u w:val="none"/>
              </w:rPr>
            </w:pPr>
          </w:p>
          <w:p>
            <w:pPr>
              <w:pageBreakBefore w:val="0"/>
              <w:numPr>
                <w:ilvl w:val="0"/>
                <w:numId w:val="0"/>
              </w:numPr>
              <w:spacing w:before="0" w:after="0" w:line="288" w:lineRule="auto"/>
              <w:ind w:left="90" w:right="90" w:firstLine="0"/>
              <w:jc w:val="both"/>
              <w:outlineLvl w:val="9"/>
              <w:rPr>
                <w:rFonts w:ascii="Arial" w:eastAsia="Arial" w:hAnsi="Arial" w:cs="Arial"/>
                <w:b w:val="0"/>
                <w:i w:val="0"/>
                <w:sz w:val="20"/>
              </w:rPr>
            </w:pPr>
            <w:r>
              <w:rPr>
                <w:rFonts w:ascii="Arial" w:eastAsia="Arial" w:hAnsi="Arial" w:cs="Arial"/>
                <w:b w:val="0"/>
                <w:i w:val="0"/>
                <w:sz w:val="20"/>
              </w:rPr>
              <w:t>The Risk Committee oversees the management of long-term risks posed by climate change, including specific actions performed or to be performed to address the risks that climate changes poses to the Company. In addition, the Risk Committee reviews our sustainability programs and goals related to determining and reducing our climate impact in our operations and monitors our progress toward achieving such goals.</w:t>
            </w:r>
          </w:p>
        </w:tc>
      </w:tr>
      <w:tr>
        <w:tblPrEx>
          <w:tblW w:w="10260" w:type="dxa"/>
          <w:tblInd w:w="0" w:type="dxa"/>
          <w:tblLayout w:type="fixed"/>
          <w:tblCellMar>
            <w:left w:w="108" w:type="dxa"/>
            <w:right w:w="108" w:type="dxa"/>
          </w:tblCellMar>
        </w:tblPrEx>
        <w:trPr>
          <w:cantSplit/>
          <w:trHeight w:hRule="exact" w:val="2700"/>
        </w:trPr>
        <w:tc>
          <w:tcPr>
            <w:tcW w:w="1785"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88" w:lineRule="auto"/>
              <w:ind w:left="0" w:right="0" w:firstLine="0"/>
              <w:jc w:val="center"/>
              <w:outlineLvl w:val="9"/>
              <w:rPr>
                <w:rFonts w:ascii="Arial" w:eastAsia="Arial" w:hAnsi="Arial" w:cs="Arial"/>
                <w:b/>
                <w:i w:val="0"/>
                <w:color w:val="4495D1"/>
                <w:sz w:val="20"/>
                <w:u w:val="none"/>
              </w:rPr>
            </w:pPr>
            <w:r>
              <w:pict>
                <v:shape id="_x0000_s1211" type="#_x0000_t75" style="width:60pt;height:60pt;margin-top:0;margin-left:0;mso-position-horizontal:center;position:absolute;z-index:251771904">
                  <v:imagedata r:id="rId140" o:title=""/>
                  <o:lock v:ext="edit" aspectratio="t"/>
                  <w10:wrap type="square"/>
                </v:shape>
              </w:pict>
            </w:r>
          </w:p>
        </w:tc>
        <w:tc>
          <w:tcPr>
            <w:tcW w:w="8475" w:type="dxa"/>
            <w:tcBorders>
              <w:top w:val="single" w:sz="12" w:space="0" w:color="4494D1"/>
              <w:left w:val="nil"/>
              <w:bottom w:val="single" w:sz="8" w:space="0" w:color="4494D1"/>
              <w:right w:val="nil"/>
            </w:tcBorders>
            <w:tcMar>
              <w:top w:w="0" w:type="dxa"/>
              <w:left w:w="53" w:type="dxa"/>
              <w:bottom w:w="0" w:type="dxa"/>
              <w:right w:w="53" w:type="dxa"/>
            </w:tcMar>
            <w:vAlign w:val="center"/>
          </w:tcPr>
          <w:p>
            <w:pPr>
              <w:pageBreakBefore w:val="0"/>
              <w:numPr>
                <w:ilvl w:val="0"/>
                <w:numId w:val="0"/>
              </w:numPr>
              <w:spacing w:before="0" w:after="0" w:line="300" w:lineRule="auto"/>
              <w:ind w:left="90" w:right="0" w:firstLine="0"/>
              <w:jc w:val="both"/>
              <w:outlineLvl w:val="9"/>
              <w:rPr>
                <w:rFonts w:ascii="Arial" w:eastAsia="Arial" w:hAnsi="Arial" w:cs="Arial"/>
                <w:b/>
                <w:i w:val="0"/>
                <w:sz w:val="20"/>
              </w:rPr>
            </w:pPr>
            <w:r>
              <w:rPr>
                <w:rFonts w:ascii="Arial" w:eastAsia="Arial" w:hAnsi="Arial" w:cs="Arial"/>
                <w:b/>
                <w:i w:val="0"/>
                <w:sz w:val="20"/>
              </w:rPr>
              <w:t>INTERNAL CONTROLS AND PROCEDURES</w:t>
            </w:r>
          </w:p>
          <w:p>
            <w:pPr>
              <w:pageBreakBefore w:val="0"/>
              <w:numPr>
                <w:ilvl w:val="0"/>
                <w:numId w:val="0"/>
              </w:numPr>
              <w:spacing w:before="0" w:after="0" w:line="300" w:lineRule="auto"/>
              <w:ind w:left="90" w:right="0" w:firstLine="0"/>
              <w:jc w:val="both"/>
              <w:outlineLvl w:val="9"/>
              <w:rPr>
                <w:rFonts w:ascii="Arial" w:eastAsia="Arial" w:hAnsi="Arial" w:cs="Arial"/>
                <w:b/>
                <w:i w:val="0"/>
                <w:color w:val="4494D1"/>
                <w:sz w:val="12"/>
                <w:u w:val="none"/>
              </w:rPr>
            </w:pPr>
          </w:p>
          <w:p>
            <w:pPr>
              <w:pageBreakBefore w:val="0"/>
              <w:numPr>
                <w:ilvl w:val="0"/>
                <w:numId w:val="0"/>
              </w:numPr>
              <w:spacing w:before="0" w:after="0" w:line="300" w:lineRule="auto"/>
              <w:ind w:left="90" w:right="0" w:firstLine="0"/>
              <w:jc w:val="both"/>
              <w:outlineLvl w:val="9"/>
              <w:rPr>
                <w:rFonts w:ascii="Arial" w:eastAsia="Arial" w:hAnsi="Arial" w:cs="Arial"/>
                <w:b w:val="0"/>
                <w:i w:val="0"/>
                <w:sz w:val="20"/>
              </w:rPr>
            </w:pPr>
            <w:r>
              <w:rPr>
                <w:rFonts w:ascii="Arial" w:eastAsia="Arial" w:hAnsi="Arial" w:cs="Arial"/>
                <w:b w:val="0"/>
                <w:i w:val="0"/>
                <w:sz w:val="20"/>
              </w:rPr>
              <w:t>The Board’s risk governance framework supports the Audit Committee’s oversight of the Company’s internal controls and procedures. Our internal control system is supported by a program of internal audits and appropriate reviews, written policies and guidelines, and compliance training.</w:t>
            </w:r>
          </w:p>
        </w:tc>
      </w:tr>
    </w:tbl>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sectPr>
          <w:headerReference w:type="default" r:id="rId141"/>
          <w:footerReference w:type="default" r:id="rId142"/>
          <w:type w:val="continuous"/>
          <w:pgSz w:w="12240" w:h="15840"/>
          <w:pgMar w:top="855" w:right="990" w:bottom="855" w:left="990" w:header="270" w:footer="270"/>
          <w:cols w:space="708"/>
        </w:sectPr>
      </w:pPr>
    </w:p>
    <w:p>
      <w:pPr>
        <w:keepNext w:val="0"/>
        <w:keepLines/>
        <w:pageBreakBefore w:val="0"/>
        <w:widowControl w:val="0"/>
        <w:numPr>
          <w:ilvl w:val="0"/>
          <w:numId w:val="0"/>
        </w:numPr>
        <w:spacing w:before="0" w:after="60" w:line="288" w:lineRule="auto"/>
        <w:ind w:left="0" w:right="0" w:firstLine="0"/>
        <w:jc w:val="left"/>
        <w:outlineLvl w:val="9"/>
        <w:rPr>
          <w:rFonts w:ascii="Times New Roman" w:eastAsia="Times New Roman" w:hAnsi="Times New Roman" w:cs="Times New Roman"/>
          <w:b w:val="0"/>
          <w:i w:val="0"/>
          <w:color w:val="FF0090"/>
          <w:sz w:val="20"/>
          <w:u w:val="none"/>
        </w:rPr>
      </w:pPr>
      <w:bookmarkStart w:id="45" w:name="Section48"/>
      <w:bookmarkEnd w:id="45"/>
    </w:p>
    <w:p>
      <w:pPr>
        <w:keepNext w:val="0"/>
        <w:keepLines/>
        <w:pageBreakBefore w:val="0"/>
        <w:widowControl w:val="0"/>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ENVIRONMENTAL, SOCIAL AND GOVERNANCE MATTERS</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Enstar has long emphasized corporate responsibility. Engagement with our shareholders has demonstrated that, although interest in ESG issues has existed for quite some time, there is a growing trend towards greater oversight, integration and reporting by companies on these issues. Many of the shareholders </w:t>
      </w:r>
      <w:r>
        <w:rPr>
          <w:rFonts w:ascii="Arial" w:eastAsia="Arial" w:hAnsi="Arial" w:cs="Arial"/>
          <w:b w:val="0"/>
          <w:i w:val="0"/>
          <w:sz w:val="20"/>
        </w:rPr>
        <w:t>continue to</w:t>
      </w:r>
      <w:r>
        <w:rPr>
          <w:rFonts w:ascii="Arial" w:eastAsia="Arial" w:hAnsi="Arial" w:cs="Arial"/>
          <w:b w:val="0"/>
          <w:i w:val="0"/>
          <w:sz w:val="20"/>
        </w:rPr>
        <w:t xml:space="preserve"> express</w:t>
      </w:r>
      <w:r>
        <w:rPr>
          <w:rFonts w:ascii="Arial" w:eastAsia="Arial" w:hAnsi="Arial" w:cs="Arial"/>
          <w:b w:val="0"/>
          <w:i w:val="0"/>
          <w:sz w:val="20"/>
        </w:rPr>
        <w:t xml:space="preserve"> an interest in learning more about our ESG initiatives. We have placed increased emphasis on the importance of ESG to deliver the Company’s strategy for the benefit of its shareholders while recognizing our role in the wider community, and providing stakeholders with regular and transparent reporting regarding the Company's ESG impacts. We are in the process of publishing our </w:t>
      </w:r>
      <w:r>
        <w:rPr>
          <w:rFonts w:ascii="Arial" w:eastAsia="Arial" w:hAnsi="Arial" w:cs="Arial"/>
          <w:b w:val="0"/>
          <w:i w:val="0"/>
          <w:sz w:val="20"/>
        </w:rPr>
        <w:t>third</w:t>
      </w:r>
      <w:r>
        <w:rPr>
          <w:rFonts w:ascii="Arial" w:eastAsia="Arial" w:hAnsi="Arial" w:cs="Arial"/>
          <w:b w:val="0"/>
          <w:i w:val="0"/>
          <w:sz w:val="20"/>
        </w:rPr>
        <w:t xml:space="preserve"> annual ESG Report, Sustainability (SASB) Report, and Climate Change (TCFD) Report, a</w:t>
      </w:r>
      <w:r>
        <w:rPr>
          <w:rFonts w:ascii="Arial" w:eastAsia="Arial" w:hAnsi="Arial" w:cs="Arial"/>
          <w:b w:val="0"/>
          <w:i w:val="0"/>
          <w:sz w:val="20"/>
        </w:rPr>
        <w:t>long with</w:t>
      </w:r>
      <w:r>
        <w:rPr>
          <w:rFonts w:ascii="Arial" w:eastAsia="Arial" w:hAnsi="Arial" w:cs="Arial"/>
          <w:b w:val="0"/>
          <w:i w:val="0"/>
          <w:sz w:val="20"/>
        </w:rPr>
        <w:t xml:space="preserve"> our </w:t>
      </w:r>
      <w:r>
        <w:rPr>
          <w:rFonts w:ascii="Arial" w:eastAsia="Arial" w:hAnsi="Arial" w:cs="Arial"/>
          <w:b w:val="0"/>
          <w:i w:val="0"/>
          <w:sz w:val="20"/>
        </w:rPr>
        <w:t>second annual</w:t>
      </w:r>
      <w:r>
        <w:rPr>
          <w:rFonts w:ascii="Arial" w:eastAsia="Arial" w:hAnsi="Arial" w:cs="Arial"/>
          <w:b w:val="0"/>
          <w:i w:val="0"/>
          <w:sz w:val="20"/>
        </w:rPr>
        <w:t xml:space="preserve"> Diversity, Equity, and Inclusion ("DE</w:t>
      </w:r>
      <w:r>
        <w:rPr>
          <w:rFonts w:ascii="Arial" w:eastAsia="Arial" w:hAnsi="Arial" w:cs="Arial"/>
          <w:b w:val="0"/>
          <w:i w:val="0"/>
          <w:sz w:val="20"/>
        </w:rPr>
        <w:t>&amp;</w:t>
      </w:r>
      <w:r>
        <w:rPr>
          <w:rFonts w:ascii="Arial" w:eastAsia="Arial" w:hAnsi="Arial" w:cs="Arial"/>
          <w:b w:val="0"/>
          <w:i w:val="0"/>
          <w:sz w:val="20"/>
        </w:rPr>
        <w:t>I") Report</w:t>
      </w:r>
      <w:r>
        <w:rPr>
          <w:rFonts w:ascii="Arial" w:eastAsia="Arial" w:hAnsi="Arial" w:cs="Arial"/>
          <w:b w:val="0"/>
          <w:i w:val="0"/>
          <w:sz w:val="20"/>
        </w:rPr>
        <w:t xml:space="preserve">, which </w:t>
      </w:r>
      <w:r>
        <w:rPr>
          <w:rFonts w:ascii="Arial" w:eastAsia="Arial" w:hAnsi="Arial" w:cs="Arial"/>
          <w:b w:val="0"/>
          <w:i w:val="0"/>
          <w:sz w:val="20"/>
        </w:rPr>
        <w:t>form</w:t>
      </w:r>
      <w:r>
        <w:rPr>
          <w:rFonts w:ascii="Arial" w:eastAsia="Arial" w:hAnsi="Arial" w:cs="Arial"/>
          <w:b w:val="0"/>
          <w:i w:val="0"/>
          <w:sz w:val="20"/>
        </w:rPr>
        <w:t>s</w:t>
      </w:r>
      <w:r>
        <w:rPr>
          <w:rFonts w:ascii="Arial" w:eastAsia="Arial" w:hAnsi="Arial" w:cs="Arial"/>
          <w:b w:val="0"/>
          <w:i w:val="0"/>
          <w:sz w:val="20"/>
        </w:rPr>
        <w:t xml:space="preserve"> part</w:t>
      </w:r>
      <w:r>
        <w:rPr>
          <w:rFonts w:ascii="Arial" w:eastAsia="Arial" w:hAnsi="Arial" w:cs="Arial"/>
          <w:b w:val="0"/>
          <w:i w:val="0"/>
          <w:sz w:val="20"/>
        </w:rPr>
        <w:t xml:space="preserve"> </w:t>
      </w:r>
      <w:r>
        <w:rPr>
          <w:rFonts w:ascii="Arial" w:eastAsia="Arial" w:hAnsi="Arial" w:cs="Arial"/>
          <w:b w:val="0"/>
          <w:i w:val="0"/>
          <w:sz w:val="20"/>
        </w:rPr>
        <w:t xml:space="preserve">of </w:t>
      </w:r>
      <w:r>
        <w:rPr>
          <w:rFonts w:ascii="Arial" w:eastAsia="Arial" w:hAnsi="Arial" w:cs="Arial"/>
          <w:b w:val="0"/>
          <w:i w:val="0"/>
          <w:sz w:val="20"/>
        </w:rPr>
        <w:t>our</w:t>
      </w:r>
      <w:r>
        <w:rPr>
          <w:rFonts w:ascii="Arial" w:eastAsia="Arial" w:hAnsi="Arial" w:cs="Arial"/>
          <w:b w:val="0"/>
          <w:i w:val="0"/>
          <w:sz w:val="20"/>
        </w:rPr>
        <w:t xml:space="preserve"> larger ESG Report</w:t>
      </w:r>
      <w:r>
        <w:rPr>
          <w:rFonts w:ascii="Arial" w:eastAsia="Arial" w:hAnsi="Arial" w:cs="Arial"/>
          <w:b w:val="0"/>
          <w:i w:val="0"/>
          <w:sz w:val="20"/>
        </w:rPr>
        <w:t xml:space="preserve"> this year</w:t>
      </w:r>
      <w:r>
        <w:rPr>
          <w:rFonts w:ascii="Arial" w:eastAsia="Arial" w:hAnsi="Arial" w:cs="Arial"/>
          <w:b w:val="0"/>
          <w:i w:val="0"/>
          <w:sz w:val="20"/>
        </w:rPr>
        <w:t xml:space="preserve">. These disclosures will reflect the continuing progress of our ESG journey. For more information regarding our ESG initiatives and related matters or to obtain copies our annual ESG reports, please visit the “Sustainability” section of our corporate website. </w:t>
      </w:r>
    </w:p>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sectPr>
          <w:headerReference w:type="default" r:id="rId143"/>
          <w:footerReference w:type="default" r:id="rId144"/>
          <w:pgSz w:w="12240" w:h="15840"/>
          <w:pgMar w:top="855" w:right="990" w:bottom="855" w:left="990" w:header="27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46" w:name="Section49"/>
      <w:bookmarkEnd w:id="46"/>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ESG Strategy</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Enstar's ESG strategy is informed by a materiality assessment, and focused on three primary areas:</w:t>
      </w:r>
    </w:p>
    <w:tbl>
      <w:tblPr>
        <w:tblW w:w="1015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255"/>
        <w:gridCol w:w="195"/>
        <w:gridCol w:w="3255"/>
        <w:gridCol w:w="195"/>
        <w:gridCol w:w="3255"/>
      </w:tblGrid>
      <w:tr>
        <w:tblPrEx>
          <w:tblW w:w="1015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305"/>
        </w:trPr>
        <w:tc>
          <w:tcPr>
            <w:tcW w:w="3255" w:type="dxa"/>
            <w:tcBorders>
              <w:top w:val="single" w:sz="12" w:space="0" w:color="002060"/>
              <w:left w:val="single" w:sz="12" w:space="0" w:color="002060"/>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20"/>
              </w:rPr>
            </w:pPr>
            <w:r>
              <w:pict>
                <v:shape id="_x0000_s1212" type="#_x0000_t75" style="width:50.4pt;height:50.4pt;margin-top:0;margin-left:0;mso-position-horizontal:center;position:absolute;z-index:251772928">
                  <v:imagedata r:id="rId145" o:title=""/>
                  <o:lock v:ext="edit" aspectratio="t"/>
                  <w10:wrap type="square"/>
                </v:shape>
              </w:pict>
            </w:r>
          </w:p>
        </w:tc>
        <w:tc>
          <w:tcPr>
            <w:tcW w:w="195" w:type="dxa"/>
            <w:tcBorders>
              <w:top w:val="nil"/>
              <w:left w:val="single" w:sz="12" w:space="0" w:color="002060"/>
              <w:bottom w:val="nil"/>
              <w:right w:val="nil"/>
            </w:tcBorders>
            <w:tcMar>
              <w:top w:w="0" w:type="dxa"/>
              <w:left w:w="0" w:type="dxa"/>
              <w:bottom w:w="0" w:type="dxa"/>
              <w:right w:w="0" w:type="dxa"/>
            </w:tcMar>
            <w:vAlign w:val="bottom"/>
          </w:tcPr>
          <w:p>
            <w:pPr>
              <w:keepNext/>
              <w:pageBreakBefore w:val="0"/>
              <w:spacing w:before="0" w:after="0"/>
            </w:pPr>
          </w:p>
        </w:tc>
        <w:tc>
          <w:tcPr>
            <w:tcW w:w="3255" w:type="dxa"/>
            <w:tcBorders>
              <w:top w:val="single" w:sz="12" w:space="0" w:color="0066A5"/>
              <w:left w:val="single" w:sz="12" w:space="0" w:color="0066A5"/>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20"/>
              </w:rPr>
            </w:pPr>
            <w:r>
              <w:pict>
                <v:shape id="_x0000_s1213" type="#_x0000_t75" style="width:50.4pt;height:50.4pt;margin-top:0;margin-left:0;mso-position-horizontal:center;position:absolute;z-index:251773952">
                  <v:imagedata r:id="rId146" o:title=""/>
                  <o:lock v:ext="edit" aspectratio="t"/>
                  <w10:wrap type="square"/>
                </v:shape>
              </w:pict>
            </w:r>
          </w:p>
        </w:tc>
        <w:tc>
          <w:tcPr>
            <w:tcW w:w="195" w:type="dxa"/>
            <w:tcBorders>
              <w:top w:val="nil"/>
              <w:left w:val="single" w:sz="12" w:space="0" w:color="0066A5"/>
              <w:bottom w:val="nil"/>
              <w:right w:val="nil"/>
            </w:tcBorders>
            <w:tcMar>
              <w:top w:w="0" w:type="dxa"/>
              <w:left w:w="0" w:type="dxa"/>
              <w:bottom w:w="0" w:type="dxa"/>
              <w:right w:w="0" w:type="dxa"/>
            </w:tcMar>
            <w:vAlign w:val="bottom"/>
          </w:tcPr>
          <w:p>
            <w:pPr>
              <w:keepNext/>
              <w:pageBreakBefore w:val="0"/>
              <w:spacing w:before="0" w:after="0"/>
            </w:pPr>
          </w:p>
        </w:tc>
        <w:tc>
          <w:tcPr>
            <w:tcW w:w="3255" w:type="dxa"/>
            <w:tcBorders>
              <w:top w:val="single" w:sz="12" w:space="0" w:color="A6A6A6"/>
              <w:left w:val="single" w:sz="12" w:space="0" w:color="A6A6A6"/>
              <w:bottom w:val="nil"/>
              <w:right w:val="single" w:sz="12" w:space="0" w:color="A6A6A6"/>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20"/>
              </w:rPr>
            </w:pPr>
            <w:r>
              <w:pict>
                <v:shape id="_x0000_s1214" type="#_x0000_t75" style="width:50.4pt;height:50.4pt;margin-top:0;margin-left:0;mso-position-horizontal:center;position:absolute;z-index:251774976">
                  <v:imagedata r:id="rId147" o:title=""/>
                  <o:lock v:ext="edit" aspectratio="t"/>
                  <w10:wrap type="square"/>
                </v:shape>
              </w:pict>
            </w:r>
          </w:p>
        </w:tc>
      </w:tr>
      <w:tr>
        <w:tblPrEx>
          <w:tblW w:w="10155" w:type="dxa"/>
          <w:tblInd w:w="0" w:type="dxa"/>
          <w:tblLayout w:type="fixed"/>
          <w:tblCellMar>
            <w:left w:w="108" w:type="dxa"/>
            <w:right w:w="108" w:type="dxa"/>
          </w:tblCellMar>
        </w:tblPrEx>
        <w:trPr>
          <w:cantSplit/>
          <w:trHeight w:hRule="exact" w:val="765"/>
        </w:trPr>
        <w:tc>
          <w:tcPr>
            <w:tcW w:w="3255" w:type="dxa"/>
            <w:tcBorders>
              <w:top w:val="nil"/>
              <w:left w:val="single" w:sz="12" w:space="0" w:color="002060"/>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i w:val="0"/>
                <w:color w:val="000000"/>
                <w:sz w:val="24"/>
                <w:u w:val="none"/>
              </w:rPr>
              <w:t>Addressing Climate Change</w:t>
            </w:r>
          </w:p>
        </w:tc>
        <w:tc>
          <w:tcPr>
            <w:tcW w:w="195" w:type="dxa"/>
            <w:tcBorders>
              <w:top w:val="nil"/>
              <w:left w:val="single" w:sz="12" w:space="0" w:color="002060"/>
              <w:bottom w:val="nil"/>
              <w:right w:val="nil"/>
            </w:tcBorders>
            <w:tcMar>
              <w:top w:w="0" w:type="dxa"/>
              <w:left w:w="0" w:type="dxa"/>
              <w:bottom w:w="0" w:type="dxa"/>
              <w:right w:w="0" w:type="dxa"/>
            </w:tcMar>
            <w:vAlign w:val="bottom"/>
          </w:tcPr>
          <w:p>
            <w:pPr>
              <w:keepNext/>
              <w:pageBreakBefore w:val="0"/>
              <w:spacing w:before="0" w:after="0"/>
            </w:pPr>
          </w:p>
        </w:tc>
        <w:tc>
          <w:tcPr>
            <w:tcW w:w="3255" w:type="dxa"/>
            <w:tcBorders>
              <w:top w:val="nil"/>
              <w:left w:val="single" w:sz="12" w:space="0" w:color="0066A5"/>
              <w:bottom w:val="nil"/>
              <w:right w:val="nil"/>
            </w:tcBorders>
            <w:tcMar>
              <w:top w:w="0" w:type="dxa"/>
              <w:left w:w="53" w:type="dxa"/>
              <w:bottom w:w="0" w:type="dxa"/>
              <w:right w:w="53" w:type="dxa"/>
            </w:tcMar>
            <w:vAlign w:val="top"/>
          </w:tcPr>
          <w:p>
            <w:pPr>
              <w:keepNext/>
              <w:pageBreakBefore w:val="0"/>
              <w:spacing w:before="53" w:line="240" w:lineRule="auto"/>
              <w:jc w:val="center"/>
            </w:pPr>
            <w:r>
              <w:rPr>
                <w:rFonts w:ascii="Arial" w:eastAsia="Arial" w:hAnsi="Arial" w:cs="Arial"/>
                <w:b/>
                <w:i w:val="0"/>
                <w:color w:val="000000"/>
                <w:sz w:val="24"/>
                <w:u w:val="none"/>
              </w:rPr>
              <w:t xml:space="preserve">Sustainable </w:t>
            </w:r>
          </w:p>
          <w:p>
            <w:pPr>
              <w:spacing w:after="30" w:line="240" w:lineRule="auto"/>
              <w:jc w:val="center"/>
            </w:pPr>
            <w:r>
              <w:rPr>
                <w:rFonts w:ascii="Arial" w:eastAsia="Arial" w:hAnsi="Arial" w:cs="Arial"/>
                <w:b/>
                <w:i w:val="0"/>
                <w:color w:val="000000"/>
                <w:sz w:val="24"/>
                <w:u w:val="none"/>
              </w:rPr>
              <w:t>Investing</w:t>
            </w:r>
          </w:p>
        </w:tc>
        <w:tc>
          <w:tcPr>
            <w:tcW w:w="195" w:type="dxa"/>
            <w:tcBorders>
              <w:top w:val="nil"/>
              <w:left w:val="single" w:sz="12" w:space="0" w:color="0066A5"/>
              <w:bottom w:val="nil"/>
              <w:right w:val="nil"/>
            </w:tcBorders>
            <w:tcMar>
              <w:top w:w="0" w:type="dxa"/>
              <w:left w:w="0" w:type="dxa"/>
              <w:bottom w:w="0" w:type="dxa"/>
              <w:right w:w="0" w:type="dxa"/>
            </w:tcMar>
            <w:vAlign w:val="bottom"/>
          </w:tcPr>
          <w:p>
            <w:pPr>
              <w:keepNext/>
              <w:pageBreakBefore w:val="0"/>
              <w:spacing w:before="0" w:after="0"/>
            </w:pPr>
          </w:p>
        </w:tc>
        <w:tc>
          <w:tcPr>
            <w:tcW w:w="3255" w:type="dxa"/>
            <w:tcBorders>
              <w:top w:val="nil"/>
              <w:left w:val="single" w:sz="12" w:space="0" w:color="A6A6A6"/>
              <w:bottom w:val="nil"/>
              <w:right w:val="single" w:sz="12" w:space="0" w:color="A6A6A6"/>
            </w:tcBorders>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i w:val="0"/>
                <w:color w:val="000000"/>
                <w:sz w:val="24"/>
                <w:u w:val="none"/>
              </w:rPr>
              <w:t>Developing our Human Capital</w:t>
            </w:r>
          </w:p>
        </w:tc>
      </w:tr>
      <w:tr>
        <w:tblPrEx>
          <w:tblW w:w="10155" w:type="dxa"/>
          <w:tblInd w:w="0" w:type="dxa"/>
          <w:tblLayout w:type="fixed"/>
          <w:tblCellMar>
            <w:left w:w="108" w:type="dxa"/>
            <w:right w:w="108" w:type="dxa"/>
          </w:tblCellMar>
        </w:tblPrEx>
        <w:trPr>
          <w:cantSplit/>
          <w:trHeight w:hRule="exact" w:val="1605"/>
        </w:trPr>
        <w:tc>
          <w:tcPr>
            <w:tcW w:w="3255" w:type="dxa"/>
            <w:tcBorders>
              <w:top w:val="nil"/>
              <w:left w:val="single" w:sz="12" w:space="0" w:color="002060"/>
              <w:bottom w:val="single" w:sz="12" w:space="0" w:color="002060"/>
              <w:right w:val="nil"/>
            </w:tcBorders>
            <w:tcMar>
              <w:top w:w="0" w:type="dxa"/>
              <w:left w:w="53" w:type="dxa"/>
              <w:bottom w:w="0" w:type="dxa"/>
              <w:right w:w="53" w:type="dxa"/>
            </w:tcMar>
            <w:vAlign w:val="top"/>
          </w:tcPr>
          <w:p>
            <w:pPr>
              <w:pageBreakBefore w:val="0"/>
              <w:spacing w:before="53" w:after="30" w:line="240" w:lineRule="auto"/>
              <w:jc w:val="center"/>
            </w:pPr>
            <w:r>
              <w:rPr>
                <w:rFonts w:ascii="Arial" w:eastAsia="Arial" w:hAnsi="Arial" w:cs="Arial"/>
                <w:b w:val="0"/>
                <w:i w:val="0"/>
                <w:color w:val="000000"/>
                <w:sz w:val="18"/>
                <w:u w:val="none"/>
              </w:rPr>
              <w:t>Understand and mitigate the three major types of climate risk which may affect the sustainability of our business including insurance contracts we may assume.</w:t>
            </w:r>
          </w:p>
        </w:tc>
        <w:tc>
          <w:tcPr>
            <w:tcW w:w="195" w:type="dxa"/>
            <w:tcBorders>
              <w:top w:val="nil"/>
              <w:left w:val="single" w:sz="12" w:space="0" w:color="002060"/>
              <w:bottom w:val="nil"/>
              <w:right w:val="nil"/>
            </w:tcBorders>
            <w:tcMar>
              <w:top w:w="0" w:type="dxa"/>
              <w:left w:w="0" w:type="dxa"/>
              <w:bottom w:w="0" w:type="dxa"/>
              <w:right w:w="0" w:type="dxa"/>
            </w:tcMar>
            <w:vAlign w:val="bottom"/>
          </w:tcPr>
          <w:p>
            <w:pPr>
              <w:pageBreakBefore w:val="0"/>
              <w:spacing w:before="0" w:after="0"/>
            </w:pPr>
          </w:p>
        </w:tc>
        <w:tc>
          <w:tcPr>
            <w:tcW w:w="3255" w:type="dxa"/>
            <w:tcBorders>
              <w:top w:val="nil"/>
              <w:left w:val="single" w:sz="12" w:space="0" w:color="0066A5"/>
              <w:bottom w:val="single" w:sz="12" w:space="0" w:color="0066A5"/>
              <w:right w:val="nil"/>
            </w:tcBorders>
            <w:tcMar>
              <w:top w:w="0" w:type="dxa"/>
              <w:left w:w="53" w:type="dxa"/>
              <w:bottom w:w="0" w:type="dxa"/>
              <w:right w:w="53" w:type="dxa"/>
            </w:tcMar>
            <w:vAlign w:val="top"/>
          </w:tcPr>
          <w:p>
            <w:pPr>
              <w:pageBreakBefore w:val="0"/>
              <w:spacing w:before="53" w:after="30" w:line="240" w:lineRule="auto"/>
              <w:jc w:val="center"/>
            </w:pPr>
            <w:r>
              <w:rPr>
                <w:rFonts w:ascii="Arial" w:eastAsia="Arial" w:hAnsi="Arial" w:cs="Arial"/>
                <w:b w:val="0"/>
                <w:i w:val="0"/>
                <w:color w:val="000000"/>
                <w:sz w:val="18"/>
                <w:u w:val="none"/>
              </w:rPr>
              <w:t>Explore and improve the sustainable impact of our investment activities while maintaining our objective of obtaining the highest possible level of risk-adjusted investment returns consistent with the preservation of capital, liquidity, and prudent diversification.</w:t>
            </w:r>
          </w:p>
        </w:tc>
        <w:tc>
          <w:tcPr>
            <w:tcW w:w="195" w:type="dxa"/>
            <w:tcBorders>
              <w:top w:val="nil"/>
              <w:left w:val="single" w:sz="12" w:space="0" w:color="0066A5"/>
              <w:bottom w:val="nil"/>
              <w:right w:val="nil"/>
            </w:tcBorders>
            <w:tcMar>
              <w:top w:w="0" w:type="dxa"/>
              <w:left w:w="0" w:type="dxa"/>
              <w:bottom w:w="0" w:type="dxa"/>
              <w:right w:w="0" w:type="dxa"/>
            </w:tcMar>
            <w:vAlign w:val="bottom"/>
          </w:tcPr>
          <w:p>
            <w:pPr>
              <w:pageBreakBefore w:val="0"/>
              <w:spacing w:before="0" w:after="0"/>
            </w:pPr>
          </w:p>
        </w:tc>
        <w:tc>
          <w:tcPr>
            <w:tcW w:w="3255" w:type="dxa"/>
            <w:tcBorders>
              <w:top w:val="nil"/>
              <w:left w:val="single" w:sz="12" w:space="0" w:color="A6A6A6"/>
              <w:bottom w:val="single" w:sz="12" w:space="0" w:color="A6A6A6"/>
              <w:right w:val="single" w:sz="12" w:space="0" w:color="A6A6A6"/>
            </w:tcBorders>
            <w:tcMar>
              <w:top w:w="0" w:type="dxa"/>
              <w:left w:w="53" w:type="dxa"/>
              <w:bottom w:w="0" w:type="dxa"/>
              <w:right w:w="53" w:type="dxa"/>
            </w:tcMar>
            <w:vAlign w:val="top"/>
          </w:tcPr>
          <w:p>
            <w:pPr>
              <w:pageBreakBefore w:val="0"/>
              <w:spacing w:before="53" w:after="30" w:line="240" w:lineRule="auto"/>
              <w:jc w:val="center"/>
            </w:pPr>
            <w:r>
              <w:rPr>
                <w:rFonts w:ascii="Arial" w:eastAsia="Arial" w:hAnsi="Arial" w:cs="Arial"/>
                <w:b w:val="0"/>
                <w:i w:val="0"/>
                <w:color w:val="000000"/>
                <w:sz w:val="18"/>
                <w:u w:val="none"/>
              </w:rPr>
              <w:t>Support a diverse, equitable and inclusive workforce to become an employer of choice that draws strength, opportunities, and financial growth from the diversity of our workforce.</w:t>
            </w:r>
          </w:p>
        </w:tc>
      </w:tr>
    </w:tbl>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sectPr>
          <w:headerReference w:type="default" r:id="rId148"/>
          <w:footerReference w:type="default" r:id="rId149"/>
          <w:type w:val="continuous"/>
          <w:pgSz w:w="12240" w:h="15840"/>
          <w:pgMar w:top="855" w:right="990" w:bottom="855" w:left="990" w:header="27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47" w:name="Section50"/>
      <w:bookmarkEnd w:id="47"/>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202</w:t>
      </w:r>
      <w:r>
        <w:rPr>
          <w:rFonts w:ascii="Arial" w:eastAsia="Arial" w:hAnsi="Arial" w:cs="Arial"/>
          <w:b/>
          <w:i w:val="0"/>
          <w:color w:val="171449"/>
          <w:sz w:val="24"/>
          <w:u w:val="none"/>
        </w:rPr>
        <w:t>3</w:t>
      </w:r>
      <w:r>
        <w:rPr>
          <w:rFonts w:ascii="Arial" w:eastAsia="Arial" w:hAnsi="Arial" w:cs="Arial"/>
          <w:b/>
          <w:i w:val="0"/>
          <w:color w:val="171449"/>
          <w:sz w:val="24"/>
          <w:u w:val="none"/>
        </w:rPr>
        <w:t xml:space="preserve"> ESG Highlights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000000"/>
          <w:sz w:val="20"/>
          <w:u w:val="none"/>
          <w:shd w:val="clear" w:color="auto" w:fill="FFFF00"/>
        </w:rPr>
      </w:pPr>
      <w:r>
        <w:rPr>
          <w:rFonts w:ascii="Arial" w:eastAsia="Arial" w:hAnsi="Arial" w:cs="Arial"/>
          <w:b w:val="0"/>
          <w:i w:val="0"/>
          <w:sz w:val="20"/>
        </w:rPr>
        <w:t>Select achievements from our 202</w:t>
      </w:r>
      <w:r>
        <w:rPr>
          <w:rFonts w:ascii="Arial" w:eastAsia="Arial" w:hAnsi="Arial" w:cs="Arial"/>
          <w:b w:val="0"/>
          <w:i w:val="0"/>
          <w:sz w:val="20"/>
        </w:rPr>
        <w:t>3</w:t>
      </w:r>
      <w:r>
        <w:rPr>
          <w:rFonts w:ascii="Arial" w:eastAsia="Arial" w:hAnsi="Arial" w:cs="Arial"/>
          <w:b w:val="0"/>
          <w:i w:val="0"/>
          <w:sz w:val="20"/>
        </w:rPr>
        <w:t xml:space="preserve"> ESG program are highlighted below:</w:t>
      </w:r>
    </w:p>
    <w:tbl>
      <w:tblPr>
        <w:tblW w:w="101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385"/>
        <w:gridCol w:w="195"/>
        <w:gridCol w:w="2385"/>
        <w:gridCol w:w="195"/>
        <w:gridCol w:w="2385"/>
        <w:gridCol w:w="195"/>
        <w:gridCol w:w="2385"/>
      </w:tblGrid>
      <w:tr>
        <w:tblPrEx>
          <w:tblW w:w="101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500"/>
        </w:trPr>
        <w:tc>
          <w:tcPr>
            <w:tcW w:w="2385" w:type="dxa"/>
            <w:tcBorders>
              <w:top w:val="single" w:sz="12" w:space="0" w:color="002060"/>
              <w:left w:val="single" w:sz="12" w:space="0" w:color="002060"/>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20"/>
              </w:rPr>
            </w:pPr>
            <w:r>
              <w:pict>
                <v:shape id="_x0000_s1215" type="#_x0000_t75" style="width:50.4pt;height:50.4pt;margin-top:0;margin-left:0;mso-position-horizontal:center;position:absolute;z-index:251776000">
                  <v:imagedata r:id="rId150" o:title=""/>
                  <o:lock v:ext="edit" aspectratio="t"/>
                  <w10:wrap type="square"/>
                </v:shape>
              </w:pict>
            </w:r>
          </w:p>
        </w:tc>
        <w:tc>
          <w:tcPr>
            <w:tcW w:w="195" w:type="dxa"/>
            <w:tcBorders>
              <w:top w:val="nil"/>
              <w:left w:val="single" w:sz="12" w:space="0" w:color="002060"/>
              <w:bottom w:val="nil"/>
              <w:right w:val="nil"/>
            </w:tcBorders>
            <w:tcMar>
              <w:top w:w="0" w:type="dxa"/>
              <w:left w:w="0" w:type="dxa"/>
              <w:bottom w:w="0" w:type="dxa"/>
              <w:right w:w="0" w:type="dxa"/>
            </w:tcMar>
            <w:vAlign w:val="bottom"/>
          </w:tcPr>
          <w:p>
            <w:pPr>
              <w:keepNext/>
              <w:pageBreakBefore w:val="0"/>
              <w:spacing w:before="0" w:after="0"/>
            </w:pPr>
          </w:p>
        </w:tc>
        <w:tc>
          <w:tcPr>
            <w:tcW w:w="2385" w:type="dxa"/>
            <w:tcBorders>
              <w:top w:val="single" w:sz="12" w:space="0" w:color="0066A5"/>
              <w:left w:val="single" w:sz="12" w:space="0" w:color="0066A5"/>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20"/>
              </w:rPr>
            </w:pPr>
            <w:r>
              <w:pict>
                <v:shape id="_x0000_s1216" type="#_x0000_t75" style="width:50.4pt;height:50.4pt;margin-top:0;margin-left:0;mso-position-horizontal:center;position:absolute;z-index:251777024">
                  <v:imagedata r:id="rId151" o:title=""/>
                  <o:lock v:ext="edit" aspectratio="t"/>
                  <w10:wrap type="square"/>
                </v:shape>
              </w:pict>
            </w:r>
          </w:p>
        </w:tc>
        <w:tc>
          <w:tcPr>
            <w:tcW w:w="195" w:type="dxa"/>
            <w:tcBorders>
              <w:top w:val="nil"/>
              <w:left w:val="single" w:sz="12" w:space="0" w:color="0066A5"/>
              <w:bottom w:val="nil"/>
              <w:right w:val="nil"/>
            </w:tcBorders>
            <w:tcMar>
              <w:top w:w="0" w:type="dxa"/>
              <w:left w:w="0" w:type="dxa"/>
              <w:bottom w:w="0" w:type="dxa"/>
              <w:right w:w="0" w:type="dxa"/>
            </w:tcMar>
            <w:vAlign w:val="bottom"/>
          </w:tcPr>
          <w:p>
            <w:pPr>
              <w:keepNext/>
              <w:pageBreakBefore w:val="0"/>
              <w:spacing w:before="0" w:after="0"/>
            </w:pPr>
          </w:p>
        </w:tc>
        <w:tc>
          <w:tcPr>
            <w:tcW w:w="2385" w:type="dxa"/>
            <w:tcBorders>
              <w:top w:val="single" w:sz="12" w:space="0" w:color="A6A6A6"/>
              <w:left w:val="single" w:sz="12" w:space="0" w:color="A6A6A6"/>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20"/>
              </w:rPr>
            </w:pPr>
            <w:r>
              <w:pict>
                <v:shape id="_x0000_s1217" type="#_x0000_t75" style="width:50.4pt;height:50.4pt;margin-top:0;margin-left:0;mso-position-horizontal:center;position:absolute;z-index:251778048">
                  <v:imagedata r:id="rId152" o:title=""/>
                  <o:lock v:ext="edit" aspectratio="t"/>
                  <w10:wrap type="square"/>
                </v:shape>
              </w:pict>
            </w:r>
          </w:p>
        </w:tc>
        <w:tc>
          <w:tcPr>
            <w:tcW w:w="195" w:type="dxa"/>
            <w:tcBorders>
              <w:top w:val="nil"/>
              <w:left w:val="single" w:sz="12" w:space="0" w:color="A6A6A6"/>
              <w:bottom w:val="nil"/>
              <w:right w:val="nil"/>
            </w:tcBorders>
            <w:tcMar>
              <w:top w:w="0" w:type="dxa"/>
              <w:left w:w="0" w:type="dxa"/>
              <w:bottom w:w="0" w:type="dxa"/>
              <w:right w:w="0" w:type="dxa"/>
            </w:tcMar>
            <w:vAlign w:val="bottom"/>
          </w:tcPr>
          <w:p>
            <w:pPr>
              <w:keepNext/>
              <w:pageBreakBefore w:val="0"/>
              <w:spacing w:before="0" w:after="0"/>
            </w:pPr>
          </w:p>
        </w:tc>
        <w:tc>
          <w:tcPr>
            <w:tcW w:w="2385" w:type="dxa"/>
            <w:tcBorders>
              <w:top w:val="single" w:sz="12" w:space="0" w:color="4494D1"/>
              <w:left w:val="single" w:sz="12" w:space="0" w:color="4494D1"/>
              <w:bottom w:val="nil"/>
              <w:right w:val="single" w:sz="12" w:space="0" w:color="4494D1"/>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val="0"/>
                <w:i w:val="0"/>
                <w:sz w:val="20"/>
              </w:rPr>
            </w:pPr>
            <w:r>
              <w:pict>
                <v:shape id="_x0000_s1218" type="#_x0000_t75" style="width:50.4pt;height:50.4pt;margin-top:0;margin-left:0;mso-position-horizontal:center;position:absolute;z-index:251779072">
                  <v:imagedata r:id="rId153" o:title=""/>
                  <o:lock v:ext="edit" aspectratio="t"/>
                  <w10:wrap type="square"/>
                </v:shape>
              </w:pict>
            </w:r>
          </w:p>
        </w:tc>
      </w:tr>
      <w:tr>
        <w:tblPrEx>
          <w:tblW w:w="10125" w:type="dxa"/>
          <w:tblInd w:w="0" w:type="dxa"/>
          <w:tblLayout w:type="fixed"/>
          <w:tblCellMar>
            <w:left w:w="108" w:type="dxa"/>
            <w:right w:w="108" w:type="dxa"/>
          </w:tblCellMar>
        </w:tblPrEx>
        <w:trPr>
          <w:cantSplit/>
          <w:trHeight w:hRule="exact" w:val="2520"/>
        </w:trPr>
        <w:tc>
          <w:tcPr>
            <w:tcW w:w="2385" w:type="dxa"/>
            <w:tcBorders>
              <w:top w:val="nil"/>
              <w:left w:val="single" w:sz="12" w:space="0" w:color="002060"/>
              <w:bottom w:val="single" w:sz="12" w:space="0" w:color="002060"/>
              <w:right w:val="nil"/>
            </w:tcBorders>
            <w:tcMar>
              <w:top w:w="0" w:type="dxa"/>
              <w:left w:w="53" w:type="dxa"/>
              <w:bottom w:w="0" w:type="dxa"/>
              <w:right w:w="53" w:type="dxa"/>
            </w:tcMar>
            <w:vAlign w:val="top"/>
          </w:tcPr>
          <w:p>
            <w:pPr>
              <w:pageBreakBefore w:val="0"/>
              <w:spacing w:before="53" w:after="30" w:line="240" w:lineRule="auto"/>
              <w:jc w:val="center"/>
            </w:pPr>
            <w:r>
              <w:rPr>
                <w:rFonts w:ascii="Arial" w:eastAsia="Arial" w:hAnsi="Arial" w:cs="Arial"/>
                <w:b w:val="0"/>
                <w:i w:val="0"/>
                <w:color w:val="000000"/>
                <w:sz w:val="16"/>
                <w:u w:val="none"/>
              </w:rPr>
              <w:t>We continued to strengthen our ESG reporting and risk management processes, embedding ESG considerations into relevant risk frameworks. We also established an ESG Scorecard for our reporting, enabling us to demonstrate our progress in this area over time.</w:t>
            </w:r>
          </w:p>
        </w:tc>
        <w:tc>
          <w:tcPr>
            <w:tcW w:w="195" w:type="dxa"/>
            <w:tcBorders>
              <w:top w:val="nil"/>
              <w:left w:val="single" w:sz="12" w:space="0" w:color="002060"/>
              <w:bottom w:val="nil"/>
              <w:right w:val="nil"/>
            </w:tcBorders>
            <w:tcMar>
              <w:top w:w="0" w:type="dxa"/>
              <w:left w:w="0" w:type="dxa"/>
              <w:bottom w:w="0" w:type="dxa"/>
              <w:right w:w="0" w:type="dxa"/>
            </w:tcMar>
            <w:vAlign w:val="bottom"/>
          </w:tcPr>
          <w:p>
            <w:pPr>
              <w:pageBreakBefore w:val="0"/>
              <w:spacing w:before="0" w:after="0"/>
            </w:pPr>
          </w:p>
        </w:tc>
        <w:tc>
          <w:tcPr>
            <w:tcW w:w="2385" w:type="dxa"/>
            <w:tcBorders>
              <w:top w:val="nil"/>
              <w:left w:val="single" w:sz="12" w:space="0" w:color="0066A5"/>
              <w:bottom w:val="single" w:sz="12" w:space="0" w:color="0066A5"/>
              <w:right w:val="nil"/>
            </w:tcBorders>
            <w:tcMar>
              <w:top w:w="0" w:type="dxa"/>
              <w:left w:w="53" w:type="dxa"/>
              <w:bottom w:w="0" w:type="dxa"/>
              <w:right w:w="53" w:type="dxa"/>
            </w:tcMar>
            <w:vAlign w:val="top"/>
          </w:tcPr>
          <w:p>
            <w:pPr>
              <w:pageBreakBefore w:val="0"/>
              <w:spacing w:before="53" w:after="30" w:line="240" w:lineRule="auto"/>
              <w:jc w:val="center"/>
            </w:pPr>
            <w:r>
              <w:rPr>
                <w:rFonts w:ascii="Arial" w:eastAsia="Arial" w:hAnsi="Arial" w:cs="Arial"/>
                <w:b w:val="0"/>
                <w:i w:val="0"/>
                <w:color w:val="000000"/>
                <w:sz w:val="16"/>
                <w:u w:val="none"/>
              </w:rPr>
              <w:t>We expanded our environmental reporting to include our first-ever disclosure of the Company's Scope 3 greenhouse gas emissions, excluding those associated with our investment performance. We also completed our first submission to CDP and received a 'C' score, in line with the global average for the 2023 Climate Change questionnaire.</w:t>
            </w:r>
          </w:p>
        </w:tc>
        <w:tc>
          <w:tcPr>
            <w:tcW w:w="195" w:type="dxa"/>
            <w:tcBorders>
              <w:top w:val="nil"/>
              <w:left w:val="single" w:sz="12" w:space="0" w:color="0066A5"/>
              <w:bottom w:val="nil"/>
              <w:right w:val="nil"/>
            </w:tcBorders>
            <w:tcMar>
              <w:top w:w="0" w:type="dxa"/>
              <w:left w:w="0" w:type="dxa"/>
              <w:bottom w:w="0" w:type="dxa"/>
              <w:right w:w="0" w:type="dxa"/>
            </w:tcMar>
            <w:vAlign w:val="bottom"/>
          </w:tcPr>
          <w:p>
            <w:pPr>
              <w:pageBreakBefore w:val="0"/>
              <w:spacing w:before="0" w:after="0"/>
            </w:pPr>
          </w:p>
        </w:tc>
        <w:tc>
          <w:tcPr>
            <w:tcW w:w="2385" w:type="dxa"/>
            <w:tcBorders>
              <w:top w:val="nil"/>
              <w:left w:val="single" w:sz="12" w:space="0" w:color="A6A6A6"/>
              <w:bottom w:val="single" w:sz="12" w:space="0" w:color="A6A6A6"/>
              <w:right w:val="nil"/>
            </w:tcBorders>
            <w:tcMar>
              <w:top w:w="0" w:type="dxa"/>
              <w:left w:w="53" w:type="dxa"/>
              <w:bottom w:w="0" w:type="dxa"/>
              <w:right w:w="53" w:type="dxa"/>
            </w:tcMar>
            <w:vAlign w:val="top"/>
          </w:tcPr>
          <w:p>
            <w:pPr>
              <w:pageBreakBefore w:val="0"/>
              <w:spacing w:before="53" w:after="30" w:line="240" w:lineRule="auto"/>
              <w:jc w:val="center"/>
            </w:pPr>
            <w:r>
              <w:rPr>
                <w:rFonts w:ascii="Arial" w:eastAsia="Arial" w:hAnsi="Arial" w:cs="Arial"/>
                <w:b w:val="0"/>
                <w:i w:val="0"/>
                <w:color w:val="000000"/>
                <w:sz w:val="16"/>
                <w:u w:val="none"/>
              </w:rPr>
              <w:t>We increased our total community contribution from 2022. We established new charity partnerships in Bermuda and the United Kingdom, and almost half of our employees globally took part in our company-sponsored volunteering program, a record level since the program's inception.</w:t>
            </w:r>
          </w:p>
        </w:tc>
        <w:tc>
          <w:tcPr>
            <w:tcW w:w="195" w:type="dxa"/>
            <w:tcBorders>
              <w:top w:val="nil"/>
              <w:left w:val="single" w:sz="12" w:space="0" w:color="A6A6A6"/>
              <w:bottom w:val="nil"/>
              <w:right w:val="nil"/>
            </w:tcBorders>
            <w:tcMar>
              <w:top w:w="0" w:type="dxa"/>
              <w:left w:w="0" w:type="dxa"/>
              <w:bottom w:w="0" w:type="dxa"/>
              <w:right w:w="0" w:type="dxa"/>
            </w:tcMar>
            <w:vAlign w:val="bottom"/>
          </w:tcPr>
          <w:p>
            <w:pPr>
              <w:pageBreakBefore w:val="0"/>
              <w:spacing w:before="0" w:after="0"/>
            </w:pPr>
          </w:p>
        </w:tc>
        <w:tc>
          <w:tcPr>
            <w:tcW w:w="2385" w:type="dxa"/>
            <w:tcBorders>
              <w:top w:val="nil"/>
              <w:left w:val="single" w:sz="12" w:space="0" w:color="4494D1"/>
              <w:bottom w:val="single" w:sz="12" w:space="0" w:color="4494D1"/>
              <w:right w:val="single" w:sz="12" w:space="0" w:color="4494D1"/>
            </w:tcBorders>
            <w:tcMar>
              <w:top w:w="0" w:type="dxa"/>
              <w:left w:w="53" w:type="dxa"/>
              <w:bottom w:w="0" w:type="dxa"/>
              <w:right w:w="53" w:type="dxa"/>
            </w:tcMar>
            <w:vAlign w:val="top"/>
          </w:tcPr>
          <w:p>
            <w:pPr>
              <w:pageBreakBefore w:val="0"/>
              <w:spacing w:before="53" w:after="30" w:line="240" w:lineRule="auto"/>
              <w:jc w:val="center"/>
            </w:pPr>
            <w:r>
              <w:rPr>
                <w:rFonts w:ascii="Arial" w:eastAsia="Arial" w:hAnsi="Arial" w:cs="Arial"/>
                <w:b w:val="0"/>
                <w:i w:val="0"/>
                <w:color w:val="000000"/>
                <w:sz w:val="16"/>
                <w:u w:val="none"/>
              </w:rPr>
              <w:t>We continued our long-term DE&amp;I vision, mission, and strategy, which includes five-year objectives across five strategic pillars. We also expanded our people reporting to include our first ever disclosure of global ethnicity data, and introduced ESG metrics into all employees' bonus plans.</w:t>
            </w: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r>
        <w:rPr>
          <w:rFonts w:ascii="Times New Roman" w:eastAsia="Times New Roman" w:hAnsi="Times New Roman" w:cs="Times New Roman"/>
          <w:b w:val="0"/>
          <w:i w:val="0"/>
          <w:color w:val="FF0090"/>
          <w:sz w:val="20"/>
          <w:u w:val="none"/>
        </w:rPr>
        <w:t xml:space="preserve"> </w:t>
      </w:r>
    </w:p>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sectPr>
          <w:headerReference w:type="default" r:id="rId154"/>
          <w:footerReference w:type="default" r:id="rId155"/>
          <w:type w:val="continuous"/>
          <w:pgSz w:w="12240" w:h="15840"/>
          <w:pgMar w:top="855" w:right="990" w:bottom="855" w:left="990" w:header="270" w:footer="270"/>
          <w:cols w:space="708"/>
        </w:sectPr>
      </w:pPr>
    </w:p>
    <w:p>
      <w:pPr>
        <w:keepNext/>
        <w:keepLines/>
        <w:pageBreakBefore w:val="0"/>
        <w:widowControl w:val="0"/>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48" w:name="Section51"/>
      <w:bookmarkEnd w:id="48"/>
    </w:p>
    <w:p>
      <w:pPr>
        <w:keepNext/>
        <w:keepLines/>
        <w:pageBreakBefore w:val="0"/>
        <w:widowControl w:val="0"/>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CODE OF CONDUCT</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We have adopted a Code of Conduct that applies to all of our directors and employees, including all senior executives and financial officers. A copy of our Code of Conduct is available on our website at </w:t>
      </w:r>
      <w:r>
        <w:rPr>
          <w:rFonts w:ascii="Arial" w:eastAsia="Arial" w:hAnsi="Arial" w:cs="Arial"/>
          <w:b w:val="0"/>
          <w:i/>
          <w:color w:val="4495D1"/>
          <w:sz w:val="20"/>
          <w:u w:val="none"/>
        </w:rPr>
        <w:t xml:space="preserve">http://www.enstargroup.com/corporate-governance </w:t>
      </w:r>
      <w:r>
        <w:rPr>
          <w:rFonts w:ascii="Arial" w:eastAsia="Arial" w:hAnsi="Arial" w:cs="Arial"/>
          <w:b w:val="0"/>
          <w:i w:val="0"/>
          <w:sz w:val="20"/>
        </w:rPr>
        <w:t>by clicking on "Code of Conduct."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In addition, any shareholder may receive a copy of the Code of Conduct or any of our committee charters in print, without charge, by contacting Investor Relations at </w:t>
      </w:r>
      <w:r>
        <w:rPr>
          <w:rFonts w:ascii="Arial" w:eastAsia="Arial" w:hAnsi="Arial" w:cs="Arial"/>
          <w:b w:val="0"/>
          <w:i w:val="0"/>
          <w:color w:val="000000"/>
          <w:sz w:val="20"/>
          <w:u w:val="none"/>
        </w:rPr>
        <w:t>Enstar Group Limited, P.O. Box HM 2267, A.S. Cooper Building, 4th Floor, 26 Reid Street, Hamilton, HM 11, Bermuda</w:t>
      </w:r>
      <w:r>
        <w:rPr>
          <w:rFonts w:ascii="Arial" w:eastAsia="Arial" w:hAnsi="Arial" w:cs="Arial"/>
          <w:b w:val="0"/>
          <w:i w:val="0"/>
          <w:sz w:val="20"/>
        </w:rPr>
        <w:t xml:space="preserve">. We intend to post any amendments to our Code of Conduct on our website. </w:t>
      </w:r>
      <w:r>
        <w:rPr>
          <w:rFonts w:ascii="Arial" w:eastAsia="Arial" w:hAnsi="Arial" w:cs="Arial"/>
          <w:b w:val="0"/>
          <w:i w:val="0"/>
          <w:color w:val="000000"/>
          <w:sz w:val="20"/>
          <w:u w:val="none"/>
        </w:rPr>
        <w:t>In addition, we intend to disclose any waiver of a provision of the Code of Conduct that applies to our senior executives and financial officers by posting such information on our website or by filing a Form 8-K with the SEC within the prescribed time period. No such waivers currently exist.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sectPr>
          <w:headerReference w:type="default" r:id="rId156"/>
          <w:footerReference w:type="default" r:id="rId157"/>
          <w:type w:val="continuous"/>
          <w:pgSz w:w="12240" w:h="15840"/>
          <w:pgMar w:top="855" w:right="990" w:bottom="855" w:left="990" w:header="270" w:footer="270"/>
          <w:cols w:space="708"/>
        </w:sectPr>
      </w:pPr>
    </w:p>
    <w:p>
      <w:pPr>
        <w:keepNext/>
        <w:keepLines/>
        <w:pageBreakBefore w:val="0"/>
        <w:widowControl w:val="0"/>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49" w:name="Section52"/>
      <w:bookmarkEnd w:id="49"/>
    </w:p>
    <w:p>
      <w:pPr>
        <w:keepNext/>
        <w:keepLines/>
        <w:pageBreakBefore w:val="0"/>
        <w:widowControl w:val="0"/>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SHAREHOLDER ENGAGEMENT AND COMMUNICATIONS WITH OUR BOARD</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
          <w:u w:val="none"/>
        </w:rPr>
      </w:pPr>
    </w:p>
    <w:p>
      <w:pPr>
        <w:keepNext/>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
          <w:u w:val="none"/>
        </w:rPr>
        <w:sectPr>
          <w:headerReference w:type="default" r:id="rId158"/>
          <w:footerReference w:type="default" r:id="rId159"/>
          <w:type w:val="continuous"/>
          <w:pgSz w:w="12240" w:h="15840"/>
          <w:pgMar w:top="855" w:right="990" w:bottom="855" w:left="990" w:header="270" w:footer="270"/>
          <w:cols w:space="708"/>
        </w:sectPr>
      </w:pPr>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bookmarkStart w:id="50" w:name="Section53"/>
      <w:bookmarkEnd w:id="50"/>
      <w:r>
        <w:rPr>
          <w:rFonts w:ascii="Arial" w:eastAsia="Arial" w:hAnsi="Arial" w:cs="Arial"/>
          <w:b/>
          <w:i w:val="0"/>
          <w:color w:val="171449"/>
          <w:sz w:val="24"/>
          <w:u w:val="none"/>
        </w:rPr>
        <w:t>Shareholder Engagement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In an effort to continuously augment our corporate governance and compensation processes and communications, we participate in annual engagements with our diverse shareholder base in an effort to foster long-term relationships with all of our investors and maintain channels for open communication as a means of sharing two-way feedback.</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In addition, we consistently seek feedback from the investment community to share with our management team and Board to deepen their understanding of shareholder concerns.</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160"/>
          <w:footerReference w:type="default" r:id="rId161"/>
          <w:type w:val="continuous"/>
          <w:pgSz w:w="12240" w:h="15840"/>
          <w:pgMar w:top="855" w:right="990" w:bottom="855" w:left="990" w:header="27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0"/>
          <w:u w:val="none"/>
        </w:rPr>
      </w:pPr>
      <w:bookmarkStart w:id="51" w:name="Section54"/>
      <w:bookmarkEnd w:id="51"/>
    </w:p>
    <w:p>
      <w:pPr>
        <w:keepNext w:val="0"/>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Shareholder Engagement</w:t>
      </w:r>
      <w:r>
        <w:rPr>
          <w:rFonts w:ascii="Arial" w:eastAsia="Arial" w:hAnsi="Arial" w:cs="Arial"/>
          <w:b/>
          <w:i w:val="0"/>
          <w:color w:val="4495D1"/>
          <w:sz w:val="20"/>
          <w:u w:val="none"/>
        </w:rPr>
        <w:t xml:space="preserve"> </w:t>
      </w:r>
      <w:r>
        <w:rPr>
          <w:rFonts w:ascii="Arial" w:eastAsia="Arial" w:hAnsi="Arial" w:cs="Arial"/>
          <w:b/>
          <w:i w:val="0"/>
          <w:color w:val="4495D1"/>
          <w:sz w:val="20"/>
          <w:u w:val="none"/>
        </w:rPr>
        <w:t xml:space="preserve">and Communication </w:t>
      </w:r>
      <w:r>
        <w:rPr>
          <w:rFonts w:ascii="Arial" w:eastAsia="Arial" w:hAnsi="Arial" w:cs="Arial"/>
          <w:b/>
          <w:i w:val="0"/>
          <w:color w:val="4495D1"/>
          <w:sz w:val="20"/>
          <w:u w:val="none"/>
        </w:rPr>
        <w:t>Cycle</w:t>
      </w:r>
    </w:p>
    <w:tbl>
      <w:tblPr>
        <w:tblW w:w="1014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95"/>
        <w:gridCol w:w="1095"/>
        <w:gridCol w:w="225"/>
        <w:gridCol w:w="1095"/>
        <w:gridCol w:w="1095"/>
        <w:gridCol w:w="225"/>
        <w:gridCol w:w="1455"/>
        <w:gridCol w:w="1455"/>
        <w:gridCol w:w="210"/>
        <w:gridCol w:w="1095"/>
        <w:gridCol w:w="1095"/>
      </w:tblGrid>
      <w:tr>
        <w:tblPrEx>
          <w:tblW w:w="1014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95"/>
        </w:trPr>
        <w:tc>
          <w:tcPr>
            <w:tcW w:w="10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2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2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1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40" w:type="dxa"/>
          <w:tblInd w:w="0" w:type="dxa"/>
          <w:tblLayout w:type="fixed"/>
          <w:tblCellMar>
            <w:left w:w="108" w:type="dxa"/>
            <w:right w:w="108" w:type="dxa"/>
          </w:tblCellMar>
        </w:tblPrEx>
        <w:trPr>
          <w:cantSplit/>
          <w:trHeight w:hRule="exact" w:val="195"/>
        </w:trPr>
        <w:tc>
          <w:tcPr>
            <w:tcW w:w="10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single" w:sz="12" w:space="0" w:color="4494D1"/>
              <w:bottom w:val="single" w:sz="12" w:space="0" w:color="4494D1"/>
              <w:right w:val="nil"/>
            </w:tcBorders>
            <w:tcMar>
              <w:top w:w="0" w:type="dxa"/>
              <w:left w:w="0" w:type="dxa"/>
              <w:bottom w:w="0" w:type="dxa"/>
              <w:right w:w="0" w:type="dxa"/>
            </w:tcMar>
            <w:vAlign w:val="bottom"/>
          </w:tcPr>
          <w:p>
            <w:pPr>
              <w:keepNext/>
              <w:pageBreakBefore w:val="0"/>
              <w:spacing w:before="0" w:after="0"/>
            </w:pPr>
          </w:p>
        </w:tc>
        <w:tc>
          <w:tcPr>
            <w:tcW w:w="225" w:type="dxa"/>
            <w:tcBorders>
              <w:top w:val="nil"/>
              <w:left w:val="nil"/>
              <w:bottom w:val="single" w:sz="12" w:space="0" w:color="4494D1"/>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single" w:sz="12" w:space="0" w:color="4494D1"/>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single" w:sz="12" w:space="0" w:color="4494D1"/>
              <w:bottom w:val="single" w:sz="12" w:space="0" w:color="4494D1"/>
              <w:right w:val="nil"/>
            </w:tcBorders>
            <w:tcMar>
              <w:top w:w="0" w:type="dxa"/>
              <w:left w:w="0" w:type="dxa"/>
              <w:bottom w:w="0" w:type="dxa"/>
              <w:right w:w="0" w:type="dxa"/>
            </w:tcMar>
            <w:vAlign w:val="bottom"/>
          </w:tcPr>
          <w:p>
            <w:pPr>
              <w:keepNext/>
              <w:pageBreakBefore w:val="0"/>
              <w:spacing w:before="0" w:after="0"/>
            </w:pPr>
          </w:p>
        </w:tc>
        <w:tc>
          <w:tcPr>
            <w:tcW w:w="225" w:type="dxa"/>
            <w:tcBorders>
              <w:top w:val="nil"/>
              <w:left w:val="nil"/>
              <w:bottom w:val="single" w:sz="12" w:space="0" w:color="4494D1"/>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single" w:sz="12" w:space="0" w:color="4494D1"/>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single" w:sz="12" w:space="0" w:color="4494D1"/>
              <w:bottom w:val="single" w:sz="12" w:space="0" w:color="4494D1"/>
              <w:right w:val="nil"/>
            </w:tcBorders>
            <w:tcMar>
              <w:top w:w="0" w:type="dxa"/>
              <w:left w:w="0" w:type="dxa"/>
              <w:bottom w:w="0" w:type="dxa"/>
              <w:right w:w="0" w:type="dxa"/>
            </w:tcMar>
            <w:vAlign w:val="bottom"/>
          </w:tcPr>
          <w:p>
            <w:pPr>
              <w:keepNext/>
              <w:pageBreakBefore w:val="0"/>
              <w:spacing w:before="0" w:after="0"/>
            </w:pPr>
          </w:p>
        </w:tc>
        <w:tc>
          <w:tcPr>
            <w:tcW w:w="210" w:type="dxa"/>
            <w:tcBorders>
              <w:top w:val="nil"/>
              <w:left w:val="nil"/>
              <w:bottom w:val="single" w:sz="12" w:space="0" w:color="4494D1"/>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single" w:sz="12" w:space="0" w:color="4494D1"/>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r>
      <w:tr>
        <w:tblPrEx>
          <w:tblW w:w="10140" w:type="dxa"/>
          <w:tblInd w:w="0" w:type="dxa"/>
          <w:tblLayout w:type="fixed"/>
          <w:tblCellMar>
            <w:left w:w="108" w:type="dxa"/>
            <w:right w:w="108" w:type="dxa"/>
          </w:tblCellMar>
        </w:tblPrEx>
        <w:trPr>
          <w:cantSplit/>
          <w:trHeight w:hRule="exact" w:val="195"/>
        </w:trPr>
        <w:tc>
          <w:tcPr>
            <w:tcW w:w="10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12" w:space="0" w:color="4494D1"/>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225"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12" w:space="0" w:color="4494D1"/>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225"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single" w:sz="12" w:space="0" w:color="4494D1"/>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210"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single" w:sz="12" w:space="0" w:color="4494D1"/>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r>
      <w:tr>
        <w:tblPrEx>
          <w:tblW w:w="10140" w:type="dxa"/>
          <w:tblInd w:w="0" w:type="dxa"/>
          <w:tblLayout w:type="fixed"/>
          <w:tblCellMar>
            <w:left w:w="108" w:type="dxa"/>
            <w:right w:w="108" w:type="dxa"/>
          </w:tblCellMar>
        </w:tblPrEx>
        <w:trPr>
          <w:cantSplit/>
          <w:trHeight w:hRule="exact" w:val="105"/>
        </w:trPr>
        <w:tc>
          <w:tcPr>
            <w:tcW w:w="10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2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2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1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40" w:type="dxa"/>
          <w:tblInd w:w="0" w:type="dxa"/>
          <w:tblLayout w:type="fixed"/>
          <w:tblCellMar>
            <w:left w:w="108" w:type="dxa"/>
            <w:right w:w="108" w:type="dxa"/>
          </w:tblCellMar>
        </w:tblPrEx>
        <w:trPr>
          <w:cantSplit/>
          <w:trHeight w:hRule="exact" w:val="315"/>
        </w:trPr>
        <w:tc>
          <w:tcPr>
            <w:tcW w:w="2190" w:type="dxa"/>
            <w:gridSpan w:val="2"/>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i w:val="0"/>
                <w:color w:val="4494D1"/>
                <w:sz w:val="22"/>
                <w:u w:val="none"/>
              </w:rPr>
              <w:t>Summer</w:t>
            </w:r>
          </w:p>
        </w:tc>
        <w:tc>
          <w:tcPr>
            <w:tcW w:w="22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190" w:type="dxa"/>
            <w:gridSpan w:val="2"/>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i w:val="0"/>
                <w:color w:val="4494D1"/>
                <w:sz w:val="22"/>
                <w:u w:val="none"/>
              </w:rPr>
              <w:t>Fall</w:t>
            </w:r>
          </w:p>
        </w:tc>
        <w:tc>
          <w:tcPr>
            <w:tcW w:w="22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910" w:type="dxa"/>
            <w:gridSpan w:val="2"/>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i w:val="0"/>
                <w:color w:val="4494D1"/>
                <w:sz w:val="22"/>
                <w:u w:val="none"/>
              </w:rPr>
              <w:t>Winter</w:t>
            </w:r>
          </w:p>
        </w:tc>
        <w:tc>
          <w:tcPr>
            <w:tcW w:w="21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190" w:type="dxa"/>
            <w:gridSpan w:val="2"/>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i w:val="0"/>
                <w:color w:val="4494D1"/>
                <w:sz w:val="22"/>
                <w:u w:val="none"/>
              </w:rPr>
              <w:t>Spring</w:t>
            </w:r>
          </w:p>
        </w:tc>
      </w:tr>
      <w:tr>
        <w:tblPrEx>
          <w:tblW w:w="10140" w:type="dxa"/>
          <w:tblInd w:w="0" w:type="dxa"/>
          <w:tblLayout w:type="fixed"/>
          <w:tblCellMar>
            <w:left w:w="108" w:type="dxa"/>
            <w:right w:w="108" w:type="dxa"/>
          </w:tblCellMar>
        </w:tblPrEx>
        <w:trPr>
          <w:cantSplit/>
          <w:trHeight w:hRule="exact" w:val="105"/>
        </w:trPr>
        <w:tc>
          <w:tcPr>
            <w:tcW w:w="10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2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2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1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40" w:type="dxa"/>
          <w:tblInd w:w="0" w:type="dxa"/>
          <w:tblLayout w:type="fixed"/>
          <w:tblCellMar>
            <w:left w:w="108" w:type="dxa"/>
            <w:right w:w="108" w:type="dxa"/>
          </w:tblCellMar>
        </w:tblPrEx>
        <w:trPr>
          <w:cantSplit/>
          <w:trHeight w:hRule="exact" w:val="5340"/>
        </w:trPr>
        <w:tc>
          <w:tcPr>
            <w:tcW w:w="2190" w:type="dxa"/>
            <w:gridSpan w:val="2"/>
            <w:tcBorders>
              <w:top w:val="nil"/>
              <w:left w:val="nil"/>
              <w:bottom w:val="nil"/>
              <w:right w:val="nil"/>
            </w:tcBorders>
            <w:tcMar>
              <w:top w:w="0" w:type="dxa"/>
              <w:left w:w="53" w:type="dxa"/>
              <w:bottom w:w="0" w:type="dxa"/>
              <w:right w:w="53" w:type="dxa"/>
            </w:tcMar>
            <w:vAlign w:val="top"/>
          </w:tcPr>
          <w:p>
            <w:pPr>
              <w:pageBreakBefore w:val="0"/>
              <w:numPr>
                <w:ilvl w:val="0"/>
                <w:numId w:val="203"/>
              </w:numPr>
              <w:spacing w:before="53" w:after="120" w:line="300" w:lineRule="auto"/>
              <w:ind w:left="270" w:right="0" w:hanging="270"/>
              <w:jc w:val="left"/>
              <w:outlineLvl w:val="9"/>
              <w:rPr>
                <w:rFonts w:ascii="Arial" w:eastAsia="Arial" w:hAnsi="Arial" w:cs="Arial"/>
                <w:b w:val="0"/>
                <w:i w:val="0"/>
                <w:color w:val="4494D1"/>
                <w:sz w:val="18"/>
                <w:u w:val="none"/>
              </w:rPr>
            </w:pPr>
            <w:r>
              <w:rPr>
                <w:rFonts w:ascii="Arial" w:eastAsia="Arial" w:hAnsi="Arial" w:cs="Arial"/>
                <w:b w:val="0"/>
                <w:i w:val="0"/>
                <w:sz w:val="18"/>
              </w:rPr>
              <w:t>Hold annual shareholder meeting which is conducted virtually and easily accessible to all shareholders given our  location in Bermuda.</w:t>
            </w:r>
          </w:p>
          <w:p>
            <w:pPr>
              <w:pageBreakBefore w:val="0"/>
              <w:numPr>
                <w:ilvl w:val="0"/>
                <w:numId w:val="204"/>
              </w:numPr>
              <w:spacing w:before="0" w:after="120" w:line="300" w:lineRule="auto"/>
              <w:ind w:left="270" w:right="0" w:hanging="270"/>
              <w:jc w:val="left"/>
              <w:outlineLvl w:val="9"/>
              <w:rPr>
                <w:rFonts w:ascii="Arial" w:eastAsia="Arial" w:hAnsi="Arial" w:cs="Arial"/>
                <w:b w:val="0"/>
                <w:i w:val="0"/>
                <w:color w:val="4494D1"/>
                <w:sz w:val="18"/>
                <w:u w:val="none"/>
              </w:rPr>
            </w:pPr>
            <w:r>
              <w:rPr>
                <w:rFonts w:ascii="Arial" w:eastAsia="Arial" w:hAnsi="Arial" w:cs="Arial"/>
                <w:b w:val="0"/>
                <w:i w:val="0"/>
                <w:sz w:val="18"/>
              </w:rPr>
              <w:t>Board reviews vote outcomes of annual shareholder meeting.</w:t>
            </w:r>
          </w:p>
          <w:p>
            <w:pPr>
              <w:pageBreakBefore w:val="0"/>
              <w:numPr>
                <w:ilvl w:val="0"/>
                <w:numId w:val="205"/>
              </w:numPr>
              <w:spacing w:before="0" w:after="120" w:line="300" w:lineRule="auto"/>
              <w:ind w:left="270" w:right="0" w:hanging="270"/>
              <w:jc w:val="left"/>
              <w:outlineLvl w:val="9"/>
              <w:rPr>
                <w:rFonts w:ascii="Arial" w:eastAsia="Arial" w:hAnsi="Arial" w:cs="Arial"/>
                <w:b w:val="0"/>
                <w:i w:val="0"/>
                <w:color w:val="4494D1"/>
                <w:sz w:val="18"/>
                <w:u w:val="none"/>
              </w:rPr>
            </w:pPr>
            <w:r>
              <w:rPr>
                <w:rFonts w:ascii="Arial" w:eastAsia="Arial" w:hAnsi="Arial" w:cs="Arial"/>
                <w:b w:val="0"/>
                <w:i w:val="0"/>
                <w:sz w:val="18"/>
              </w:rPr>
              <w:t>2nd Quarter Earnings</w:t>
            </w:r>
            <w:r>
              <w:rPr>
                <w:rFonts w:ascii="Arial" w:eastAsia="Arial" w:hAnsi="Arial" w:cs="Arial"/>
                <w:b w:val="0"/>
                <w:i w:val="0"/>
                <w:sz w:val="18"/>
              </w:rPr>
              <w:t xml:space="preserve"> and Audio Update</w:t>
            </w:r>
            <w:r>
              <w:rPr>
                <w:rFonts w:ascii="Arial" w:eastAsia="Arial" w:hAnsi="Arial" w:cs="Arial"/>
                <w:b w:val="0"/>
                <w:i w:val="0"/>
                <w:sz w:val="18"/>
              </w:rPr>
              <w:t>.</w:t>
            </w:r>
          </w:p>
          <w:p>
            <w:pPr>
              <w:pageBreakBefore w:val="0"/>
              <w:numPr>
                <w:ilvl w:val="0"/>
                <w:numId w:val="206"/>
              </w:numPr>
              <w:spacing w:before="0" w:after="30" w:line="300" w:lineRule="auto"/>
              <w:ind w:left="270" w:right="0" w:hanging="270"/>
              <w:jc w:val="left"/>
              <w:outlineLvl w:val="9"/>
              <w:rPr>
                <w:rFonts w:ascii="Arial" w:eastAsia="Arial" w:hAnsi="Arial" w:cs="Arial"/>
                <w:b w:val="0"/>
                <w:i w:val="0"/>
                <w:color w:val="4494D1"/>
                <w:sz w:val="18"/>
                <w:u w:val="none"/>
              </w:rPr>
            </w:pPr>
            <w:r>
              <w:rPr>
                <w:rFonts w:ascii="Arial" w:eastAsia="Arial" w:hAnsi="Arial" w:cs="Arial"/>
                <w:b w:val="0"/>
                <w:i w:val="0"/>
                <w:sz w:val="18"/>
              </w:rPr>
              <w:t>Publi</w:t>
            </w:r>
            <w:r>
              <w:rPr>
                <w:rFonts w:ascii="Arial" w:eastAsia="Arial" w:hAnsi="Arial" w:cs="Arial"/>
                <w:b w:val="0"/>
                <w:i w:val="0"/>
                <w:sz w:val="18"/>
              </w:rPr>
              <w:t xml:space="preserve">sh </w:t>
            </w:r>
            <w:r>
              <w:rPr>
                <w:rFonts w:ascii="Arial" w:eastAsia="Arial" w:hAnsi="Arial" w:cs="Arial"/>
                <w:b w:val="0"/>
                <w:i w:val="0"/>
                <w:sz w:val="18"/>
              </w:rPr>
              <w:t>Mid-Year Review Investor Presentation</w:t>
            </w:r>
            <w:r>
              <w:rPr>
                <w:rFonts w:ascii="Arial" w:eastAsia="Arial" w:hAnsi="Arial" w:cs="Arial"/>
                <w:b w:val="0"/>
                <w:i w:val="0"/>
                <w:sz w:val="18"/>
              </w:rPr>
              <w:t xml:space="preserve"> and </w:t>
            </w:r>
            <w:r>
              <w:rPr>
                <w:rFonts w:ascii="Arial" w:eastAsia="Arial" w:hAnsi="Arial" w:cs="Arial"/>
                <w:b w:val="0"/>
                <w:i w:val="0"/>
                <w:sz w:val="18"/>
              </w:rPr>
              <w:t xml:space="preserve">deliver </w:t>
            </w:r>
            <w:r>
              <w:rPr>
                <w:rFonts w:ascii="Arial" w:eastAsia="Arial" w:hAnsi="Arial" w:cs="Arial"/>
                <w:b w:val="0"/>
                <w:i w:val="0"/>
                <w:sz w:val="18"/>
              </w:rPr>
              <w:t>i</w:t>
            </w:r>
            <w:r>
              <w:rPr>
                <w:rFonts w:ascii="Arial" w:eastAsia="Arial" w:hAnsi="Arial" w:cs="Arial"/>
                <w:b w:val="0"/>
                <w:i w:val="0"/>
                <w:sz w:val="18"/>
              </w:rPr>
              <w:t>nvestor presentations at respected industry conferences.</w:t>
            </w:r>
          </w:p>
        </w:tc>
        <w:tc>
          <w:tcPr>
            <w:tcW w:w="22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2190" w:type="dxa"/>
            <w:gridSpan w:val="2"/>
            <w:tcBorders>
              <w:top w:val="nil"/>
              <w:left w:val="nil"/>
              <w:bottom w:val="nil"/>
              <w:right w:val="nil"/>
            </w:tcBorders>
            <w:tcMar>
              <w:top w:w="0" w:type="dxa"/>
              <w:left w:w="53" w:type="dxa"/>
              <w:bottom w:w="0" w:type="dxa"/>
              <w:right w:w="53" w:type="dxa"/>
            </w:tcMar>
            <w:vAlign w:val="top"/>
          </w:tcPr>
          <w:p>
            <w:pPr>
              <w:pageBreakBefore w:val="0"/>
              <w:numPr>
                <w:ilvl w:val="0"/>
                <w:numId w:val="199"/>
              </w:numPr>
              <w:spacing w:before="53" w:after="120" w:line="300" w:lineRule="auto"/>
              <w:ind w:left="270" w:right="0" w:hanging="270"/>
              <w:jc w:val="left"/>
              <w:outlineLvl w:val="9"/>
              <w:rPr>
                <w:rFonts w:ascii="Arial" w:eastAsia="Arial" w:hAnsi="Arial" w:cs="Arial"/>
                <w:b w:val="0"/>
                <w:i w:val="0"/>
                <w:color w:val="4494D1"/>
                <w:sz w:val="18"/>
                <w:u w:val="none"/>
              </w:rPr>
            </w:pPr>
            <w:r>
              <w:rPr>
                <w:rFonts w:ascii="Arial" w:eastAsia="Arial" w:hAnsi="Arial" w:cs="Arial"/>
                <w:b w:val="0"/>
                <w:i w:val="0"/>
                <w:sz w:val="18"/>
              </w:rPr>
              <w:t>Board considers potential corporate governance or executive compensation changes.</w:t>
            </w:r>
          </w:p>
          <w:p>
            <w:pPr>
              <w:pageBreakBefore w:val="0"/>
              <w:numPr>
                <w:ilvl w:val="0"/>
                <w:numId w:val="200"/>
              </w:numPr>
              <w:spacing w:before="0" w:after="120" w:line="300" w:lineRule="auto"/>
              <w:ind w:left="270" w:right="0" w:hanging="270"/>
              <w:jc w:val="left"/>
              <w:outlineLvl w:val="9"/>
              <w:rPr>
                <w:rFonts w:ascii="Arial" w:eastAsia="Arial" w:hAnsi="Arial" w:cs="Arial"/>
                <w:b w:val="0"/>
                <w:i w:val="0"/>
                <w:color w:val="4494D1"/>
                <w:sz w:val="18"/>
                <w:u w:val="none"/>
              </w:rPr>
            </w:pPr>
            <w:r>
              <w:rPr>
                <w:rFonts w:ascii="Arial" w:eastAsia="Arial" w:hAnsi="Arial" w:cs="Arial"/>
                <w:b w:val="0"/>
                <w:i w:val="0"/>
                <w:sz w:val="18"/>
              </w:rPr>
              <w:t>Consider potential topics of discussion in preparation for annual shareholder engagement and proxy advisor meetings.</w:t>
            </w:r>
          </w:p>
          <w:p>
            <w:pPr>
              <w:pageBreakBefore w:val="0"/>
              <w:numPr>
                <w:ilvl w:val="0"/>
                <w:numId w:val="201"/>
              </w:numPr>
              <w:spacing w:before="0" w:after="120" w:line="300" w:lineRule="auto"/>
              <w:ind w:left="270" w:right="0" w:hanging="270"/>
              <w:jc w:val="left"/>
              <w:outlineLvl w:val="9"/>
              <w:rPr>
                <w:rFonts w:ascii="Arial" w:eastAsia="Arial" w:hAnsi="Arial" w:cs="Arial"/>
                <w:b w:val="0"/>
                <w:i w:val="0"/>
                <w:color w:val="40AEFF"/>
                <w:sz w:val="18"/>
                <w:u w:val="none"/>
              </w:rPr>
            </w:pPr>
            <w:r>
              <w:rPr>
                <w:rFonts w:ascii="Arial" w:eastAsia="Arial" w:hAnsi="Arial" w:cs="Arial"/>
                <w:b w:val="0"/>
                <w:i w:val="0"/>
                <w:sz w:val="18"/>
              </w:rPr>
              <w:t>On occasion, we may engage with certain shareholders or proxy advisory firms off-cycle.</w:t>
            </w:r>
          </w:p>
          <w:p>
            <w:pPr>
              <w:pageBreakBefore w:val="0"/>
              <w:numPr>
                <w:ilvl w:val="0"/>
                <w:numId w:val="202"/>
              </w:numPr>
              <w:spacing w:before="0" w:after="30" w:line="300" w:lineRule="auto"/>
              <w:ind w:left="270" w:right="0" w:hanging="270"/>
              <w:jc w:val="left"/>
              <w:outlineLvl w:val="9"/>
              <w:rPr>
                <w:rFonts w:ascii="Arial" w:eastAsia="Arial" w:hAnsi="Arial" w:cs="Arial"/>
                <w:b w:val="0"/>
                <w:i w:val="0"/>
                <w:color w:val="4494D1"/>
                <w:sz w:val="18"/>
                <w:u w:val="none"/>
              </w:rPr>
            </w:pPr>
            <w:r>
              <w:rPr>
                <w:rFonts w:ascii="Arial" w:eastAsia="Arial" w:hAnsi="Arial" w:cs="Arial"/>
                <w:b w:val="0"/>
                <w:i w:val="0"/>
                <w:sz w:val="18"/>
              </w:rPr>
              <w:t>3rd Quarter Earnings</w:t>
            </w:r>
            <w:r>
              <w:rPr>
                <w:rFonts w:ascii="Arial" w:eastAsia="Arial" w:hAnsi="Arial" w:cs="Arial"/>
                <w:b w:val="0"/>
                <w:i w:val="0"/>
                <w:sz w:val="18"/>
              </w:rPr>
              <w:t xml:space="preserve"> and </w:t>
            </w:r>
            <w:r>
              <w:rPr>
                <w:rFonts w:ascii="Arial" w:eastAsia="Arial" w:hAnsi="Arial" w:cs="Arial"/>
                <w:b w:val="0"/>
                <w:i w:val="0"/>
                <w:sz w:val="18"/>
              </w:rPr>
              <w:t>A</w:t>
            </w:r>
            <w:r>
              <w:rPr>
                <w:rFonts w:ascii="Arial" w:eastAsia="Arial" w:hAnsi="Arial" w:cs="Arial"/>
                <w:b w:val="0"/>
                <w:i w:val="0"/>
                <w:sz w:val="18"/>
              </w:rPr>
              <w:t>udio</w:t>
            </w:r>
            <w:r>
              <w:rPr>
                <w:rFonts w:ascii="Arial" w:eastAsia="Arial" w:hAnsi="Arial" w:cs="Arial"/>
                <w:b w:val="0"/>
                <w:i w:val="0"/>
                <w:sz w:val="18"/>
              </w:rPr>
              <w:t xml:space="preserve"> </w:t>
            </w:r>
            <w:r>
              <w:rPr>
                <w:rFonts w:ascii="Arial" w:eastAsia="Arial" w:hAnsi="Arial" w:cs="Arial"/>
                <w:b w:val="0"/>
                <w:i w:val="0"/>
                <w:sz w:val="18"/>
              </w:rPr>
              <w:t>U</w:t>
            </w:r>
            <w:r>
              <w:rPr>
                <w:rFonts w:ascii="Arial" w:eastAsia="Arial" w:hAnsi="Arial" w:cs="Arial"/>
                <w:b w:val="0"/>
                <w:i w:val="0"/>
                <w:sz w:val="18"/>
              </w:rPr>
              <w:t>pdate</w:t>
            </w:r>
            <w:r>
              <w:rPr>
                <w:rFonts w:ascii="Arial" w:eastAsia="Arial" w:hAnsi="Arial" w:cs="Arial"/>
                <w:b w:val="0"/>
                <w:i w:val="0"/>
                <w:sz w:val="18"/>
              </w:rPr>
              <w:t>.</w:t>
            </w:r>
          </w:p>
        </w:tc>
        <w:tc>
          <w:tcPr>
            <w:tcW w:w="22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2910" w:type="dxa"/>
            <w:gridSpan w:val="2"/>
            <w:tcBorders>
              <w:top w:val="nil"/>
              <w:left w:val="nil"/>
              <w:bottom w:val="nil"/>
              <w:right w:val="nil"/>
            </w:tcBorders>
            <w:tcMar>
              <w:top w:w="0" w:type="dxa"/>
              <w:left w:w="53" w:type="dxa"/>
              <w:bottom w:w="0" w:type="dxa"/>
              <w:right w:w="53" w:type="dxa"/>
            </w:tcMar>
            <w:vAlign w:val="top"/>
          </w:tcPr>
          <w:p>
            <w:pPr>
              <w:pageBreakBefore w:val="0"/>
              <w:numPr>
                <w:ilvl w:val="0"/>
                <w:numId w:val="195"/>
              </w:numPr>
              <w:spacing w:before="53" w:after="120" w:line="300" w:lineRule="auto"/>
              <w:ind w:left="270" w:right="0" w:hanging="270"/>
              <w:jc w:val="left"/>
              <w:outlineLvl w:val="9"/>
              <w:rPr>
                <w:rFonts w:ascii="Arial" w:eastAsia="Arial" w:hAnsi="Arial" w:cs="Arial"/>
                <w:b w:val="0"/>
                <w:i w:val="0"/>
                <w:color w:val="4494D1"/>
                <w:sz w:val="18"/>
                <w:u w:val="none"/>
              </w:rPr>
            </w:pPr>
            <w:r>
              <w:rPr>
                <w:rFonts w:ascii="Arial" w:eastAsia="Arial" w:hAnsi="Arial" w:cs="Arial"/>
                <w:b w:val="0"/>
                <w:i w:val="0"/>
                <w:sz w:val="18"/>
              </w:rPr>
              <w:t>We use the feedback from discussions with shareholders and proxy advisors in considering changes to governance and compensation practices.</w:t>
            </w:r>
          </w:p>
          <w:p>
            <w:pPr>
              <w:pageBreakBefore w:val="0"/>
              <w:numPr>
                <w:ilvl w:val="0"/>
                <w:numId w:val="196"/>
              </w:numPr>
              <w:spacing w:before="0" w:after="120" w:line="300" w:lineRule="auto"/>
              <w:ind w:left="270" w:right="0" w:hanging="270"/>
              <w:jc w:val="left"/>
              <w:outlineLvl w:val="9"/>
              <w:rPr>
                <w:rFonts w:ascii="Arial" w:eastAsia="Arial" w:hAnsi="Arial" w:cs="Arial"/>
                <w:b w:val="0"/>
                <w:i w:val="0"/>
                <w:color w:val="4494D1"/>
                <w:sz w:val="18"/>
                <w:u w:val="none"/>
              </w:rPr>
            </w:pPr>
            <w:r>
              <w:rPr>
                <w:rFonts w:ascii="Arial" w:eastAsia="Arial" w:hAnsi="Arial" w:cs="Arial"/>
                <w:b w:val="0"/>
                <w:i w:val="0"/>
                <w:sz w:val="18"/>
              </w:rPr>
              <w:t xml:space="preserve">Launch formal annual engagement program targeting </w:t>
            </w:r>
            <w:r>
              <w:rPr>
                <w:rFonts w:ascii="Arial" w:eastAsia="Arial" w:hAnsi="Arial" w:cs="Arial"/>
                <w:b w:val="0"/>
                <w:i w:val="0"/>
                <w:sz w:val="18"/>
              </w:rPr>
              <w:t>shareholders that hold approximately</w:t>
            </w:r>
            <w:r>
              <w:rPr>
                <w:rFonts w:ascii="Arial" w:eastAsia="Arial" w:hAnsi="Arial" w:cs="Arial"/>
                <w:b w:val="0"/>
                <w:i w:val="0"/>
                <w:sz w:val="18"/>
              </w:rPr>
              <w:t xml:space="preserve"> 1% or more of our outstanding voting shares and proxy advisory firms to engage in discussions about our governance and compensation practices.</w:t>
            </w:r>
          </w:p>
          <w:p>
            <w:pPr>
              <w:pageBreakBefore w:val="0"/>
              <w:numPr>
                <w:ilvl w:val="0"/>
                <w:numId w:val="197"/>
              </w:numPr>
              <w:spacing w:before="0" w:after="120" w:line="300" w:lineRule="auto"/>
              <w:ind w:left="270" w:right="0" w:hanging="270"/>
              <w:jc w:val="left"/>
              <w:outlineLvl w:val="9"/>
              <w:rPr>
                <w:rFonts w:ascii="Arial" w:eastAsia="Arial" w:hAnsi="Arial" w:cs="Arial"/>
                <w:b w:val="0"/>
                <w:i w:val="0"/>
                <w:color w:val="4494D1"/>
                <w:sz w:val="18"/>
                <w:u w:val="none"/>
              </w:rPr>
            </w:pPr>
            <w:r>
              <w:rPr>
                <w:rFonts w:ascii="Arial" w:eastAsia="Arial" w:hAnsi="Arial" w:cs="Arial"/>
                <w:b w:val="0"/>
                <w:i w:val="0"/>
                <w:sz w:val="18"/>
              </w:rPr>
              <w:t>4th Quarter and Full Year Earnings</w:t>
            </w:r>
            <w:r>
              <w:rPr>
                <w:rFonts w:ascii="Arial" w:eastAsia="Arial" w:hAnsi="Arial" w:cs="Arial"/>
                <w:b w:val="0"/>
                <w:i w:val="0"/>
                <w:sz w:val="18"/>
              </w:rPr>
              <w:t xml:space="preserve"> </w:t>
            </w:r>
            <w:r>
              <w:rPr>
                <w:rFonts w:ascii="Arial" w:eastAsia="Arial" w:hAnsi="Arial" w:cs="Arial"/>
                <w:b w:val="0"/>
                <w:i w:val="0"/>
                <w:sz w:val="18"/>
              </w:rPr>
              <w:t xml:space="preserve">and </w:t>
            </w:r>
            <w:r>
              <w:rPr>
                <w:rFonts w:ascii="Arial" w:eastAsia="Arial" w:hAnsi="Arial" w:cs="Arial"/>
                <w:b w:val="0"/>
                <w:i w:val="0"/>
                <w:sz w:val="18"/>
              </w:rPr>
              <w:t>A</w:t>
            </w:r>
            <w:r>
              <w:rPr>
                <w:rFonts w:ascii="Arial" w:eastAsia="Arial" w:hAnsi="Arial" w:cs="Arial"/>
                <w:b w:val="0"/>
                <w:i w:val="0"/>
                <w:sz w:val="18"/>
              </w:rPr>
              <w:t xml:space="preserve">udio </w:t>
            </w:r>
            <w:r>
              <w:rPr>
                <w:rFonts w:ascii="Arial" w:eastAsia="Arial" w:hAnsi="Arial" w:cs="Arial"/>
                <w:b w:val="0"/>
                <w:i w:val="0"/>
                <w:sz w:val="18"/>
              </w:rPr>
              <w:t>U</w:t>
            </w:r>
            <w:r>
              <w:rPr>
                <w:rFonts w:ascii="Arial" w:eastAsia="Arial" w:hAnsi="Arial" w:cs="Arial"/>
                <w:b w:val="0"/>
                <w:i w:val="0"/>
                <w:sz w:val="18"/>
              </w:rPr>
              <w:t>pdate</w:t>
            </w:r>
            <w:r>
              <w:rPr>
                <w:rFonts w:ascii="Arial" w:eastAsia="Arial" w:hAnsi="Arial" w:cs="Arial"/>
                <w:b w:val="0"/>
                <w:i w:val="0"/>
                <w:sz w:val="18"/>
              </w:rPr>
              <w:t>.</w:t>
            </w:r>
          </w:p>
          <w:p>
            <w:pPr>
              <w:pageBreakBefore w:val="0"/>
              <w:numPr>
                <w:ilvl w:val="0"/>
                <w:numId w:val="198"/>
              </w:numPr>
              <w:spacing w:before="0" w:after="30" w:line="300" w:lineRule="auto"/>
              <w:ind w:left="270" w:right="0" w:hanging="270"/>
              <w:jc w:val="left"/>
              <w:outlineLvl w:val="9"/>
              <w:rPr>
                <w:rFonts w:ascii="Arial" w:eastAsia="Arial" w:hAnsi="Arial" w:cs="Arial"/>
                <w:b w:val="0"/>
                <w:i w:val="0"/>
                <w:color w:val="4494D1"/>
                <w:sz w:val="18"/>
                <w:u w:val="none"/>
              </w:rPr>
            </w:pPr>
            <w:r>
              <w:rPr>
                <w:rFonts w:ascii="Arial" w:eastAsia="Arial" w:hAnsi="Arial" w:cs="Arial"/>
                <w:b w:val="0"/>
                <w:i w:val="0"/>
                <w:sz w:val="18"/>
              </w:rPr>
              <w:t xml:space="preserve">Publish </w:t>
            </w:r>
            <w:r>
              <w:rPr>
                <w:rFonts w:ascii="Arial" w:eastAsia="Arial" w:hAnsi="Arial" w:cs="Arial"/>
                <w:b w:val="0"/>
                <w:i w:val="0"/>
                <w:sz w:val="18"/>
              </w:rPr>
              <w:t>Full</w:t>
            </w:r>
            <w:r>
              <w:rPr>
                <w:rFonts w:ascii="Arial" w:eastAsia="Arial" w:hAnsi="Arial" w:cs="Arial"/>
                <w:b w:val="0"/>
                <w:i w:val="0"/>
                <w:sz w:val="18"/>
              </w:rPr>
              <w:t>-Year Review Investor Pre</w:t>
            </w:r>
            <w:r>
              <w:rPr>
                <w:rFonts w:ascii="Arial" w:eastAsia="Arial" w:hAnsi="Arial" w:cs="Arial"/>
                <w:b w:val="0"/>
                <w:i w:val="0"/>
                <w:sz w:val="18"/>
              </w:rPr>
              <w:t>sentation</w:t>
            </w:r>
            <w:r>
              <w:rPr>
                <w:rFonts w:ascii="Arial" w:eastAsia="Arial" w:hAnsi="Arial" w:cs="Arial"/>
                <w:b w:val="0"/>
                <w:i w:val="0"/>
                <w:sz w:val="18"/>
              </w:rPr>
              <w:t xml:space="preserve"> and </w:t>
            </w:r>
            <w:r>
              <w:rPr>
                <w:rFonts w:ascii="Arial" w:eastAsia="Arial" w:hAnsi="Arial" w:cs="Arial"/>
                <w:b w:val="0"/>
                <w:i w:val="0"/>
                <w:sz w:val="18"/>
              </w:rPr>
              <w:t xml:space="preserve">deliver </w:t>
            </w:r>
            <w:r>
              <w:rPr>
                <w:rFonts w:ascii="Arial" w:eastAsia="Arial" w:hAnsi="Arial" w:cs="Arial"/>
                <w:b w:val="0"/>
                <w:i w:val="0"/>
                <w:sz w:val="18"/>
              </w:rPr>
              <w:t>i</w:t>
            </w:r>
            <w:r>
              <w:rPr>
                <w:rFonts w:ascii="Arial" w:eastAsia="Arial" w:hAnsi="Arial" w:cs="Arial"/>
                <w:b w:val="0"/>
                <w:i w:val="0"/>
                <w:sz w:val="18"/>
              </w:rPr>
              <w:t>nvestor presentations at respected industry conferences.</w:t>
            </w:r>
          </w:p>
        </w:tc>
        <w:tc>
          <w:tcPr>
            <w:tcW w:w="21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2190" w:type="dxa"/>
            <w:gridSpan w:val="2"/>
            <w:tcBorders>
              <w:top w:val="nil"/>
              <w:left w:val="nil"/>
              <w:bottom w:val="nil"/>
              <w:right w:val="nil"/>
            </w:tcBorders>
            <w:tcMar>
              <w:top w:w="0" w:type="dxa"/>
              <w:left w:w="53" w:type="dxa"/>
              <w:bottom w:w="0" w:type="dxa"/>
              <w:right w:w="53" w:type="dxa"/>
            </w:tcMar>
            <w:vAlign w:val="top"/>
          </w:tcPr>
          <w:p>
            <w:pPr>
              <w:pageBreakBefore w:val="0"/>
              <w:numPr>
                <w:ilvl w:val="0"/>
                <w:numId w:val="191"/>
              </w:numPr>
              <w:spacing w:before="53" w:after="120" w:line="300" w:lineRule="auto"/>
              <w:ind w:left="270" w:right="0" w:hanging="270"/>
              <w:jc w:val="left"/>
              <w:outlineLvl w:val="9"/>
              <w:rPr>
                <w:rFonts w:ascii="Arial" w:eastAsia="Arial" w:hAnsi="Arial" w:cs="Arial"/>
                <w:b w:val="0"/>
                <w:i w:val="0"/>
                <w:color w:val="4494D1"/>
                <w:sz w:val="18"/>
                <w:u w:val="none"/>
              </w:rPr>
            </w:pPr>
            <w:r>
              <w:rPr>
                <w:rFonts w:ascii="Arial" w:eastAsia="Arial" w:hAnsi="Arial" w:cs="Arial"/>
                <w:b w:val="0"/>
                <w:i w:val="0"/>
                <w:sz w:val="18"/>
              </w:rPr>
              <w:t>Publish proxy statement and disclosure based on shareholder and proxy advisor feedback.</w:t>
            </w:r>
          </w:p>
          <w:p>
            <w:pPr>
              <w:pageBreakBefore w:val="0"/>
              <w:numPr>
                <w:ilvl w:val="0"/>
                <w:numId w:val="192"/>
              </w:numPr>
              <w:spacing w:before="0" w:after="120" w:line="300" w:lineRule="auto"/>
              <w:ind w:left="270" w:right="0" w:hanging="270"/>
              <w:jc w:val="left"/>
              <w:outlineLvl w:val="9"/>
              <w:rPr>
                <w:rFonts w:ascii="Arial" w:eastAsia="Arial" w:hAnsi="Arial" w:cs="Arial"/>
                <w:b w:val="0"/>
                <w:i w:val="0"/>
                <w:color w:val="4494D1"/>
                <w:sz w:val="18"/>
                <w:u w:val="none"/>
              </w:rPr>
            </w:pPr>
            <w:r>
              <w:rPr>
                <w:rFonts w:ascii="Arial" w:eastAsia="Arial" w:hAnsi="Arial" w:cs="Arial"/>
                <w:b w:val="0"/>
                <w:i w:val="0"/>
                <w:sz w:val="18"/>
              </w:rPr>
              <w:t>Begin preparations for annual shareholder meeting.</w:t>
            </w:r>
          </w:p>
          <w:p>
            <w:pPr>
              <w:pageBreakBefore w:val="0"/>
              <w:numPr>
                <w:ilvl w:val="0"/>
                <w:numId w:val="193"/>
              </w:numPr>
              <w:spacing w:before="0" w:after="120" w:line="300" w:lineRule="auto"/>
              <w:ind w:left="270" w:right="0" w:hanging="270"/>
              <w:jc w:val="left"/>
              <w:outlineLvl w:val="9"/>
              <w:rPr>
                <w:rFonts w:ascii="Arial" w:eastAsia="Arial" w:hAnsi="Arial" w:cs="Arial"/>
                <w:b w:val="0"/>
                <w:i w:val="0"/>
                <w:color w:val="4494D1"/>
                <w:sz w:val="18"/>
                <w:u w:val="none"/>
              </w:rPr>
            </w:pPr>
            <w:r>
              <w:rPr>
                <w:rFonts w:ascii="Arial" w:eastAsia="Arial" w:hAnsi="Arial" w:cs="Arial"/>
                <w:b w:val="0"/>
                <w:i w:val="0"/>
                <w:sz w:val="18"/>
              </w:rPr>
              <w:t>1st Quarter Earnings</w:t>
            </w:r>
            <w:r>
              <w:rPr>
                <w:rFonts w:ascii="Arial" w:eastAsia="Arial" w:hAnsi="Arial" w:cs="Arial"/>
                <w:b w:val="0"/>
                <w:i w:val="0"/>
                <w:sz w:val="18"/>
              </w:rPr>
              <w:t xml:space="preserve"> and Audio Update.</w:t>
            </w:r>
          </w:p>
          <w:p>
            <w:pPr>
              <w:pageBreakBefore w:val="0"/>
              <w:numPr>
                <w:ilvl w:val="0"/>
                <w:numId w:val="194"/>
              </w:numPr>
              <w:spacing w:before="0" w:after="30" w:line="300" w:lineRule="auto"/>
              <w:ind w:left="270" w:right="0" w:hanging="270"/>
              <w:jc w:val="left"/>
              <w:outlineLvl w:val="9"/>
              <w:rPr>
                <w:rFonts w:ascii="Arial" w:eastAsia="Arial" w:hAnsi="Arial" w:cs="Arial"/>
                <w:b w:val="0"/>
                <w:i w:val="0"/>
                <w:color w:val="4494D1"/>
                <w:sz w:val="18"/>
                <w:u w:val="none"/>
              </w:rPr>
            </w:pPr>
            <w:r>
              <w:rPr>
                <w:rFonts w:ascii="Arial" w:eastAsia="Arial" w:hAnsi="Arial" w:cs="Arial"/>
                <w:b w:val="0"/>
                <w:i w:val="0"/>
                <w:sz w:val="18"/>
              </w:rPr>
              <w:t>Publication of ES</w:t>
            </w:r>
            <w:r>
              <w:rPr>
                <w:rFonts w:ascii="Arial" w:eastAsia="Arial" w:hAnsi="Arial" w:cs="Arial"/>
                <w:b w:val="0"/>
                <w:i w:val="0"/>
                <w:sz w:val="18"/>
              </w:rPr>
              <w:t>G</w:t>
            </w:r>
            <w:r>
              <w:rPr>
                <w:rFonts w:ascii="Arial" w:eastAsia="Arial" w:hAnsi="Arial" w:cs="Arial"/>
                <w:b w:val="0"/>
                <w:i w:val="0"/>
                <w:sz w:val="18"/>
              </w:rPr>
              <w:t>,</w:t>
            </w:r>
            <w:r>
              <w:rPr>
                <w:rFonts w:ascii="Arial" w:eastAsia="Arial" w:hAnsi="Arial" w:cs="Arial"/>
                <w:b w:val="0"/>
                <w:i w:val="0"/>
                <w:sz w:val="18"/>
              </w:rPr>
              <w:t xml:space="preserve"> </w:t>
            </w:r>
            <w:r>
              <w:rPr>
                <w:rFonts w:ascii="Arial" w:eastAsia="Arial" w:hAnsi="Arial" w:cs="Arial"/>
                <w:b w:val="0"/>
                <w:i w:val="0"/>
                <w:sz w:val="18"/>
              </w:rPr>
              <w:t>Sustainability (SASB)</w:t>
            </w:r>
            <w:r>
              <w:rPr>
                <w:rFonts w:ascii="Arial" w:eastAsia="Arial" w:hAnsi="Arial" w:cs="Arial"/>
                <w:b w:val="0"/>
                <w:i w:val="0"/>
                <w:sz w:val="18"/>
              </w:rPr>
              <w:t xml:space="preserve">, </w:t>
            </w:r>
            <w:r>
              <w:rPr>
                <w:rFonts w:ascii="Arial" w:eastAsia="Arial" w:hAnsi="Arial" w:cs="Arial"/>
                <w:b w:val="0"/>
                <w:i w:val="0"/>
                <w:sz w:val="18"/>
              </w:rPr>
              <w:t xml:space="preserve">DE&amp;I, and </w:t>
            </w:r>
            <w:r>
              <w:rPr>
                <w:rFonts w:ascii="Arial" w:eastAsia="Arial" w:hAnsi="Arial" w:cs="Arial"/>
                <w:b w:val="0"/>
                <w:i w:val="0"/>
                <w:sz w:val="18"/>
              </w:rPr>
              <w:t>Climate Change (TCFD) Report</w:t>
            </w:r>
            <w:r>
              <w:rPr>
                <w:rFonts w:ascii="Arial" w:eastAsia="Arial" w:hAnsi="Arial" w:cs="Arial"/>
                <w:b w:val="0"/>
                <w:i w:val="0"/>
                <w:sz w:val="18"/>
              </w:rPr>
              <w:t>s</w:t>
            </w:r>
            <w:r>
              <w:rPr>
                <w:rFonts w:ascii="Arial" w:eastAsia="Arial" w:hAnsi="Arial" w:cs="Arial"/>
                <w:b w:val="0"/>
                <w:i w:val="0"/>
                <w:sz w:val="18"/>
              </w:rPr>
              <w:t>.</w:t>
            </w:r>
          </w:p>
        </w:tc>
      </w:tr>
    </w:tbl>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sectPr>
          <w:headerReference w:type="default" r:id="rId162"/>
          <w:footerReference w:type="default" r:id="rId163"/>
          <w:type w:val="continuous"/>
          <w:pgSz w:w="12240" w:h="15840"/>
          <w:pgMar w:top="855" w:right="990" w:bottom="855" w:left="990" w:header="27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0"/>
          <w:u w:val="none"/>
        </w:rPr>
      </w:pPr>
      <w:bookmarkStart w:id="52" w:name="Section55"/>
      <w:bookmarkEnd w:id="52"/>
    </w:p>
    <w:p>
      <w:pPr>
        <w:keepNext/>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Shareholder Engagement</w:t>
      </w:r>
      <w:r>
        <w:rPr>
          <w:rFonts w:ascii="Arial" w:eastAsia="Arial" w:hAnsi="Arial" w:cs="Arial"/>
          <w:b/>
          <w:i w:val="0"/>
          <w:color w:val="4495D1"/>
          <w:sz w:val="20"/>
          <w:u w:val="none"/>
        </w:rPr>
        <w:t xml:space="preserve"> and Communication</w:t>
      </w:r>
      <w:r>
        <w:rPr>
          <w:rFonts w:ascii="Arial" w:eastAsia="Arial" w:hAnsi="Arial" w:cs="Arial"/>
          <w:b/>
          <w:i w:val="0"/>
          <w:color w:val="4495D1"/>
          <w:sz w:val="20"/>
          <w:u w:val="none"/>
        </w:rPr>
        <w:t xml:space="preserve"> in Practice</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i w:val="0"/>
          <w:color w:val="000000"/>
          <w:sz w:val="20"/>
          <w:u w:val="none"/>
          <w:shd w:val="clear" w:color="auto" w:fill="FFFF00"/>
        </w:rPr>
      </w:pPr>
      <w:r>
        <w:rPr>
          <w:rFonts w:ascii="Arial" w:eastAsia="Arial" w:hAnsi="Arial" w:cs="Arial"/>
          <w:b w:val="0"/>
          <w:i w:val="0"/>
          <w:sz w:val="20"/>
        </w:rPr>
        <w:t xml:space="preserve">Led by our Board Chair (Mr. Campbell) and the Chair of both the Human Resources and Compensation Committee and the Nominating and Governance Committee (Mr. Becker), we spoke with </w:t>
      </w:r>
      <w:r>
        <w:rPr>
          <w:rFonts w:ascii="Arial" w:eastAsia="Arial" w:hAnsi="Arial" w:cs="Arial"/>
          <w:b w:val="0"/>
          <w:i w:val="0"/>
          <w:color w:val="000000"/>
          <w:sz w:val="20"/>
          <w:u w:val="none"/>
        </w:rPr>
        <w:t>a nu</w:t>
      </w:r>
      <w:r>
        <w:rPr>
          <w:rFonts w:ascii="Arial" w:eastAsia="Arial" w:hAnsi="Arial" w:cs="Arial"/>
          <w:b w:val="0"/>
          <w:i w:val="0"/>
          <w:color w:val="000000"/>
          <w:sz w:val="20"/>
          <w:u w:val="none"/>
        </w:rPr>
        <w:t>mber of</w:t>
      </w:r>
      <w:r>
        <w:rPr>
          <w:rFonts w:ascii="Arial" w:eastAsia="Arial" w:hAnsi="Arial" w:cs="Arial"/>
          <w:b w:val="0"/>
          <w:i w:val="0"/>
          <w:sz w:val="20"/>
        </w:rPr>
        <w:t xml:space="preserve"> shareholders in 202</w:t>
      </w:r>
      <w:r>
        <w:rPr>
          <w:rFonts w:ascii="Arial" w:eastAsia="Arial" w:hAnsi="Arial" w:cs="Arial"/>
          <w:b w:val="0"/>
          <w:i w:val="0"/>
          <w:sz w:val="20"/>
        </w:rPr>
        <w:t>4</w:t>
      </w:r>
      <w:r>
        <w:rPr>
          <w:rFonts w:ascii="Arial" w:eastAsia="Arial" w:hAnsi="Arial" w:cs="Arial"/>
          <w:b w:val="0"/>
          <w:i w:val="0"/>
          <w:sz w:val="20"/>
        </w:rPr>
        <w:t xml:space="preserve"> representing approximately </w:t>
      </w:r>
      <w:r>
        <w:rPr>
          <w:rFonts w:ascii="Arial" w:eastAsia="Arial" w:hAnsi="Arial" w:cs="Arial"/>
          <w:b w:val="0"/>
          <w:i w:val="0"/>
          <w:color w:val="000000"/>
          <w:sz w:val="20"/>
          <w:u w:val="none"/>
        </w:rPr>
        <w:t>23%</w:t>
      </w:r>
      <w:r>
        <w:rPr>
          <w:rFonts w:ascii="Arial" w:eastAsia="Arial" w:hAnsi="Arial" w:cs="Arial"/>
          <w:b w:val="0"/>
          <w:i w:val="0"/>
          <w:sz w:val="20"/>
        </w:rPr>
        <w:t xml:space="preserve"> of our outstanding voting ordinary shares as</w:t>
      </w:r>
      <w:r>
        <w:rPr>
          <w:rFonts w:ascii="Arial" w:eastAsia="Arial" w:hAnsi="Arial" w:cs="Arial"/>
          <w:b w:val="0"/>
          <w:i w:val="0"/>
          <w:sz w:val="20"/>
        </w:rPr>
        <w:t xml:space="preserve"> of </w:t>
      </w:r>
      <w:r>
        <w:rPr>
          <w:rFonts w:ascii="Arial" w:eastAsia="Arial" w:hAnsi="Arial" w:cs="Arial"/>
          <w:b w:val="0"/>
          <w:i w:val="0"/>
          <w:color w:val="000000"/>
          <w:sz w:val="20"/>
          <w:u w:val="none"/>
        </w:rPr>
        <w:t>December 31, 2023</w:t>
      </w:r>
      <w:r>
        <w:rPr>
          <w:rFonts w:ascii="Arial" w:eastAsia="Arial" w:hAnsi="Arial" w:cs="Arial"/>
          <w:b w:val="0"/>
          <w:i w:val="0"/>
          <w:sz w:val="20"/>
        </w:rPr>
        <w:t xml:space="preserve"> and invited conversations with additional significant shareholders representing approximately </w:t>
      </w:r>
      <w:r>
        <w:rPr>
          <w:rFonts w:ascii="Arial" w:eastAsia="Arial" w:hAnsi="Arial" w:cs="Arial"/>
          <w:b w:val="0"/>
          <w:i w:val="0"/>
          <w:color w:val="000000"/>
          <w:sz w:val="20"/>
          <w:u w:val="none"/>
        </w:rPr>
        <w:t>5%</w:t>
      </w:r>
      <w:r>
        <w:rPr>
          <w:rFonts w:ascii="Arial" w:eastAsia="Arial" w:hAnsi="Arial" w:cs="Arial"/>
          <w:b w:val="0"/>
          <w:i w:val="0"/>
          <w:sz w:val="20"/>
        </w:rPr>
        <w:t xml:space="preserve"> of our outstanding voting ordinary shares, who advised that they did not feel a need to meet with us this year. We also spoke to two major proxy advisory firms. Directors whose firms represent an </w:t>
      </w:r>
      <w:r>
        <w:rPr>
          <w:rFonts w:ascii="Arial" w:eastAsia="Arial" w:hAnsi="Arial" w:cs="Arial"/>
          <w:b w:val="0"/>
          <w:i w:val="0"/>
          <w:color w:val="000000"/>
          <w:sz w:val="20"/>
          <w:u w:val="none"/>
        </w:rPr>
        <w:t xml:space="preserve">additional </w:t>
      </w:r>
      <w:r>
        <w:rPr>
          <w:rFonts w:ascii="Arial" w:eastAsia="Arial" w:hAnsi="Arial" w:cs="Arial"/>
          <w:b w:val="0"/>
          <w:i w:val="0"/>
          <w:color w:val="000000"/>
          <w:sz w:val="20"/>
          <w:u w:val="none"/>
        </w:rPr>
        <w:t>15%</w:t>
      </w:r>
      <w:r>
        <w:rPr>
          <w:rFonts w:ascii="Arial" w:eastAsia="Arial" w:hAnsi="Arial" w:cs="Arial"/>
          <w:b w:val="0"/>
          <w:i w:val="0"/>
          <w:color w:val="000000"/>
          <w:sz w:val="20"/>
          <w:u w:val="none"/>
        </w:rPr>
        <w:t xml:space="preserve"> </w:t>
      </w:r>
      <w:r>
        <w:rPr>
          <w:rFonts w:ascii="Arial" w:eastAsia="Arial" w:hAnsi="Arial" w:cs="Arial"/>
          <w:b w:val="0"/>
          <w:i w:val="0"/>
          <w:sz w:val="20"/>
        </w:rPr>
        <w:t>of our outstanding voting ordinary shares as</w:t>
      </w:r>
      <w:r>
        <w:rPr>
          <w:rFonts w:ascii="Arial" w:eastAsia="Arial" w:hAnsi="Arial" w:cs="Arial"/>
          <w:b w:val="0"/>
          <w:i w:val="0"/>
          <w:sz w:val="20"/>
        </w:rPr>
        <w:t xml:space="preserve"> of </w:t>
      </w:r>
      <w:r>
        <w:rPr>
          <w:rFonts w:ascii="Arial" w:eastAsia="Arial" w:hAnsi="Arial" w:cs="Arial"/>
          <w:b w:val="0"/>
          <w:i w:val="0"/>
          <w:color w:val="000000"/>
          <w:sz w:val="20"/>
          <w:u w:val="none"/>
        </w:rPr>
        <w:t>December 31, 2023</w:t>
      </w:r>
      <w:r>
        <w:rPr>
          <w:rFonts w:ascii="Arial" w:eastAsia="Arial" w:hAnsi="Arial" w:cs="Arial"/>
          <w:b w:val="0"/>
          <w:i w:val="0"/>
          <w:sz w:val="20"/>
        </w:rPr>
        <w:t xml:space="preserve"> are</w:t>
      </w:r>
      <w:r>
        <w:rPr>
          <w:rFonts w:ascii="Arial" w:eastAsia="Arial" w:hAnsi="Arial" w:cs="Arial"/>
          <w:b w:val="0"/>
          <w:i w:val="0"/>
          <w:sz w:val="20"/>
        </w:rPr>
        <w:t xml:space="preserve"> actively involved in our Board's oversight of compensation and governance matters, and were not included in the engagement program. </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000000"/>
          <w:sz w:val="20"/>
          <w:u w:val="none"/>
          <w:shd w:val="clear" w:color="auto" w:fill="FFFF00"/>
        </w:rPr>
      </w:pPr>
      <w:r>
        <w:rPr>
          <w:rFonts w:ascii="Arial" w:eastAsia="Arial" w:hAnsi="Arial" w:cs="Arial"/>
          <w:b w:val="0"/>
          <w:i w:val="0"/>
          <w:sz w:val="20"/>
        </w:rPr>
        <w:t>Topics discussed in engagement meetings with shareholders typically include governance practices, board composition and effectiveness, executive compensation, and our ESG program. The results of our shareholder engagement program are shared with the Board, our Human Resources and Compensation Committee, and our Nominating and Governance Committee.</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Further details regarding our shareholder engagement program and actions taken by the Company in response to shareholder feedback may be found under "Executive Compensation - Compensation Discussion &amp; Analysis - Results of Shareholder Vote on Compensation and Shareholder Engagement" beginning on </w:t>
      </w:r>
      <w:r>
        <w:rPr>
          <w:rFonts w:ascii="Arial" w:eastAsia="Arial" w:hAnsi="Arial" w:cs="Arial"/>
          <w:b w:val="0"/>
          <w:i w:val="0"/>
          <w:sz w:val="20"/>
        </w:rPr>
        <w:t xml:space="preserve">page </w:t>
      </w:r>
      <w:r>
        <w:rPr>
          <w:rFonts w:ascii="Arial" w:eastAsia="Arial" w:hAnsi="Arial" w:cs="Arial"/>
          <w:b w:val="0"/>
          <w:i w:val="0"/>
          <w:color w:val="0000FF"/>
          <w:sz w:val="20"/>
          <w:u w:val="single"/>
        </w:rPr>
        <w:fldChar w:fldCharType="begin"/>
      </w:r>
      <w:r>
        <w:rPr>
          <w:rFonts w:ascii="Arial" w:eastAsia="Arial" w:hAnsi="Arial" w:cs="Arial"/>
          <w:b w:val="0"/>
          <w:i w:val="0"/>
          <w:color w:val="0000FF"/>
          <w:sz w:val="20"/>
          <w:u w:val="single"/>
        </w:rPr>
        <w:instrText xml:space="preserve"> PAGEREF </w:instrText>
      </w:r>
      <w:r>
        <w:rPr>
          <w:rFonts w:ascii="Arial" w:eastAsia="Arial" w:hAnsi="Arial" w:cs="Arial"/>
          <w:b w:val="0"/>
          <w:i w:val="0"/>
          <w:color w:val="0000FF"/>
          <w:sz w:val="20"/>
          <w:u w:val="single"/>
        </w:rPr>
        <w:instrText xml:space="preserve"> </w:instrText>
      </w:r>
      <w:r>
        <w:rPr>
          <w:rFonts w:ascii="Arial" w:eastAsia="Arial" w:hAnsi="Arial" w:cs="Arial"/>
          <w:b w:val="0"/>
          <w:i w:val="0"/>
          <w:color w:val="0000FF"/>
          <w:sz w:val="20"/>
          <w:u w:val="single"/>
        </w:rPr>
        <w:instrText>Section70</w:instrText>
      </w:r>
      <w:r>
        <w:rPr>
          <w:rFonts w:ascii="Arial" w:eastAsia="Arial" w:hAnsi="Arial" w:cs="Arial"/>
          <w:b w:val="0"/>
          <w:i w:val="0"/>
          <w:color w:val="0000FF"/>
          <w:sz w:val="20"/>
          <w:u w:val="single"/>
        </w:rPr>
        <w:instrText xml:space="preserve"> \h</w:instrText>
      </w:r>
      <w:r>
        <w:rPr>
          <w:rFonts w:ascii="Arial" w:eastAsia="Arial" w:hAnsi="Arial" w:cs="Arial"/>
          <w:b w:val="0"/>
          <w:i w:val="0"/>
          <w:color w:val="0000FF"/>
          <w:sz w:val="20"/>
          <w:u w:val="single"/>
        </w:rPr>
        <w:fldChar w:fldCharType="separate"/>
      </w:r>
      <w:r>
        <w:rPr>
          <w:rFonts w:ascii="Arial" w:eastAsia="Arial" w:hAnsi="Arial" w:cs="Arial"/>
          <w:b w:val="0"/>
          <w:i w:val="0"/>
          <w:color w:val="0000FF"/>
          <w:sz w:val="20"/>
          <w:u w:val="single"/>
        </w:rPr>
        <w:t>46</w:t>
      </w:r>
      <w:r>
        <w:rPr>
          <w:rFonts w:ascii="Arial" w:eastAsia="Arial" w:hAnsi="Arial" w:cs="Arial"/>
          <w:b w:val="0"/>
          <w:i w:val="0"/>
          <w:color w:val="0000FF"/>
          <w:sz w:val="20"/>
          <w:u w:val="single"/>
        </w:rPr>
        <w:fldChar w:fldCharType="end"/>
      </w:r>
      <w:r>
        <w:rPr>
          <w:rFonts w:ascii="Arial" w:eastAsia="Arial" w:hAnsi="Arial" w:cs="Arial"/>
          <w:b w:val="0"/>
          <w:i w:val="0"/>
          <w:sz w:val="20"/>
        </w:rPr>
        <w:t>.</w:t>
      </w:r>
    </w:p>
    <w:p>
      <w:pPr>
        <w:keepNext/>
        <w:keepLines w:val="0"/>
        <w:pageBreakBefore w:val="0"/>
        <w:widowControl/>
        <w:numPr>
          <w:ilvl w:val="0"/>
          <w:numId w:val="0"/>
        </w:numPr>
        <w:spacing w:before="0" w:after="120" w:line="300" w:lineRule="auto"/>
        <w:ind w:left="0" w:right="0" w:firstLine="0"/>
        <w:jc w:val="both"/>
        <w:outlineLvl w:val="9"/>
        <w:sectPr>
          <w:headerReference w:type="default" r:id="rId164"/>
          <w:footerReference w:type="default" r:id="rId165"/>
          <w:pgSz w:w="12240" w:h="15840"/>
          <w:pgMar w:top="855" w:right="990" w:bottom="855" w:left="990" w:header="270" w:footer="270"/>
          <w:cols w:space="708"/>
        </w:sectPr>
      </w:pPr>
    </w:p>
    <w:p>
      <w:pPr>
        <w:keepNext/>
        <w:keepLines/>
        <w:pageBreakBefore w:val="0"/>
        <w:widowControl w:val="0"/>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53" w:name="Section56"/>
      <w:bookmarkEnd w:id="53"/>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Communications with the Board</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830"/>
        <w:gridCol w:w="525"/>
        <w:gridCol w:w="1785"/>
        <w:gridCol w:w="3120"/>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4830" w:type="dxa"/>
            <w:tcBorders>
              <w:top w:val="single" w:sz="8" w:space="0" w:color="DBDBDB"/>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vMerge w:val="restart"/>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8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312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520"/>
        </w:trPr>
        <w:tc>
          <w:tcPr>
            <w:tcW w:w="4830" w:type="dxa"/>
            <w:tcBorders>
              <w:top w:val="nil"/>
              <w:left w:val="nil"/>
              <w:bottom w:val="nil"/>
              <w:right w:val="nil"/>
            </w:tcBorders>
            <w:tcMar>
              <w:top w:w="0" w:type="dxa"/>
              <w:left w:w="53" w:type="dxa"/>
              <w:bottom w:w="0" w:type="dxa"/>
              <w:right w:w="53" w:type="dxa"/>
            </w:tcMar>
            <w:vAlign w:val="center"/>
          </w:tcPr>
          <w:p>
            <w:pPr>
              <w:keepNext/>
              <w:pageBreakBefore w:val="0"/>
              <w:spacing w:before="0" w:after="0" w:line="300" w:lineRule="auto"/>
              <w:jc w:val="both"/>
            </w:pPr>
            <w:r>
              <w:rPr>
                <w:rFonts w:ascii="Arial" w:eastAsia="Arial" w:hAnsi="Arial" w:cs="Arial"/>
                <w:b w:val="0"/>
                <w:i w:val="0"/>
                <w:color w:val="000000"/>
                <w:sz w:val="20"/>
                <w:u w:val="none"/>
              </w:rPr>
              <w:t>Shareholders and other interested parties may send written communications directed to the Board, a committee of the Board, the Board's Chair, a committee Chair, independent directors as a group or an individual director, by mail to the address specified in this section. The notice may specify whether the communication is directed to the entire Board, to the independent directors, or to a particular Board committee or individual director.</w:t>
            </w:r>
          </w:p>
        </w:tc>
        <w:tc>
          <w:tcPr>
            <w:tcW w:w="525" w:type="dxa"/>
            <w:vMerge/>
            <w:tcBorders>
              <w:top w:val="nil"/>
              <w:left w:val="nil"/>
              <w:bottom w:val="nil"/>
              <w:right w:val="nil"/>
            </w:tcBorders>
          </w:tcPr>
          <w:p>
            <w:pPr>
              <w:keepNext/>
              <w:pageBreakBefore w:val="0"/>
            </w:pPr>
          </w:p>
        </w:tc>
        <w:tc>
          <w:tcPr>
            <w:tcW w:w="178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Wingdings" w:eastAsia="Wingdings" w:hAnsi="Wingdings" w:cs="Wingdings"/>
                <w:b w:val="0"/>
                <w:i w:val="0"/>
                <w:color w:val="4494D1"/>
                <w:sz w:val="96"/>
                <w:u w:val="none"/>
              </w:rPr>
            </w:pPr>
            <w:r>
              <w:pict>
                <v:shape id="_x0000_s1219" type="#_x0000_t75" style="width:52.5pt;height:52.5pt;margin-top:0;margin-left:0;mso-position-horizontal:center;position:absolute;z-index:251780096">
                  <v:imagedata r:id="rId166" o:title=""/>
                  <o:lock v:ext="edit" aspectratio="t"/>
                  <w10:wrap type="square"/>
                </v:shape>
              </w:pict>
            </w:r>
          </w:p>
        </w:tc>
        <w:tc>
          <w:tcPr>
            <w:tcW w:w="3120" w:type="dxa"/>
            <w:tcBorders>
              <w:top w:val="nil"/>
              <w:left w:val="dotted" w:sz="8" w:space="0" w:color="4494D1"/>
              <w:bottom w:val="nil"/>
              <w:right w:val="nil"/>
            </w:tcBorders>
            <w:shd w:val="clear" w:color="auto" w:fill="DBDBDB"/>
            <w:tcMar>
              <w:top w:w="0" w:type="dxa"/>
              <w:left w:w="53" w:type="dxa"/>
              <w:bottom w:w="0" w:type="dxa"/>
              <w:right w:w="53" w:type="dxa"/>
            </w:tcMar>
            <w:vAlign w:val="center"/>
          </w:tcPr>
          <w:p>
            <w:pPr>
              <w:keepNext/>
              <w:pageBreakBefore w:val="0"/>
              <w:spacing w:before="0" w:line="288" w:lineRule="auto"/>
              <w:ind w:left="180"/>
              <w:jc w:val="left"/>
            </w:pPr>
            <w:r>
              <w:rPr>
                <w:rFonts w:ascii="Arial" w:eastAsia="Arial" w:hAnsi="Arial" w:cs="Arial"/>
                <w:b/>
                <w:i w:val="0"/>
                <w:color w:val="4494D1"/>
                <w:sz w:val="18"/>
                <w:u w:val="none"/>
              </w:rPr>
              <w:t>Enstar Group Limited</w:t>
            </w:r>
          </w:p>
          <w:p>
            <w:pPr>
              <w:spacing w:line="288" w:lineRule="auto"/>
              <w:ind w:left="180"/>
              <w:jc w:val="left"/>
            </w:pPr>
            <w:r>
              <w:rPr>
                <w:rFonts w:ascii="Arial" w:eastAsia="Arial" w:hAnsi="Arial" w:cs="Arial"/>
                <w:b/>
                <w:i w:val="0"/>
                <w:color w:val="4494D1"/>
                <w:sz w:val="18"/>
                <w:u w:val="none"/>
              </w:rPr>
              <w:t>Attention: Corporate Secretary</w:t>
            </w:r>
          </w:p>
          <w:p>
            <w:pPr>
              <w:spacing w:line="288" w:lineRule="auto"/>
              <w:ind w:left="180"/>
              <w:jc w:val="left"/>
            </w:pPr>
            <w:r>
              <w:rPr>
                <w:rFonts w:ascii="Arial" w:eastAsia="Arial" w:hAnsi="Arial" w:cs="Arial"/>
                <w:b/>
                <w:i w:val="0"/>
                <w:color w:val="4494D1"/>
                <w:sz w:val="18"/>
                <w:u w:val="none"/>
              </w:rPr>
              <w:t>P.O. Box HM 2267</w:t>
            </w:r>
          </w:p>
          <w:p>
            <w:pPr>
              <w:spacing w:line="288" w:lineRule="auto"/>
              <w:ind w:left="180"/>
              <w:jc w:val="left"/>
            </w:pPr>
            <w:r>
              <w:rPr>
                <w:rFonts w:ascii="Arial" w:eastAsia="Arial" w:hAnsi="Arial" w:cs="Arial"/>
                <w:b/>
                <w:i w:val="0"/>
                <w:color w:val="4494D1"/>
                <w:sz w:val="18"/>
                <w:u w:val="none"/>
              </w:rPr>
              <w:t>A.S. Cooper Building, 4th Floor</w:t>
            </w:r>
          </w:p>
          <w:p>
            <w:pPr>
              <w:spacing w:line="288" w:lineRule="auto"/>
              <w:ind w:left="180"/>
              <w:jc w:val="left"/>
            </w:pPr>
            <w:r>
              <w:rPr>
                <w:rFonts w:ascii="Arial" w:eastAsia="Arial" w:hAnsi="Arial" w:cs="Arial"/>
                <w:b/>
                <w:i w:val="0"/>
                <w:color w:val="4494D1"/>
                <w:sz w:val="18"/>
                <w:u w:val="none"/>
              </w:rPr>
              <w:t>26 Reid Street</w:t>
            </w:r>
          </w:p>
          <w:p>
            <w:pPr>
              <w:spacing w:line="288" w:lineRule="auto"/>
              <w:ind w:left="180"/>
              <w:jc w:val="left"/>
            </w:pPr>
            <w:r>
              <w:rPr>
                <w:rFonts w:ascii="Arial" w:eastAsia="Arial" w:hAnsi="Arial" w:cs="Arial"/>
                <w:b/>
                <w:i w:val="0"/>
                <w:color w:val="4494D1"/>
                <w:sz w:val="18"/>
                <w:u w:val="none"/>
              </w:rPr>
              <w:t>Hamilton HM 11</w:t>
            </w:r>
          </w:p>
          <w:p>
            <w:pPr>
              <w:spacing w:after="0" w:line="288" w:lineRule="auto"/>
              <w:ind w:left="180"/>
              <w:jc w:val="left"/>
            </w:pPr>
            <w:r>
              <w:rPr>
                <w:rFonts w:ascii="Arial" w:eastAsia="Arial" w:hAnsi="Arial" w:cs="Arial"/>
                <w:b/>
                <w:i w:val="0"/>
                <w:color w:val="4494D1"/>
                <w:sz w:val="18"/>
                <w:u w:val="none"/>
              </w:rPr>
              <w:t>Bermuda</w:t>
            </w:r>
          </w:p>
        </w:tc>
      </w:tr>
      <w:tr>
        <w:tblPrEx>
          <w:tblW w:w="10260" w:type="dxa"/>
          <w:tblInd w:w="0" w:type="dxa"/>
          <w:tblLayout w:type="fixed"/>
          <w:tblCellMar>
            <w:left w:w="108" w:type="dxa"/>
            <w:right w:w="108" w:type="dxa"/>
          </w:tblCellMar>
        </w:tblPrEx>
        <w:trPr>
          <w:cantSplit/>
          <w:trHeight w:hRule="exact" w:val="60"/>
        </w:trPr>
        <w:tc>
          <w:tcPr>
            <w:tcW w:w="4830" w:type="dxa"/>
            <w:tcBorders>
              <w:top w:val="nil"/>
              <w:left w:val="nil"/>
              <w:bottom w:val="single" w:sz="8" w:space="0" w:color="DBDBDB"/>
              <w:right w:val="nil"/>
            </w:tcBorders>
            <w:tcMar>
              <w:top w:w="0" w:type="dxa"/>
              <w:left w:w="0" w:type="dxa"/>
              <w:bottom w:w="0" w:type="dxa"/>
              <w:right w:w="0" w:type="dxa"/>
            </w:tcMar>
            <w:vAlign w:val="bottom"/>
          </w:tcPr>
          <w:p>
            <w:pPr>
              <w:pageBreakBefore w:val="0"/>
              <w:spacing w:before="0" w:after="0"/>
            </w:pPr>
          </w:p>
        </w:tc>
        <w:tc>
          <w:tcPr>
            <w:tcW w:w="525" w:type="dxa"/>
            <w:vMerge/>
            <w:tcBorders>
              <w:top w:val="nil"/>
              <w:left w:val="nil"/>
              <w:bottom w:val="nil"/>
              <w:right w:val="nil"/>
            </w:tcBorders>
          </w:tcPr>
          <w:p>
            <w:pPr>
              <w:pageBreakBefore w:val="0"/>
            </w:pPr>
          </w:p>
        </w:tc>
        <w:tc>
          <w:tcPr>
            <w:tcW w:w="1785" w:type="dxa"/>
            <w:tcBorders>
              <w:top w:val="nil"/>
              <w:left w:val="nil"/>
              <w:bottom w:val="nil"/>
              <w:right w:val="nil"/>
            </w:tcBorders>
            <w:shd w:val="clear" w:color="auto" w:fill="DBDBDB"/>
            <w:tcMar>
              <w:top w:w="0" w:type="dxa"/>
              <w:left w:w="0" w:type="dxa"/>
              <w:bottom w:w="0" w:type="dxa"/>
              <w:right w:w="0" w:type="dxa"/>
            </w:tcMar>
            <w:vAlign w:val="bottom"/>
          </w:tcPr>
          <w:p>
            <w:pPr>
              <w:pageBreakBefore w:val="0"/>
              <w:spacing w:before="0" w:after="0"/>
            </w:pPr>
          </w:p>
        </w:tc>
        <w:tc>
          <w:tcPr>
            <w:tcW w:w="3120" w:type="dxa"/>
            <w:tcBorders>
              <w:top w:val="nil"/>
              <w:left w:val="nil"/>
              <w:bottom w:val="nil"/>
              <w:right w:val="nil"/>
            </w:tcBorders>
            <w:shd w:val="clear" w:color="auto" w:fill="DBDBDB"/>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Our Corporate Secretary's office will review any communications sent to the Board and provide the Board with a summary and copies of communications that relate to the functions of the Board or a Board committee or that otherwise warrant Board attention. In addition, the Office of the Corporate Secretary may forward certain communications only to the Board's Chair, the Chair of the relevant Board committee or the individual Board member to whom a communication is directed. Concerns relating to the Company’s accounting, internal accounting controls or auditing matters will be referred directly to members of the Audit Committee. Those items that are unrelated to the duties and responsibilities of the Board or its committees may not be provided to the Board by the Office of the Corporate Secretary, including, without limitation, business solicitations, advertisements and surveys; requests for donations and sponsorships; job referral materials such as resumes; unsolicited ideas and business proposals; and material that is determined to be illegal or otherwise inappropriate.</w:t>
      </w:r>
    </w:p>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sectPr>
          <w:headerReference w:type="default" r:id="rId167"/>
          <w:footerReference w:type="default" r:id="rId168"/>
          <w:type w:val="continuous"/>
          <w:pgSz w:w="12240" w:h="15840"/>
          <w:pgMar w:top="855" w:right="990" w:bottom="855" w:left="990" w:header="270" w:footer="270"/>
          <w:cols w:space="708"/>
        </w:sectPr>
      </w:pPr>
    </w:p>
    <w:p>
      <w:pPr>
        <w:keepNext w:val="0"/>
        <w:keepLines/>
        <w:pageBreakBefore w:val="0"/>
        <w:widowControl w:val="0"/>
        <w:numPr>
          <w:ilvl w:val="0"/>
          <w:numId w:val="0"/>
        </w:numPr>
        <w:spacing w:before="0" w:after="60" w:line="288" w:lineRule="auto"/>
        <w:ind w:left="0" w:right="0" w:firstLine="0"/>
        <w:jc w:val="left"/>
        <w:outlineLvl w:val="9"/>
        <w:rPr>
          <w:rFonts w:ascii="Arial" w:eastAsia="Arial" w:hAnsi="Arial" w:cs="Arial"/>
          <w:b/>
          <w:i w:val="0"/>
          <w:color w:val="4495D1"/>
          <w:sz w:val="24"/>
          <w:u w:val="none"/>
        </w:rPr>
      </w:pPr>
      <w:bookmarkStart w:id="54" w:name="Section57"/>
      <w:bookmarkEnd w:id="54"/>
    </w:p>
    <w:p>
      <w:pPr>
        <w:keepNext w:val="0"/>
        <w:keepLines/>
        <w:pageBreakBefore w:val="0"/>
        <w:widowControl w:val="0"/>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OUR EXECUTIVE OFFICERS</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Management of the Company is led by our executive officers. The following table presents information regarding our executive officers as of the date of this proxy statement.</w:t>
      </w: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355"/>
        <w:gridCol w:w="195"/>
        <w:gridCol w:w="5955"/>
        <w:gridCol w:w="175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05"/>
          <w:jc w:val="left"/>
        </w:trPr>
        <w:tc>
          <w:tcPr>
            <w:tcW w:w="235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95" w:type="dxa"/>
            <w:tcBorders>
              <w:top w:val="nil"/>
              <w:left w:val="single" w:sz="12" w:space="0" w:color="4494D1"/>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595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75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2925"/>
          <w:jc w:val="left"/>
        </w:trPr>
        <w:tc>
          <w:tcPr>
            <w:tcW w:w="235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hanging="90"/>
              <w:jc w:val="left"/>
              <w:outlineLvl w:val="9"/>
              <w:rPr>
                <w:rFonts w:ascii="Arial" w:eastAsia="Arial" w:hAnsi="Arial" w:cs="Arial"/>
                <w:b w:val="0"/>
                <w:i w:val="0"/>
                <w:sz w:val="16"/>
              </w:rPr>
            </w:pPr>
            <w:r>
              <w:pict>
                <v:shape id="_x0000_s1220" type="#_x0000_t75" style="width:111.6pt;height:120.48pt;margin-top:0;margin-left:0;mso-position-horizontal:left;position:absolute;z-index:251781120">
                  <v:imagedata r:id="rId169" o:title=""/>
                  <o:lock v:ext="edit" aspectratio="t"/>
                  <w10:wrap type="square"/>
                </v:shape>
              </w:pict>
            </w:r>
          </w:p>
        </w:tc>
        <w:tc>
          <w:tcPr>
            <w:tcW w:w="19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7710" w:type="dxa"/>
            <w:gridSpan w:val="2"/>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60" w:line="288" w:lineRule="auto"/>
              <w:ind w:left="0" w:right="0" w:firstLine="0"/>
              <w:jc w:val="left"/>
              <w:outlineLvl w:val="9"/>
              <w:rPr>
                <w:rFonts w:ascii="Arial" w:eastAsia="Arial" w:hAnsi="Arial" w:cs="Arial"/>
                <w:b/>
                <w:i w:val="0"/>
                <w:color w:val="002060"/>
                <w:sz w:val="28"/>
                <w:u w:val="none"/>
              </w:rPr>
            </w:pPr>
            <w:r>
              <w:rPr>
                <w:rFonts w:ascii="Arial" w:eastAsia="Arial" w:hAnsi="Arial" w:cs="Arial"/>
                <w:b/>
                <w:i w:val="0"/>
                <w:color w:val="171449"/>
                <w:sz w:val="28"/>
                <w:u w:val="none"/>
              </w:rPr>
              <w:t xml:space="preserve">Dominic Silvester    </w:t>
            </w:r>
            <w:r>
              <w:rPr>
                <w:rFonts w:ascii="Arial" w:eastAsia="Arial" w:hAnsi="Arial" w:cs="Arial"/>
                <w:b w:val="0"/>
                <w:i w:val="0"/>
                <w:sz w:val="20"/>
              </w:rPr>
              <w:t>Chief Executive Officer</w:t>
            </w:r>
          </w:p>
          <w:p>
            <w:pPr>
              <w:pageBreakBefore w:val="0"/>
              <w:numPr>
                <w:ilvl w:val="0"/>
                <w:numId w:val="0"/>
              </w:numPr>
              <w:spacing w:before="0" w:after="0" w:line="288" w:lineRule="auto"/>
              <w:ind w:left="0" w:right="180" w:firstLine="0"/>
              <w:jc w:val="both"/>
              <w:outlineLvl w:val="9"/>
              <w:rPr>
                <w:rFonts w:ascii="Arial" w:eastAsia="Arial" w:hAnsi="Arial" w:cs="Arial"/>
                <w:b w:val="0"/>
                <w:i w:val="0"/>
                <w:sz w:val="18"/>
              </w:rPr>
            </w:pPr>
          </w:p>
          <w:p>
            <w:pPr>
              <w:pageBreakBefore w:val="0"/>
              <w:numPr>
                <w:ilvl w:val="0"/>
                <w:numId w:val="0"/>
              </w:numPr>
              <w:spacing w:before="0" w:after="60" w:line="288" w:lineRule="auto"/>
              <w:ind w:left="0" w:right="18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Biographical Information</w:t>
            </w:r>
          </w:p>
          <w:p>
            <w:pPr>
              <w:pageBreakBefore w:val="0"/>
              <w:numPr>
                <w:ilvl w:val="0"/>
                <w:numId w:val="0"/>
              </w:numPr>
              <w:spacing w:before="0" w:after="3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Dominic Silvester has served as a director and the Chief Executive Officer of the Company since its formation in 2001. In 1993, Mr. Silvester began a business venture in Bermuda to provide run-off services to the insurance and reinsurance industry. In 1995, the business was assumed by Enstar Limited, which is now a subsidiary of the Company, and for which Mr. Silvester has since then served as Chief Executive Officer. Prior to co-founding the Company, Mr. Silvester served as the Chief Financial Officer of Anchor Underwriting Managers Limited from 1988 until 1993.</w:t>
            </w:r>
          </w:p>
        </w:tc>
      </w:tr>
      <w:tr>
        <w:tblPrEx>
          <w:tblW w:w="10260" w:type="dxa"/>
          <w:jc w:val="left"/>
          <w:tblInd w:w="0" w:type="dxa"/>
          <w:tblLayout w:type="fixed"/>
          <w:tblCellMar>
            <w:left w:w="108" w:type="dxa"/>
            <w:right w:w="108" w:type="dxa"/>
          </w:tblCellMar>
        </w:tblPrEx>
        <w:trPr>
          <w:cantSplit/>
          <w:trHeight w:hRule="exact" w:val="405"/>
          <w:jc w:val="left"/>
        </w:trPr>
        <w:tc>
          <w:tcPr>
            <w:tcW w:w="2355" w:type="dxa"/>
            <w:vMerge/>
            <w:tcBorders>
              <w:top w:val="nil"/>
              <w:left w:val="nil"/>
              <w:bottom w:val="nil"/>
              <w:right w:val="nil"/>
            </w:tcBorders>
          </w:tcPr>
          <w:p>
            <w:pPr>
              <w:pageBreakBefore w:val="0"/>
            </w:pPr>
          </w:p>
        </w:tc>
        <w:tc>
          <w:tcPr>
            <w:tcW w:w="195" w:type="dxa"/>
            <w:tcBorders>
              <w:top w:val="nil"/>
              <w:left w:val="single" w:sz="12" w:space="0" w:color="4494D1"/>
              <w:bottom w:val="nil"/>
              <w:right w:val="nil"/>
            </w:tcBorders>
            <w:tcMar>
              <w:top w:w="0" w:type="dxa"/>
              <w:left w:w="0" w:type="dxa"/>
              <w:bottom w:w="0" w:type="dxa"/>
              <w:right w:w="0" w:type="dxa"/>
            </w:tcMar>
            <w:vAlign w:val="bottom"/>
          </w:tcPr>
          <w:p>
            <w:pPr>
              <w:pageBreakBefore w:val="0"/>
              <w:spacing w:before="0" w:after="0"/>
            </w:pPr>
          </w:p>
        </w:tc>
        <w:tc>
          <w:tcPr>
            <w:tcW w:w="5955"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Officer Since:</w:t>
            </w:r>
            <w:r>
              <w:rPr>
                <w:rFonts w:ascii="Arial" w:eastAsia="Arial" w:hAnsi="Arial" w:cs="Arial"/>
                <w:b w:val="0"/>
                <w:i w:val="0"/>
                <w:sz w:val="18"/>
              </w:rPr>
              <w:t xml:space="preserve"> </w:t>
            </w:r>
            <w:r>
              <w:rPr>
                <w:rFonts w:ascii="Arial" w:eastAsia="Arial" w:hAnsi="Arial" w:cs="Arial"/>
                <w:b w:val="0"/>
                <w:i w:val="0"/>
                <w:sz w:val="20"/>
              </w:rPr>
              <w:t>2001</w:t>
            </w:r>
          </w:p>
        </w:tc>
        <w:tc>
          <w:tcPr>
            <w:tcW w:w="1755"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Age:</w:t>
            </w:r>
            <w:r>
              <w:rPr>
                <w:rFonts w:ascii="Arial" w:eastAsia="Arial" w:hAnsi="Arial" w:cs="Arial"/>
                <w:b w:val="0"/>
                <w:i w:val="0"/>
                <w:sz w:val="20"/>
              </w:rPr>
              <w:t xml:space="preserve"> </w:t>
            </w:r>
            <w:r>
              <w:rPr>
                <w:rFonts w:ascii="Arial" w:eastAsia="Arial" w:hAnsi="Arial" w:cs="Arial"/>
                <w:b w:val="0"/>
                <w:i w:val="0"/>
                <w:color w:val="000000"/>
                <w:sz w:val="20"/>
                <w:u w:val="none"/>
              </w:rPr>
              <w:t>63</w:t>
            </w:r>
          </w:p>
        </w:tc>
      </w:tr>
    </w:tbl>
    <w:p>
      <w:pPr>
        <w:keepNext w:val="0"/>
        <w:keepLines w:val="0"/>
        <w:pageBreakBefore w:val="0"/>
        <w:widowControl/>
        <w:numPr>
          <w:ilvl w:val="0"/>
          <w:numId w:val="0"/>
        </w:numPr>
        <w:spacing w:before="120" w:after="0" w:line="288" w:lineRule="auto"/>
        <w:ind w:left="0" w:right="0" w:firstLine="0"/>
        <w:jc w:val="left"/>
        <w:outlineLvl w:val="9"/>
        <w:rPr>
          <w:rFonts w:ascii="Times New Roman" w:eastAsia="Times New Roman" w:hAnsi="Times New Roman" w:cs="Times New Roman"/>
          <w:b w:val="0"/>
          <w:i w:val="0"/>
          <w:color w:val="FF0090"/>
          <w:sz w:val="20"/>
          <w:u w:val="none"/>
        </w:rPr>
      </w:pP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355"/>
        <w:gridCol w:w="195"/>
        <w:gridCol w:w="5955"/>
        <w:gridCol w:w="175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05"/>
          <w:jc w:val="left"/>
        </w:trPr>
        <w:tc>
          <w:tcPr>
            <w:tcW w:w="23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59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3900"/>
          <w:jc w:val="left"/>
        </w:trPr>
        <w:tc>
          <w:tcPr>
            <w:tcW w:w="235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hanging="270"/>
              <w:jc w:val="left"/>
              <w:outlineLvl w:val="9"/>
              <w:rPr>
                <w:rFonts w:ascii="Arial" w:eastAsia="Arial" w:hAnsi="Arial" w:cs="Arial"/>
                <w:b w:val="0"/>
                <w:i w:val="0"/>
                <w:sz w:val="16"/>
              </w:rPr>
            </w:pPr>
            <w:r>
              <w:pict>
                <v:shape id="_x0000_i1221" type="#_x0000_t75" style="width:125.66pt;height:118.8pt">
                  <v:imagedata r:id="rId52" o:title=""/>
                  <o:lock v:ext="edit" aspectratio="t"/>
                </v:shape>
              </w:pict>
            </w:r>
          </w:p>
        </w:tc>
        <w:tc>
          <w:tcPr>
            <w:tcW w:w="19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7710" w:type="dxa"/>
            <w:gridSpan w:val="2"/>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60" w:line="288" w:lineRule="auto"/>
              <w:ind w:left="0" w:right="0" w:firstLine="0"/>
              <w:jc w:val="left"/>
              <w:outlineLvl w:val="9"/>
              <w:rPr>
                <w:rFonts w:ascii="Arial" w:eastAsia="Arial" w:hAnsi="Arial" w:cs="Arial"/>
                <w:b/>
                <w:i w:val="0"/>
                <w:color w:val="002060"/>
                <w:sz w:val="28"/>
                <w:u w:val="none"/>
              </w:rPr>
            </w:pPr>
            <w:r>
              <w:rPr>
                <w:rFonts w:ascii="Arial" w:eastAsia="Arial" w:hAnsi="Arial" w:cs="Arial"/>
                <w:b/>
                <w:i w:val="0"/>
                <w:color w:val="171449"/>
                <w:sz w:val="28"/>
                <w:u w:val="none"/>
              </w:rPr>
              <w:t xml:space="preserve">Orla Gregory    </w:t>
            </w:r>
            <w:r>
              <w:rPr>
                <w:rFonts w:ascii="Arial" w:eastAsia="Arial" w:hAnsi="Arial" w:cs="Arial"/>
                <w:b w:val="0"/>
                <w:i w:val="0"/>
                <w:sz w:val="20"/>
              </w:rPr>
              <w:t>President</w:t>
            </w:r>
          </w:p>
          <w:p>
            <w:pPr>
              <w:pageBreakBefore w:val="0"/>
              <w:numPr>
                <w:ilvl w:val="0"/>
                <w:numId w:val="0"/>
              </w:numPr>
              <w:spacing w:before="0" w:after="0" w:line="288" w:lineRule="auto"/>
              <w:ind w:left="0" w:right="0" w:firstLine="0"/>
              <w:jc w:val="left"/>
              <w:outlineLvl w:val="9"/>
              <w:rPr>
                <w:rFonts w:ascii="Arial" w:eastAsia="Arial" w:hAnsi="Arial" w:cs="Arial"/>
                <w:b/>
                <w:i w:val="0"/>
                <w:color w:val="4495D1"/>
                <w:sz w:val="18"/>
                <w:u w:val="none"/>
              </w:rPr>
            </w:pPr>
          </w:p>
          <w:p>
            <w:pPr>
              <w:pageBreakBefore w:val="0"/>
              <w:numPr>
                <w:ilvl w:val="0"/>
                <w:numId w:val="0"/>
              </w:numPr>
              <w:spacing w:before="0" w:after="60" w:line="288" w:lineRule="auto"/>
              <w:ind w:left="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Biographical Information</w:t>
            </w:r>
          </w:p>
          <w:p>
            <w:pPr>
              <w:pageBreakBefore w:val="0"/>
              <w:numPr>
                <w:ilvl w:val="0"/>
                <w:numId w:val="0"/>
              </w:numPr>
              <w:spacing w:before="0" w:after="3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Orla Gregory was appointed President in March 2023. </w:t>
            </w:r>
            <w:r>
              <w:rPr>
                <w:rFonts w:ascii="Arial" w:eastAsia="Arial" w:hAnsi="Arial" w:cs="Arial"/>
                <w:b w:val="0"/>
                <w:i w:val="0"/>
                <w:sz w:val="20"/>
              </w:rPr>
              <w:t xml:space="preserve">She previously served as our Chief Operating Officer from July 2016 to March 2023 and concurrently as our Chief Financial Officer from September 2021 to March 2023. </w:t>
            </w:r>
            <w:r>
              <w:rPr>
                <w:rFonts w:ascii="Arial" w:eastAsia="Arial" w:hAnsi="Arial" w:cs="Arial"/>
                <w:b w:val="0"/>
                <w:i w:val="0"/>
                <w:sz w:val="20"/>
              </w:rPr>
              <w:t>Since joining us in 2003, Ms. Gregory has held increasingly senior roles, including Chief Integration Officer from 2015 to 2016, Executive Vice President of Mergers and Acquisitions of our subsidiary, Enstar Limited, from 2014 to 2015, Senior Vice President of Mergers and Acquisitions from 2009 to 2014, and Financial Controller from 2003 to 2009. Ms. Gregory previously served as a Financial Controller of Irish European Reinsurance Company Ltd. in Ireland, an Investment Accountant with Ernst &amp; Young Bermuda, and as a Financial Accountant for QBE Insurance &amp; Reinsurance (Europe) Limited.</w:t>
            </w:r>
          </w:p>
        </w:tc>
      </w:tr>
      <w:tr>
        <w:tblPrEx>
          <w:tblW w:w="10260" w:type="dxa"/>
          <w:jc w:val="left"/>
          <w:tblInd w:w="0" w:type="dxa"/>
          <w:tblLayout w:type="fixed"/>
          <w:tblCellMar>
            <w:left w:w="108" w:type="dxa"/>
            <w:right w:w="108" w:type="dxa"/>
          </w:tblCellMar>
        </w:tblPrEx>
        <w:trPr>
          <w:cantSplit/>
          <w:trHeight w:hRule="exact" w:val="405"/>
          <w:jc w:val="left"/>
        </w:trPr>
        <w:tc>
          <w:tcPr>
            <w:tcW w:w="2355" w:type="dxa"/>
            <w:vMerge/>
            <w:tcBorders>
              <w:top w:val="nil"/>
              <w:left w:val="nil"/>
              <w:bottom w:val="nil"/>
              <w:right w:val="nil"/>
            </w:tcBorders>
          </w:tcPr>
          <w:p>
            <w:pPr>
              <w:pageBreakBefore w:val="0"/>
            </w:pPr>
          </w:p>
        </w:tc>
        <w:tc>
          <w:tcPr>
            <w:tcW w:w="195" w:type="dxa"/>
            <w:tcBorders>
              <w:top w:val="nil"/>
              <w:left w:val="single" w:sz="12" w:space="0" w:color="4494D1"/>
              <w:bottom w:val="nil"/>
              <w:right w:val="nil"/>
            </w:tcBorders>
            <w:tcMar>
              <w:top w:w="0" w:type="dxa"/>
              <w:left w:w="0" w:type="dxa"/>
              <w:bottom w:w="0" w:type="dxa"/>
              <w:right w:w="0" w:type="dxa"/>
            </w:tcMar>
            <w:vAlign w:val="bottom"/>
          </w:tcPr>
          <w:p>
            <w:pPr>
              <w:pageBreakBefore w:val="0"/>
              <w:spacing w:before="0" w:after="0"/>
            </w:pPr>
          </w:p>
        </w:tc>
        <w:tc>
          <w:tcPr>
            <w:tcW w:w="5955"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Officer Since:</w:t>
            </w:r>
            <w:r>
              <w:rPr>
                <w:rFonts w:ascii="Arial" w:eastAsia="Arial" w:hAnsi="Arial" w:cs="Arial"/>
                <w:b w:val="0"/>
                <w:i w:val="0"/>
                <w:sz w:val="20"/>
              </w:rPr>
              <w:t xml:space="preserve"> 2015</w:t>
            </w:r>
          </w:p>
        </w:tc>
        <w:tc>
          <w:tcPr>
            <w:tcW w:w="1755"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Age:</w:t>
            </w:r>
            <w:r>
              <w:rPr>
                <w:rFonts w:ascii="Arial" w:eastAsia="Arial" w:hAnsi="Arial" w:cs="Arial"/>
                <w:b w:val="0"/>
                <w:i w:val="0"/>
                <w:sz w:val="20"/>
              </w:rPr>
              <w:t xml:space="preserve"> </w:t>
            </w:r>
            <w:r>
              <w:rPr>
                <w:rFonts w:ascii="Arial" w:eastAsia="Arial" w:hAnsi="Arial" w:cs="Arial"/>
                <w:b w:val="0"/>
                <w:i w:val="0"/>
                <w:color w:val="000000"/>
                <w:sz w:val="20"/>
                <w:u w:val="none"/>
              </w:rPr>
              <w:t>50</w:t>
            </w:r>
          </w:p>
        </w:tc>
      </w:tr>
    </w:tbl>
    <w:p>
      <w:pPr>
        <w:keepNext w:val="0"/>
        <w:keepLines w:val="0"/>
        <w:pageBreakBefore w:val="0"/>
        <w:widowControl/>
        <w:numPr>
          <w:ilvl w:val="0"/>
          <w:numId w:val="0"/>
        </w:numPr>
        <w:spacing w:before="0" w:after="0" w:line="288" w:lineRule="auto"/>
        <w:ind w:left="0" w:right="0" w:firstLine="0"/>
        <w:jc w:val="left"/>
        <w:outlineLvl w:val="9"/>
        <w:rPr>
          <w:rFonts w:ascii="Times New Roman" w:eastAsia="Times New Roman" w:hAnsi="Times New Roman" w:cs="Times New Roman"/>
          <w:b w:val="0"/>
          <w:i w:val="0"/>
          <w:color w:val="FF0090"/>
          <w:sz w:val="20"/>
          <w:u w:val="none"/>
        </w:rPr>
      </w:pP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355"/>
        <w:gridCol w:w="195"/>
        <w:gridCol w:w="5955"/>
        <w:gridCol w:w="175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05"/>
          <w:jc w:val="left"/>
        </w:trPr>
        <w:tc>
          <w:tcPr>
            <w:tcW w:w="23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59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3105"/>
          <w:jc w:val="left"/>
        </w:trPr>
        <w:tc>
          <w:tcPr>
            <w:tcW w:w="235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hanging="270"/>
              <w:jc w:val="left"/>
              <w:outlineLvl w:val="9"/>
              <w:rPr>
                <w:rFonts w:ascii="Arial" w:eastAsia="Arial" w:hAnsi="Arial" w:cs="Arial"/>
                <w:b w:val="0"/>
                <w:i w:val="0"/>
                <w:sz w:val="16"/>
              </w:rPr>
            </w:pPr>
            <w:r>
              <w:pict>
                <v:shape id="_x0000_i1222" type="#_x0000_t75" style="width:125.18pt;height:118.8pt">
                  <v:imagedata r:id="rId170" o:title=""/>
                  <o:lock v:ext="edit" aspectratio="t"/>
                </v:shape>
              </w:pict>
            </w:r>
          </w:p>
        </w:tc>
        <w:tc>
          <w:tcPr>
            <w:tcW w:w="19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7710" w:type="dxa"/>
            <w:gridSpan w:val="2"/>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60" w:line="288" w:lineRule="auto"/>
              <w:ind w:left="0" w:right="0" w:firstLine="0"/>
              <w:jc w:val="left"/>
              <w:outlineLvl w:val="9"/>
              <w:rPr>
                <w:rFonts w:ascii="Arial" w:eastAsia="Arial" w:hAnsi="Arial" w:cs="Arial"/>
                <w:b/>
                <w:i w:val="0"/>
                <w:color w:val="171449"/>
                <w:sz w:val="30"/>
                <w:u w:val="none"/>
              </w:rPr>
            </w:pPr>
            <w:r>
              <w:rPr>
                <w:rFonts w:ascii="Arial" w:eastAsia="Arial" w:hAnsi="Arial" w:cs="Arial"/>
                <w:b/>
                <w:i w:val="0"/>
                <w:color w:val="171449"/>
                <w:sz w:val="28"/>
                <w:u w:val="none"/>
              </w:rPr>
              <w:t xml:space="preserve">Nazar Alobaidat    </w:t>
            </w:r>
            <w:r>
              <w:rPr>
                <w:rFonts w:ascii="Arial" w:eastAsia="Arial" w:hAnsi="Arial" w:cs="Arial"/>
                <w:b w:val="0"/>
                <w:i w:val="0"/>
                <w:sz w:val="20"/>
              </w:rPr>
              <w:t>Chief Investment Officer</w:t>
            </w:r>
          </w:p>
          <w:p>
            <w:pPr>
              <w:pageBreakBefore w:val="0"/>
              <w:numPr>
                <w:ilvl w:val="0"/>
                <w:numId w:val="0"/>
              </w:numPr>
              <w:spacing w:before="0" w:after="0" w:line="288" w:lineRule="auto"/>
              <w:ind w:left="0" w:right="0" w:firstLine="0"/>
              <w:jc w:val="both"/>
              <w:outlineLvl w:val="9"/>
              <w:rPr>
                <w:rFonts w:ascii="Arial" w:eastAsia="Arial" w:hAnsi="Arial" w:cs="Arial"/>
                <w:b/>
                <w:i w:val="0"/>
                <w:color w:val="4495D1"/>
                <w:sz w:val="18"/>
                <w:u w:val="none"/>
              </w:rPr>
            </w:pPr>
          </w:p>
          <w:p>
            <w:pPr>
              <w:pageBreakBefore w:val="0"/>
              <w:numPr>
                <w:ilvl w:val="0"/>
                <w:numId w:val="0"/>
              </w:numPr>
              <w:spacing w:before="0" w:after="60" w:line="288" w:lineRule="auto"/>
              <w:ind w:left="0" w:right="0" w:firstLine="0"/>
              <w:jc w:val="both"/>
              <w:outlineLvl w:val="9"/>
              <w:rPr>
                <w:rFonts w:ascii="Arial" w:eastAsia="Arial" w:hAnsi="Arial" w:cs="Arial"/>
                <w:b/>
                <w:i w:val="0"/>
                <w:color w:val="4495D1"/>
                <w:sz w:val="18"/>
                <w:u w:val="none"/>
              </w:rPr>
            </w:pPr>
            <w:r>
              <w:rPr>
                <w:rFonts w:ascii="Arial" w:eastAsia="Arial" w:hAnsi="Arial" w:cs="Arial"/>
                <w:b/>
                <w:i w:val="0"/>
                <w:color w:val="4495D1"/>
                <w:sz w:val="18"/>
                <w:u w:val="none"/>
              </w:rPr>
              <w:t>Biographical Information</w:t>
            </w:r>
          </w:p>
          <w:p>
            <w:pPr>
              <w:pageBreakBefore w:val="0"/>
              <w:numPr>
                <w:ilvl w:val="0"/>
                <w:numId w:val="0"/>
              </w:numPr>
              <w:spacing w:before="0" w:after="3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Nazar Alobaidat joined </w:t>
            </w:r>
            <w:r>
              <w:rPr>
                <w:rFonts w:ascii="Arial" w:eastAsia="Arial" w:hAnsi="Arial" w:cs="Arial"/>
                <w:b w:val="0"/>
                <w:i w:val="0"/>
                <w:sz w:val="20"/>
              </w:rPr>
              <w:t>the Company</w:t>
            </w:r>
            <w:r>
              <w:rPr>
                <w:rFonts w:ascii="Arial" w:eastAsia="Arial" w:hAnsi="Arial" w:cs="Arial"/>
                <w:b w:val="0"/>
                <w:i w:val="0"/>
                <w:sz w:val="20"/>
              </w:rPr>
              <w:t xml:space="preserve"> as Chief Investment Officer in 2016. He formerly served as Managing Director and CIO of AIG Property Casualty's U.S., Canada and Bermuda regions and was with AIG from 2009-2016. Prior to that, he served as Vice President within the investment banking division of Lehman Brothers and Barclays Capital, specializing in derivatives and financing transactions for corporate clients of the investment bank. He previously served in the capital markets group of Deloitte from 2001-2006. Mr. Alobaidat is a Certified Public Accountant with a master's degree from the University of Florida.</w:t>
            </w:r>
          </w:p>
        </w:tc>
      </w:tr>
      <w:tr>
        <w:tblPrEx>
          <w:tblW w:w="10260" w:type="dxa"/>
          <w:jc w:val="left"/>
          <w:tblInd w:w="0" w:type="dxa"/>
          <w:tblLayout w:type="fixed"/>
          <w:tblCellMar>
            <w:left w:w="108" w:type="dxa"/>
            <w:right w:w="108" w:type="dxa"/>
          </w:tblCellMar>
        </w:tblPrEx>
        <w:trPr>
          <w:cantSplit/>
          <w:trHeight w:hRule="exact" w:val="405"/>
          <w:jc w:val="left"/>
        </w:trPr>
        <w:tc>
          <w:tcPr>
            <w:tcW w:w="2355" w:type="dxa"/>
            <w:vMerge/>
            <w:tcBorders>
              <w:top w:val="nil"/>
              <w:left w:val="nil"/>
              <w:bottom w:val="nil"/>
              <w:right w:val="nil"/>
            </w:tcBorders>
          </w:tcPr>
          <w:p>
            <w:pPr>
              <w:pageBreakBefore w:val="0"/>
            </w:pPr>
          </w:p>
        </w:tc>
        <w:tc>
          <w:tcPr>
            <w:tcW w:w="195" w:type="dxa"/>
            <w:tcBorders>
              <w:top w:val="nil"/>
              <w:left w:val="single" w:sz="12" w:space="0" w:color="4494D1"/>
              <w:bottom w:val="nil"/>
              <w:right w:val="nil"/>
            </w:tcBorders>
            <w:tcMar>
              <w:top w:w="0" w:type="dxa"/>
              <w:left w:w="0" w:type="dxa"/>
              <w:bottom w:w="0" w:type="dxa"/>
              <w:right w:w="0" w:type="dxa"/>
            </w:tcMar>
            <w:vAlign w:val="bottom"/>
          </w:tcPr>
          <w:p>
            <w:pPr>
              <w:pageBreakBefore w:val="0"/>
              <w:spacing w:before="0" w:after="0"/>
            </w:pPr>
          </w:p>
        </w:tc>
        <w:tc>
          <w:tcPr>
            <w:tcW w:w="5955"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Officer Since:</w:t>
            </w:r>
            <w:r>
              <w:rPr>
                <w:rFonts w:ascii="Arial" w:eastAsia="Arial" w:hAnsi="Arial" w:cs="Arial"/>
                <w:b w:val="0"/>
                <w:i w:val="0"/>
                <w:sz w:val="20"/>
              </w:rPr>
              <w:t xml:space="preserve"> 2019</w:t>
            </w:r>
          </w:p>
        </w:tc>
        <w:tc>
          <w:tcPr>
            <w:tcW w:w="1755"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Age:</w:t>
            </w:r>
            <w:r>
              <w:rPr>
                <w:rFonts w:ascii="Arial" w:eastAsia="Arial" w:hAnsi="Arial" w:cs="Arial"/>
                <w:b w:val="0"/>
                <w:i w:val="0"/>
                <w:sz w:val="20"/>
              </w:rPr>
              <w:t xml:space="preserve"> </w:t>
            </w:r>
            <w:r>
              <w:rPr>
                <w:rFonts w:ascii="Arial" w:eastAsia="Arial" w:hAnsi="Arial" w:cs="Arial"/>
                <w:b w:val="0"/>
                <w:i w:val="0"/>
                <w:color w:val="000000"/>
                <w:sz w:val="20"/>
                <w:u w:val="none"/>
              </w:rPr>
              <w:t>46</w:t>
            </w:r>
          </w:p>
        </w:tc>
      </w:tr>
    </w:tbl>
    <w:p>
      <w:pPr>
        <w:keepNext w:val="0"/>
        <w:keepLines w:val="0"/>
        <w:pageBreakBefore w:val="0"/>
        <w:widowControl/>
        <w:numPr>
          <w:ilvl w:val="0"/>
          <w:numId w:val="0"/>
        </w:numPr>
        <w:spacing w:before="0" w:after="0" w:line="288" w:lineRule="auto"/>
        <w:ind w:left="0" w:right="0" w:firstLine="0"/>
        <w:jc w:val="left"/>
        <w:outlineLvl w:val="9"/>
        <w:rPr>
          <w:rFonts w:ascii="Times New Roman" w:eastAsia="Times New Roman" w:hAnsi="Times New Roman" w:cs="Times New Roman"/>
          <w:b w:val="0"/>
          <w:i w:val="0"/>
          <w:color w:val="FF0090"/>
          <w:sz w:val="20"/>
          <w:u w:val="none"/>
        </w:rPr>
      </w:pPr>
      <w:r>
        <w:rPr>
          <w:rFonts w:ascii="Times New Roman" w:eastAsia="Times New Roman" w:hAnsi="Times New Roman" w:cs="Times New Roman"/>
          <w:b w:val="0"/>
          <w:i w:val="0"/>
          <w:color w:val="FF0090"/>
          <w:sz w:val="20"/>
          <w:u w:val="none"/>
        </w:rPr>
        <w:t xml:space="preserve"> </w:t>
      </w: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355"/>
        <w:gridCol w:w="195"/>
        <w:gridCol w:w="5955"/>
        <w:gridCol w:w="175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05"/>
          <w:jc w:val="left"/>
        </w:trPr>
        <w:tc>
          <w:tcPr>
            <w:tcW w:w="23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59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4440"/>
          <w:jc w:val="left"/>
        </w:trPr>
        <w:tc>
          <w:tcPr>
            <w:tcW w:w="235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6"/>
              </w:rPr>
            </w:pPr>
            <w:r>
              <w:pict>
                <v:shape id="_x0000_s1223" type="#_x0000_t75" style="width:101.25pt;height:118.5pt;margin-top:0;margin-left:0;mso-position-horizontal:left;position:absolute;z-index:251782144">
                  <v:imagedata r:id="rId171" o:title=""/>
                  <o:lock v:ext="edit" aspectratio="t"/>
                  <w10:wrap type="square"/>
                </v:shape>
              </w:pict>
            </w:r>
          </w:p>
        </w:tc>
        <w:tc>
          <w:tcPr>
            <w:tcW w:w="19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7710" w:type="dxa"/>
            <w:gridSpan w:val="2"/>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60" w:line="288" w:lineRule="auto"/>
              <w:ind w:left="0" w:right="0" w:firstLine="0"/>
              <w:jc w:val="both"/>
              <w:outlineLvl w:val="9"/>
              <w:rPr>
                <w:rFonts w:ascii="Arial" w:eastAsia="Arial" w:hAnsi="Arial" w:cs="Arial"/>
                <w:b/>
                <w:i w:val="0"/>
                <w:color w:val="171449"/>
                <w:sz w:val="30"/>
                <w:u w:val="none"/>
              </w:rPr>
            </w:pPr>
            <w:r>
              <w:rPr>
                <w:rFonts w:ascii="Arial" w:eastAsia="Arial" w:hAnsi="Arial" w:cs="Arial"/>
                <w:b/>
                <w:i w:val="0"/>
                <w:color w:val="171449"/>
                <w:sz w:val="28"/>
                <w:u w:val="none"/>
              </w:rPr>
              <w:t>Paul Brockman</w:t>
            </w:r>
            <w:r>
              <w:rPr>
                <w:rFonts w:ascii="Arial" w:eastAsia="Arial" w:hAnsi="Arial" w:cs="Arial"/>
                <w:b/>
                <w:i w:val="0"/>
                <w:color w:val="171449"/>
                <w:sz w:val="28"/>
                <w:u w:val="none"/>
              </w:rPr>
              <w:t xml:space="preserve"> </w:t>
            </w:r>
            <w:r>
              <w:rPr>
                <w:rFonts w:ascii="Arial" w:eastAsia="Arial" w:hAnsi="Arial" w:cs="Arial"/>
                <w:b w:val="0"/>
                <w:i w:val="0"/>
                <w:sz w:val="20"/>
              </w:rPr>
              <w:t xml:space="preserve">Chief Operating Officer </w:t>
            </w:r>
            <w:r>
              <w:rPr>
                <w:rFonts w:ascii="Arial" w:eastAsia="Arial" w:hAnsi="Arial" w:cs="Arial"/>
                <w:b w:val="0"/>
                <w:i w:val="0"/>
                <w:sz w:val="20"/>
              </w:rPr>
              <w:t>&amp;</w:t>
            </w:r>
            <w:r>
              <w:rPr>
                <w:rFonts w:ascii="Arial" w:eastAsia="Arial" w:hAnsi="Arial" w:cs="Arial"/>
                <w:b w:val="0"/>
                <w:i w:val="0"/>
                <w:sz w:val="20"/>
              </w:rPr>
              <w:t xml:space="preserve"> </w:t>
            </w:r>
            <w:r>
              <w:rPr>
                <w:rFonts w:ascii="Arial" w:eastAsia="Arial" w:hAnsi="Arial" w:cs="Arial"/>
                <w:b w:val="0"/>
                <w:i w:val="0"/>
                <w:sz w:val="20"/>
              </w:rPr>
              <w:t>Interim</w:t>
            </w:r>
            <w:r>
              <w:rPr>
                <w:rFonts w:ascii="Arial" w:eastAsia="Arial" w:hAnsi="Arial" w:cs="Arial"/>
                <w:b w:val="0"/>
                <w:i w:val="0"/>
                <w:sz w:val="20"/>
              </w:rPr>
              <w:t xml:space="preserve"> </w:t>
            </w:r>
            <w:r>
              <w:rPr>
                <w:rFonts w:ascii="Arial" w:eastAsia="Arial" w:hAnsi="Arial" w:cs="Arial"/>
                <w:b w:val="0"/>
                <w:i w:val="0"/>
                <w:sz w:val="20"/>
              </w:rPr>
              <w:t>CEO of</w:t>
            </w:r>
            <w:r>
              <w:rPr>
                <w:rFonts w:ascii="Arial" w:eastAsia="Arial" w:hAnsi="Arial" w:cs="Arial"/>
                <w:b w:val="0"/>
                <w:i w:val="0"/>
                <w:sz w:val="20"/>
              </w:rPr>
              <w:t xml:space="preserve"> </w:t>
            </w:r>
            <w:r>
              <w:rPr>
                <w:rFonts w:ascii="Arial" w:eastAsia="Arial" w:hAnsi="Arial" w:cs="Arial"/>
                <w:b w:val="0"/>
                <w:i w:val="0"/>
                <w:sz w:val="20"/>
              </w:rPr>
              <w:t>Enstar (</w:t>
            </w:r>
            <w:r>
              <w:rPr>
                <w:rFonts w:ascii="Arial" w:eastAsia="Arial" w:hAnsi="Arial" w:cs="Arial"/>
                <w:b w:val="0"/>
                <w:i w:val="0"/>
                <w:sz w:val="20"/>
              </w:rPr>
              <w:t>EU</w:t>
            </w:r>
            <w:r>
              <w:rPr>
                <w:rFonts w:ascii="Arial" w:eastAsia="Arial" w:hAnsi="Arial" w:cs="Arial"/>
                <w:b w:val="0"/>
                <w:i w:val="0"/>
                <w:sz w:val="20"/>
              </w:rPr>
              <w:t>)</w:t>
            </w:r>
            <w:r>
              <w:rPr>
                <w:rFonts w:ascii="Arial" w:eastAsia="Arial" w:hAnsi="Arial" w:cs="Arial"/>
                <w:b w:val="0"/>
                <w:i w:val="0"/>
                <w:sz w:val="20"/>
              </w:rPr>
              <w:t xml:space="preserve"> </w:t>
            </w:r>
            <w:r>
              <w:rPr>
                <w:rFonts w:ascii="Arial" w:eastAsia="Arial" w:hAnsi="Arial" w:cs="Arial"/>
                <w:b w:val="0"/>
                <w:i w:val="0"/>
                <w:sz w:val="20"/>
              </w:rPr>
              <w:t>Limite</w:t>
            </w:r>
            <w:r>
              <w:rPr>
                <w:rFonts w:ascii="Arial" w:eastAsia="Arial" w:hAnsi="Arial" w:cs="Arial"/>
                <w:b w:val="0"/>
                <w:i w:val="0"/>
                <w:sz w:val="20"/>
              </w:rPr>
              <w:t>d</w:t>
            </w:r>
          </w:p>
          <w:p>
            <w:pPr>
              <w:pageBreakBefore w:val="0"/>
              <w:numPr>
                <w:ilvl w:val="0"/>
                <w:numId w:val="0"/>
              </w:numPr>
              <w:spacing w:before="0" w:after="0" w:line="288" w:lineRule="auto"/>
              <w:ind w:left="0" w:right="0" w:firstLine="0"/>
              <w:jc w:val="both"/>
              <w:outlineLvl w:val="9"/>
              <w:rPr>
                <w:rFonts w:ascii="Arial" w:eastAsia="Arial" w:hAnsi="Arial" w:cs="Arial"/>
                <w:b/>
                <w:i w:val="0"/>
                <w:color w:val="4495D1"/>
                <w:sz w:val="18"/>
                <w:u w:val="none"/>
              </w:rPr>
            </w:pPr>
          </w:p>
          <w:p>
            <w:pPr>
              <w:pageBreakBefore w:val="0"/>
              <w:numPr>
                <w:ilvl w:val="0"/>
                <w:numId w:val="0"/>
              </w:numPr>
              <w:spacing w:before="0" w:after="60" w:line="288" w:lineRule="auto"/>
              <w:ind w:left="0" w:right="0" w:firstLine="0"/>
              <w:jc w:val="both"/>
              <w:outlineLvl w:val="9"/>
              <w:rPr>
                <w:rFonts w:ascii="Arial" w:eastAsia="Arial" w:hAnsi="Arial" w:cs="Arial"/>
                <w:b/>
                <w:i w:val="0"/>
                <w:color w:val="4495D1"/>
                <w:sz w:val="18"/>
                <w:u w:val="none"/>
              </w:rPr>
            </w:pPr>
            <w:r>
              <w:rPr>
                <w:rFonts w:ascii="Arial" w:eastAsia="Arial" w:hAnsi="Arial" w:cs="Arial"/>
                <w:b/>
                <w:i w:val="0"/>
                <w:color w:val="4495D1"/>
                <w:sz w:val="18"/>
                <w:u w:val="none"/>
              </w:rPr>
              <w:t>Biographical Information</w:t>
            </w:r>
          </w:p>
          <w:p>
            <w:pPr>
              <w:pageBreakBefore w:val="0"/>
              <w:numPr>
                <w:ilvl w:val="0"/>
                <w:numId w:val="0"/>
              </w:numPr>
              <w:spacing w:before="0" w:after="3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Paul Brockman was appointed Interim CEO of Enstar </w:t>
            </w:r>
            <w:r>
              <w:rPr>
                <w:rFonts w:ascii="Arial" w:eastAsia="Arial" w:hAnsi="Arial" w:cs="Arial"/>
                <w:b w:val="0"/>
                <w:i w:val="0"/>
                <w:sz w:val="20"/>
              </w:rPr>
              <w:t>(</w:t>
            </w:r>
            <w:r>
              <w:rPr>
                <w:rFonts w:ascii="Arial" w:eastAsia="Arial" w:hAnsi="Arial" w:cs="Arial"/>
                <w:b w:val="0"/>
                <w:i w:val="0"/>
                <w:sz w:val="20"/>
              </w:rPr>
              <w:t>EU</w:t>
            </w:r>
            <w:r>
              <w:rPr>
                <w:rFonts w:ascii="Arial" w:eastAsia="Arial" w:hAnsi="Arial" w:cs="Arial"/>
                <w:b w:val="0"/>
                <w:i w:val="0"/>
                <w:sz w:val="20"/>
              </w:rPr>
              <w:t>)</w:t>
            </w:r>
            <w:r>
              <w:rPr>
                <w:rFonts w:ascii="Arial" w:eastAsia="Arial" w:hAnsi="Arial" w:cs="Arial"/>
                <w:b w:val="0"/>
                <w:i w:val="0"/>
                <w:sz w:val="20"/>
              </w:rPr>
              <w:t xml:space="preserve"> </w:t>
            </w:r>
            <w:r>
              <w:rPr>
                <w:rFonts w:ascii="Arial" w:eastAsia="Arial" w:hAnsi="Arial" w:cs="Arial"/>
                <w:b w:val="0"/>
                <w:i w:val="0"/>
                <w:sz w:val="20"/>
              </w:rPr>
              <w:t xml:space="preserve">Limited ("Enstar EU") </w:t>
            </w:r>
            <w:r>
              <w:rPr>
                <w:rFonts w:ascii="Arial" w:eastAsia="Arial" w:hAnsi="Arial" w:cs="Arial"/>
                <w:b w:val="0"/>
                <w:i w:val="0"/>
                <w:sz w:val="20"/>
              </w:rPr>
              <w:t>in January 2024, in addition to his role as Group Chief Operating Officer, which he has held since March 2023.</w:t>
            </w:r>
            <w:r>
              <w:rPr>
                <w:rFonts w:ascii="Arial" w:eastAsia="Arial" w:hAnsi="Arial" w:cs="Arial"/>
                <w:b w:val="0"/>
                <w:i w:val="0"/>
                <w:sz w:val="20"/>
              </w:rPr>
              <w:t xml:space="preserve"> </w:t>
            </w:r>
            <w:r>
              <w:rPr>
                <w:rFonts w:ascii="Arial" w:eastAsia="Arial" w:hAnsi="Arial" w:cs="Arial"/>
                <w:b w:val="0"/>
                <w:i w:val="0"/>
                <w:sz w:val="20"/>
              </w:rPr>
              <w:t>Mr. Broc</w:t>
            </w:r>
            <w:r>
              <w:rPr>
                <w:rFonts w:ascii="Arial" w:eastAsia="Arial" w:hAnsi="Arial" w:cs="Arial"/>
                <w:b w:val="0"/>
                <w:i w:val="0"/>
                <w:sz w:val="20"/>
              </w:rPr>
              <w:t>kman</w:t>
            </w:r>
            <w:r>
              <w:rPr>
                <w:rFonts w:ascii="Arial" w:eastAsia="Arial" w:hAnsi="Arial" w:cs="Arial"/>
                <w:b w:val="0"/>
                <w:i w:val="0"/>
                <w:sz w:val="20"/>
              </w:rPr>
              <w:t xml:space="preserve"> joined </w:t>
            </w:r>
            <w:r>
              <w:rPr>
                <w:rFonts w:ascii="Arial" w:eastAsia="Arial" w:hAnsi="Arial" w:cs="Arial"/>
                <w:b w:val="0"/>
                <w:i w:val="0"/>
                <w:sz w:val="20"/>
              </w:rPr>
              <w:t>the Company</w:t>
            </w:r>
            <w:r>
              <w:rPr>
                <w:rFonts w:ascii="Arial" w:eastAsia="Arial" w:hAnsi="Arial" w:cs="Arial"/>
                <w:b w:val="0"/>
                <w:i w:val="0"/>
                <w:sz w:val="20"/>
              </w:rPr>
              <w:t xml:space="preserve"> in 2012 and has held several senior positions during this time, including as Group Chief Claims Officer from September 2020 to January 2024</w:t>
            </w:r>
            <w:r>
              <w:rPr>
                <w:rFonts w:ascii="Arial" w:eastAsia="Arial" w:hAnsi="Arial" w:cs="Arial"/>
                <w:b w:val="0"/>
                <w:i w:val="0"/>
                <w:sz w:val="20"/>
              </w:rPr>
              <w:t>,</w:t>
            </w:r>
            <w:r>
              <w:rPr>
                <w:rFonts w:ascii="Arial" w:eastAsia="Arial" w:hAnsi="Arial" w:cs="Arial"/>
                <w:b w:val="0"/>
                <w:i w:val="0"/>
                <w:sz w:val="20"/>
              </w:rPr>
              <w:t xml:space="preserve"> </w:t>
            </w:r>
            <w:r>
              <w:rPr>
                <w:rFonts w:ascii="Arial" w:eastAsia="Arial" w:hAnsi="Arial" w:cs="Arial"/>
                <w:b w:val="0"/>
                <w:i w:val="0"/>
                <w:sz w:val="20"/>
              </w:rPr>
              <w:t xml:space="preserve">and as President </w:t>
            </w:r>
            <w:r>
              <w:rPr>
                <w:rFonts w:ascii="Arial" w:eastAsia="Arial" w:hAnsi="Arial" w:cs="Arial"/>
                <w:b w:val="0"/>
                <w:i w:val="0"/>
                <w:sz w:val="20"/>
              </w:rPr>
              <w:t>and</w:t>
            </w:r>
            <w:r>
              <w:rPr>
                <w:rFonts w:ascii="Arial" w:eastAsia="Arial" w:hAnsi="Arial" w:cs="Arial"/>
                <w:b w:val="0"/>
                <w:i w:val="0"/>
                <w:sz w:val="20"/>
              </w:rPr>
              <w:t xml:space="preserve"> Chief Executive Officer of Enstar (US) Inc.</w:t>
            </w:r>
            <w:r>
              <w:rPr>
                <w:rFonts w:ascii="Arial" w:eastAsia="Arial" w:hAnsi="Arial" w:cs="Arial"/>
                <w:b w:val="0"/>
                <w:i w:val="0"/>
                <w:sz w:val="20"/>
              </w:rPr>
              <w:t xml:space="preserve"> ("Enstar US") </w:t>
            </w:r>
            <w:r>
              <w:rPr>
                <w:rFonts w:ascii="Arial" w:eastAsia="Arial" w:hAnsi="Arial" w:cs="Arial"/>
                <w:b w:val="0"/>
                <w:i w:val="0"/>
                <w:sz w:val="20"/>
              </w:rPr>
              <w:t xml:space="preserve">from July 2016 to September 2020. </w:t>
            </w:r>
            <w:r>
              <w:rPr>
                <w:rFonts w:ascii="Arial" w:eastAsia="Arial" w:hAnsi="Arial" w:cs="Arial"/>
                <w:b w:val="0"/>
                <w:i w:val="0"/>
                <w:sz w:val="20"/>
              </w:rPr>
              <w:t>H</w:t>
            </w:r>
            <w:r>
              <w:rPr>
                <w:rFonts w:ascii="Arial" w:eastAsia="Arial" w:hAnsi="Arial" w:cs="Arial"/>
                <w:b w:val="0"/>
                <w:i w:val="0"/>
                <w:sz w:val="20"/>
              </w:rPr>
              <w:t xml:space="preserve">e </w:t>
            </w:r>
            <w:r>
              <w:rPr>
                <w:rFonts w:ascii="Arial" w:eastAsia="Arial" w:hAnsi="Arial" w:cs="Arial"/>
                <w:b w:val="0"/>
                <w:i w:val="0"/>
                <w:sz w:val="20"/>
              </w:rPr>
              <w:t xml:space="preserve">also </w:t>
            </w:r>
            <w:r>
              <w:rPr>
                <w:rFonts w:ascii="Arial" w:eastAsia="Arial" w:hAnsi="Arial" w:cs="Arial"/>
                <w:b w:val="0"/>
                <w:i w:val="0"/>
                <w:sz w:val="20"/>
              </w:rPr>
              <w:t>served as President and Chief Operating Officer of Enstar US from November 2014 to July 2016</w:t>
            </w:r>
            <w:r>
              <w:rPr>
                <w:rFonts w:ascii="Arial" w:eastAsia="Arial" w:hAnsi="Arial" w:cs="Arial"/>
                <w:b w:val="0"/>
                <w:i w:val="0"/>
                <w:sz w:val="20"/>
              </w:rPr>
              <w:t xml:space="preserve">, and as </w:t>
            </w:r>
            <w:r>
              <w:rPr>
                <w:rFonts w:ascii="Arial" w:eastAsia="Arial" w:hAnsi="Arial" w:cs="Arial"/>
                <w:b w:val="0"/>
                <w:i w:val="0"/>
                <w:sz w:val="20"/>
              </w:rPr>
              <w:t>Senior Vice President, Head of Commutations for Enstar US</w:t>
            </w:r>
            <w:r>
              <w:rPr>
                <w:rFonts w:ascii="Arial" w:eastAsia="Arial" w:hAnsi="Arial" w:cs="Arial"/>
                <w:b w:val="0"/>
                <w:i w:val="0"/>
                <w:sz w:val="20"/>
              </w:rPr>
              <w:t xml:space="preserve"> </w:t>
            </w:r>
            <w:r>
              <w:rPr>
                <w:rFonts w:ascii="Arial" w:eastAsia="Arial" w:hAnsi="Arial" w:cs="Arial"/>
                <w:b w:val="0"/>
                <w:i w:val="0"/>
                <w:sz w:val="20"/>
              </w:rPr>
              <w:t>f</w:t>
            </w:r>
            <w:r>
              <w:rPr>
                <w:rFonts w:ascii="Arial" w:eastAsia="Arial" w:hAnsi="Arial" w:cs="Arial"/>
                <w:b w:val="0"/>
                <w:i w:val="0"/>
                <w:sz w:val="20"/>
              </w:rPr>
              <w:t>rom October 2012 to November 2014</w:t>
            </w:r>
            <w:r>
              <w:rPr>
                <w:rFonts w:ascii="Arial" w:eastAsia="Arial" w:hAnsi="Arial" w:cs="Arial"/>
                <w:b w:val="0"/>
                <w:i w:val="0"/>
                <w:sz w:val="20"/>
              </w:rPr>
              <w:t xml:space="preserve">. </w:t>
            </w:r>
            <w:r>
              <w:rPr>
                <w:rFonts w:ascii="Arial" w:eastAsia="Arial" w:hAnsi="Arial" w:cs="Arial"/>
                <w:b w:val="0"/>
                <w:i w:val="0"/>
                <w:sz w:val="20"/>
              </w:rPr>
              <w:t xml:space="preserve">Before joining </w:t>
            </w:r>
            <w:r>
              <w:rPr>
                <w:rFonts w:ascii="Arial" w:eastAsia="Arial" w:hAnsi="Arial" w:cs="Arial"/>
                <w:b w:val="0"/>
                <w:i w:val="0"/>
                <w:sz w:val="20"/>
              </w:rPr>
              <w:t>the Compa</w:t>
            </w:r>
            <w:r>
              <w:rPr>
                <w:rFonts w:ascii="Arial" w:eastAsia="Arial" w:hAnsi="Arial" w:cs="Arial"/>
                <w:b w:val="0"/>
                <w:i w:val="0"/>
                <w:sz w:val="20"/>
              </w:rPr>
              <w:t>ny</w:t>
            </w:r>
            <w:r>
              <w:rPr>
                <w:rFonts w:ascii="Arial" w:eastAsia="Arial" w:hAnsi="Arial" w:cs="Arial"/>
                <w:b w:val="0"/>
                <w:i w:val="0"/>
                <w:sz w:val="20"/>
              </w:rPr>
              <w:t>, he worked as Head of Reinsurance for Resolute Management Services UK Ltd. in its London office from April 2007 to October 2012 and, from April 2001 to April 2007, he worked as Manager of Reinsurance Cash Collection and Debt Litigation within the reinsurance asset division of Equitas Management Services Ltd in London.</w:t>
            </w:r>
          </w:p>
        </w:tc>
      </w:tr>
      <w:tr>
        <w:tblPrEx>
          <w:tblW w:w="10260" w:type="dxa"/>
          <w:jc w:val="left"/>
          <w:tblInd w:w="0" w:type="dxa"/>
          <w:tblLayout w:type="fixed"/>
          <w:tblCellMar>
            <w:left w:w="108" w:type="dxa"/>
            <w:right w:w="108" w:type="dxa"/>
          </w:tblCellMar>
        </w:tblPrEx>
        <w:trPr>
          <w:cantSplit/>
          <w:trHeight w:hRule="exact" w:val="405"/>
          <w:jc w:val="left"/>
        </w:trPr>
        <w:tc>
          <w:tcPr>
            <w:tcW w:w="2355" w:type="dxa"/>
            <w:vMerge/>
            <w:tcBorders>
              <w:top w:val="nil"/>
              <w:left w:val="nil"/>
              <w:bottom w:val="nil"/>
              <w:right w:val="nil"/>
            </w:tcBorders>
          </w:tcPr>
          <w:p>
            <w:pPr>
              <w:pageBreakBefore w:val="0"/>
            </w:pPr>
          </w:p>
        </w:tc>
        <w:tc>
          <w:tcPr>
            <w:tcW w:w="195" w:type="dxa"/>
            <w:tcBorders>
              <w:top w:val="nil"/>
              <w:left w:val="single" w:sz="12" w:space="0" w:color="4494D1"/>
              <w:bottom w:val="nil"/>
              <w:right w:val="nil"/>
            </w:tcBorders>
            <w:tcMar>
              <w:top w:w="0" w:type="dxa"/>
              <w:left w:w="0" w:type="dxa"/>
              <w:bottom w:w="0" w:type="dxa"/>
              <w:right w:w="0" w:type="dxa"/>
            </w:tcMar>
            <w:vAlign w:val="bottom"/>
          </w:tcPr>
          <w:p>
            <w:pPr>
              <w:pageBreakBefore w:val="0"/>
              <w:spacing w:before="0" w:after="0"/>
            </w:pPr>
          </w:p>
        </w:tc>
        <w:tc>
          <w:tcPr>
            <w:tcW w:w="5955"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Officer Since:</w:t>
            </w:r>
            <w:r>
              <w:rPr>
                <w:rFonts w:ascii="Arial" w:eastAsia="Arial" w:hAnsi="Arial" w:cs="Arial"/>
                <w:b w:val="0"/>
                <w:i w:val="0"/>
                <w:sz w:val="20"/>
              </w:rPr>
              <w:t xml:space="preserve"> 2016</w:t>
            </w:r>
          </w:p>
        </w:tc>
        <w:tc>
          <w:tcPr>
            <w:tcW w:w="1755"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Age:</w:t>
            </w:r>
            <w:r>
              <w:rPr>
                <w:rFonts w:ascii="Arial" w:eastAsia="Arial" w:hAnsi="Arial" w:cs="Arial"/>
                <w:b w:val="0"/>
                <w:i w:val="0"/>
                <w:sz w:val="20"/>
              </w:rPr>
              <w:t xml:space="preserve"> </w:t>
            </w:r>
            <w:r>
              <w:rPr>
                <w:rFonts w:ascii="Arial" w:eastAsia="Arial" w:hAnsi="Arial" w:cs="Arial"/>
                <w:b w:val="0"/>
                <w:i w:val="0"/>
                <w:color w:val="000000"/>
                <w:sz w:val="20"/>
                <w:u w:val="none"/>
              </w:rPr>
              <w:t>51</w:t>
            </w:r>
          </w:p>
        </w:tc>
      </w:tr>
    </w:tbl>
    <w:p>
      <w:pPr>
        <w:keepNext w:val="0"/>
        <w:keepLines w:val="0"/>
        <w:pageBreakBefore w:val="0"/>
        <w:widowControl/>
        <w:numPr>
          <w:ilvl w:val="0"/>
          <w:numId w:val="0"/>
        </w:numPr>
        <w:spacing w:before="0" w:after="0" w:line="288" w:lineRule="auto"/>
        <w:ind w:left="0" w:right="0" w:firstLine="0"/>
        <w:jc w:val="left"/>
        <w:outlineLvl w:val="9"/>
        <w:rPr>
          <w:rFonts w:ascii="Times New Roman" w:eastAsia="Times New Roman" w:hAnsi="Times New Roman" w:cs="Times New Roman"/>
          <w:b w:val="0"/>
          <w:i w:val="0"/>
          <w:color w:val="FF0090"/>
          <w:sz w:val="20"/>
          <w:u w:val="none"/>
        </w:rPr>
      </w:pP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355"/>
        <w:gridCol w:w="195"/>
        <w:gridCol w:w="5955"/>
        <w:gridCol w:w="175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05"/>
          <w:jc w:val="left"/>
        </w:trPr>
        <w:tc>
          <w:tcPr>
            <w:tcW w:w="23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59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2775"/>
          <w:jc w:val="left"/>
        </w:trPr>
        <w:tc>
          <w:tcPr>
            <w:tcW w:w="235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6"/>
              </w:rPr>
            </w:pPr>
            <w:r>
              <w:pict>
                <v:shape id="_x0000_s1224" type="#_x0000_t75" style="width:101.25pt;height:118.5pt;margin-top:0;margin-left:0;mso-position-horizontal:left;position:absolute;z-index:251783168">
                  <v:imagedata r:id="rId172" o:title=""/>
                  <o:lock v:ext="edit" aspectratio="t"/>
                  <w10:wrap type="square"/>
                </v:shape>
              </w:pict>
            </w:r>
          </w:p>
        </w:tc>
        <w:tc>
          <w:tcPr>
            <w:tcW w:w="19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7710" w:type="dxa"/>
            <w:gridSpan w:val="2"/>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60" w:line="288" w:lineRule="auto"/>
              <w:ind w:left="0" w:right="0" w:firstLine="0"/>
              <w:jc w:val="left"/>
              <w:outlineLvl w:val="9"/>
              <w:rPr>
                <w:rFonts w:ascii="Arial" w:eastAsia="Arial" w:hAnsi="Arial" w:cs="Arial"/>
                <w:b/>
                <w:i w:val="0"/>
                <w:color w:val="171449"/>
                <w:sz w:val="30"/>
                <w:u w:val="none"/>
              </w:rPr>
            </w:pPr>
            <w:r>
              <w:rPr>
                <w:rFonts w:ascii="Arial" w:eastAsia="Arial" w:hAnsi="Arial" w:cs="Arial"/>
                <w:b/>
                <w:i w:val="0"/>
                <w:color w:val="171449"/>
                <w:sz w:val="28"/>
                <w:u w:val="none"/>
              </w:rPr>
              <w:t xml:space="preserve">Audrey Taranto    </w:t>
            </w:r>
            <w:r>
              <w:rPr>
                <w:rFonts w:ascii="Arial" w:eastAsia="Arial" w:hAnsi="Arial" w:cs="Arial"/>
                <w:b w:val="0"/>
                <w:i w:val="0"/>
                <w:sz w:val="20"/>
              </w:rPr>
              <w:t>General Counsel</w:t>
            </w:r>
          </w:p>
          <w:p>
            <w:pPr>
              <w:pageBreakBefore w:val="0"/>
              <w:numPr>
                <w:ilvl w:val="0"/>
                <w:numId w:val="0"/>
              </w:numPr>
              <w:spacing w:before="0" w:after="0" w:line="288" w:lineRule="auto"/>
              <w:ind w:left="0" w:right="0" w:firstLine="0"/>
              <w:jc w:val="left"/>
              <w:outlineLvl w:val="9"/>
              <w:rPr>
                <w:rFonts w:ascii="Arial" w:eastAsia="Arial" w:hAnsi="Arial" w:cs="Arial"/>
                <w:b/>
                <w:i w:val="0"/>
                <w:color w:val="4495D1"/>
                <w:sz w:val="18"/>
                <w:u w:val="none"/>
              </w:rPr>
            </w:pPr>
          </w:p>
          <w:p>
            <w:pPr>
              <w:pageBreakBefore w:val="0"/>
              <w:numPr>
                <w:ilvl w:val="0"/>
                <w:numId w:val="0"/>
              </w:numPr>
              <w:spacing w:before="0" w:after="60" w:line="288" w:lineRule="auto"/>
              <w:ind w:left="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Biographical Information</w:t>
            </w:r>
          </w:p>
          <w:p>
            <w:pPr>
              <w:pageBreakBefore w:val="0"/>
              <w:numPr>
                <w:ilvl w:val="0"/>
                <w:numId w:val="0"/>
              </w:numPr>
              <w:spacing w:before="0" w:after="3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Audrey Taranto has served as General Counsel since February 2019. From June 2017 to February 2019, she served as Group Head of Legal and from to April 2012 to June 2017 as SVP, Securities Counsel. She continues to serve as the Company’s Corporate Secretary, a position she has held since 2012. Prior to 2012, she was Senior Counsel and Assistant Corporate Secretary at Cigna Corporation and an Associate in the corporate department of Drinker Biddle &amp; Reath LLP.</w:t>
            </w:r>
          </w:p>
        </w:tc>
      </w:tr>
      <w:tr>
        <w:tblPrEx>
          <w:tblW w:w="10260" w:type="dxa"/>
          <w:jc w:val="left"/>
          <w:tblInd w:w="0" w:type="dxa"/>
          <w:tblLayout w:type="fixed"/>
          <w:tblCellMar>
            <w:left w:w="108" w:type="dxa"/>
            <w:right w:w="108" w:type="dxa"/>
          </w:tblCellMar>
        </w:tblPrEx>
        <w:trPr>
          <w:cantSplit/>
          <w:trHeight w:hRule="exact" w:val="405"/>
          <w:jc w:val="left"/>
        </w:trPr>
        <w:tc>
          <w:tcPr>
            <w:tcW w:w="2355" w:type="dxa"/>
            <w:vMerge/>
            <w:tcBorders>
              <w:top w:val="nil"/>
              <w:left w:val="nil"/>
              <w:bottom w:val="nil"/>
              <w:right w:val="nil"/>
            </w:tcBorders>
          </w:tcPr>
          <w:p>
            <w:pPr>
              <w:pageBreakBefore w:val="0"/>
            </w:pPr>
          </w:p>
        </w:tc>
        <w:tc>
          <w:tcPr>
            <w:tcW w:w="195" w:type="dxa"/>
            <w:tcBorders>
              <w:top w:val="nil"/>
              <w:left w:val="single" w:sz="12" w:space="0" w:color="4494D1"/>
              <w:bottom w:val="nil"/>
              <w:right w:val="nil"/>
            </w:tcBorders>
            <w:tcMar>
              <w:top w:w="0" w:type="dxa"/>
              <w:left w:w="0" w:type="dxa"/>
              <w:bottom w:w="0" w:type="dxa"/>
              <w:right w:w="0" w:type="dxa"/>
            </w:tcMar>
            <w:vAlign w:val="bottom"/>
          </w:tcPr>
          <w:p>
            <w:pPr>
              <w:pageBreakBefore w:val="0"/>
              <w:spacing w:before="0" w:after="0"/>
            </w:pPr>
          </w:p>
        </w:tc>
        <w:tc>
          <w:tcPr>
            <w:tcW w:w="5955"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Officer Since:</w:t>
            </w:r>
            <w:r>
              <w:rPr>
                <w:rFonts w:ascii="Arial" w:eastAsia="Arial" w:hAnsi="Arial" w:cs="Arial"/>
                <w:b w:val="0"/>
                <w:i w:val="0"/>
                <w:sz w:val="20"/>
              </w:rPr>
              <w:t xml:space="preserve"> 2020</w:t>
            </w:r>
          </w:p>
        </w:tc>
        <w:tc>
          <w:tcPr>
            <w:tcW w:w="1755"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Age:</w:t>
            </w:r>
            <w:r>
              <w:rPr>
                <w:rFonts w:ascii="Arial" w:eastAsia="Arial" w:hAnsi="Arial" w:cs="Arial"/>
                <w:b w:val="0"/>
                <w:i w:val="0"/>
                <w:sz w:val="20"/>
              </w:rPr>
              <w:t xml:space="preserve"> </w:t>
            </w:r>
            <w:r>
              <w:rPr>
                <w:rFonts w:ascii="Arial" w:eastAsia="Arial" w:hAnsi="Arial" w:cs="Arial"/>
                <w:b w:val="0"/>
                <w:i w:val="0"/>
                <w:color w:val="000000"/>
                <w:sz w:val="20"/>
                <w:u w:val="none"/>
              </w:rPr>
              <w:t>44</w:t>
            </w:r>
          </w:p>
        </w:tc>
      </w:tr>
    </w:tbl>
    <w:p>
      <w:pPr>
        <w:keepNext w:val="0"/>
        <w:keepLines w:val="0"/>
        <w:pageBreakBefore w:val="0"/>
        <w:widowControl/>
        <w:numPr>
          <w:ilvl w:val="0"/>
          <w:numId w:val="0"/>
        </w:numPr>
        <w:spacing w:before="0" w:after="0" w:line="288" w:lineRule="auto"/>
        <w:ind w:left="0" w:right="0" w:firstLine="0"/>
        <w:jc w:val="left"/>
        <w:outlineLvl w:val="9"/>
        <w:rPr>
          <w:rFonts w:ascii="Times New Roman" w:eastAsia="Times New Roman" w:hAnsi="Times New Roman" w:cs="Times New Roman"/>
          <w:b w:val="0"/>
          <w:i w:val="0"/>
          <w:color w:val="FF0090"/>
          <w:sz w:val="20"/>
          <w:u w:val="none"/>
        </w:rPr>
      </w:pP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355"/>
        <w:gridCol w:w="195"/>
        <w:gridCol w:w="5955"/>
        <w:gridCol w:w="175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05"/>
          <w:jc w:val="left"/>
        </w:trPr>
        <w:tc>
          <w:tcPr>
            <w:tcW w:w="23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59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3780"/>
          <w:jc w:val="left"/>
        </w:trPr>
        <w:tc>
          <w:tcPr>
            <w:tcW w:w="235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hanging="90"/>
              <w:jc w:val="left"/>
              <w:outlineLvl w:val="9"/>
              <w:rPr>
                <w:rFonts w:ascii="Arial" w:eastAsia="Arial" w:hAnsi="Arial" w:cs="Arial"/>
                <w:b w:val="0"/>
                <w:i w:val="0"/>
                <w:sz w:val="16"/>
              </w:rPr>
            </w:pPr>
            <w:r>
              <w:pict>
                <v:shape id="_x0000_s1225" type="#_x0000_t75" style="width:109.44pt;height:109.44pt;margin-top:0;margin-left:0;mso-position-horizontal:left;position:absolute;z-index:251784192">
                  <v:imagedata r:id="rId173" o:title=""/>
                  <o:lock v:ext="edit" aspectratio="t"/>
                  <w10:wrap type="square"/>
                </v:shape>
              </w:pict>
            </w:r>
          </w:p>
        </w:tc>
        <w:tc>
          <w:tcPr>
            <w:tcW w:w="19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7710" w:type="dxa"/>
            <w:gridSpan w:val="2"/>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60" w:line="288" w:lineRule="auto"/>
              <w:ind w:left="0" w:right="0" w:firstLine="0"/>
              <w:jc w:val="both"/>
              <w:outlineLvl w:val="9"/>
              <w:rPr>
                <w:rFonts w:ascii="Arial" w:eastAsia="Arial" w:hAnsi="Arial" w:cs="Arial"/>
                <w:b/>
                <w:i w:val="0"/>
                <w:color w:val="171449"/>
                <w:sz w:val="30"/>
                <w:u w:val="none"/>
              </w:rPr>
            </w:pPr>
            <w:r>
              <w:rPr>
                <w:rFonts w:ascii="Arial" w:eastAsia="Arial" w:hAnsi="Arial" w:cs="Arial"/>
                <w:b/>
                <w:i w:val="0"/>
                <w:color w:val="171449"/>
                <w:sz w:val="28"/>
                <w:u w:val="none"/>
              </w:rPr>
              <w:t xml:space="preserve">Matthew Kirk    </w:t>
            </w:r>
            <w:r>
              <w:rPr>
                <w:rFonts w:ascii="Arial" w:eastAsia="Arial" w:hAnsi="Arial" w:cs="Arial"/>
                <w:b w:val="0"/>
                <w:i w:val="0"/>
                <w:sz w:val="20"/>
              </w:rPr>
              <w:t>Chief Financial Officer</w:t>
            </w:r>
          </w:p>
          <w:p>
            <w:pPr>
              <w:pageBreakBefore w:val="0"/>
              <w:numPr>
                <w:ilvl w:val="0"/>
                <w:numId w:val="0"/>
              </w:numPr>
              <w:spacing w:before="0" w:after="0" w:line="288" w:lineRule="auto"/>
              <w:ind w:left="0" w:right="0" w:firstLine="0"/>
              <w:jc w:val="both"/>
              <w:outlineLvl w:val="9"/>
              <w:rPr>
                <w:rFonts w:ascii="Arial" w:eastAsia="Arial" w:hAnsi="Arial" w:cs="Arial"/>
                <w:b/>
                <w:i w:val="0"/>
                <w:color w:val="4495D1"/>
                <w:sz w:val="18"/>
                <w:u w:val="none"/>
              </w:rPr>
            </w:pPr>
          </w:p>
          <w:p>
            <w:pPr>
              <w:pageBreakBefore w:val="0"/>
              <w:numPr>
                <w:ilvl w:val="0"/>
                <w:numId w:val="0"/>
              </w:numPr>
              <w:spacing w:before="0" w:after="60" w:line="288" w:lineRule="auto"/>
              <w:ind w:left="0" w:right="0" w:firstLine="0"/>
              <w:jc w:val="both"/>
              <w:outlineLvl w:val="9"/>
              <w:rPr>
                <w:rFonts w:ascii="Arial" w:eastAsia="Arial" w:hAnsi="Arial" w:cs="Arial"/>
                <w:b/>
                <w:i w:val="0"/>
                <w:color w:val="4495D1"/>
                <w:sz w:val="18"/>
                <w:u w:val="none"/>
              </w:rPr>
            </w:pPr>
            <w:r>
              <w:rPr>
                <w:rFonts w:ascii="Arial" w:eastAsia="Arial" w:hAnsi="Arial" w:cs="Arial"/>
                <w:b/>
                <w:i w:val="0"/>
                <w:color w:val="4495D1"/>
                <w:sz w:val="18"/>
                <w:u w:val="none"/>
              </w:rPr>
              <w:t>Biographical Information</w:t>
            </w:r>
          </w:p>
          <w:p>
            <w:pPr>
              <w:pageBreakBefore w:val="0"/>
              <w:numPr>
                <w:ilvl w:val="0"/>
                <w:numId w:val="0"/>
              </w:numPr>
              <w:spacing w:before="0" w:after="3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Matthew </w:t>
            </w:r>
            <w:r>
              <w:rPr>
                <w:rFonts w:ascii="Arial" w:eastAsia="Arial" w:hAnsi="Arial" w:cs="Arial"/>
                <w:b w:val="0"/>
                <w:i w:val="0"/>
                <w:sz w:val="20"/>
              </w:rPr>
              <w:t xml:space="preserve">Kirk was appointed Chief Financial Officer in March 2023. </w:t>
            </w:r>
            <w:r>
              <w:rPr>
                <w:rFonts w:ascii="Arial" w:eastAsia="Arial" w:hAnsi="Arial" w:cs="Arial"/>
                <w:b w:val="0"/>
                <w:i w:val="0"/>
                <w:sz w:val="20"/>
              </w:rPr>
              <w:t>Mr. Kirk</w:t>
            </w:r>
            <w:r>
              <w:rPr>
                <w:rFonts w:ascii="Arial" w:eastAsia="Arial" w:hAnsi="Arial" w:cs="Arial"/>
                <w:b w:val="0"/>
                <w:i w:val="0"/>
                <w:sz w:val="20"/>
              </w:rPr>
              <w:t xml:space="preserve">, who </w:t>
            </w:r>
            <w:r>
              <w:rPr>
                <w:rFonts w:ascii="Arial" w:eastAsia="Arial" w:hAnsi="Arial" w:cs="Arial"/>
                <w:b w:val="0"/>
                <w:i w:val="0"/>
                <w:sz w:val="20"/>
              </w:rPr>
              <w:t xml:space="preserve">joined </w:t>
            </w:r>
            <w:r>
              <w:rPr>
                <w:rFonts w:ascii="Arial" w:eastAsia="Arial" w:hAnsi="Arial" w:cs="Arial"/>
                <w:b w:val="0"/>
                <w:i w:val="0"/>
                <w:sz w:val="20"/>
              </w:rPr>
              <w:t xml:space="preserve">the Company </w:t>
            </w:r>
            <w:r>
              <w:rPr>
                <w:rFonts w:ascii="Arial" w:eastAsia="Arial" w:hAnsi="Arial" w:cs="Arial"/>
                <w:b w:val="0"/>
                <w:i w:val="0"/>
                <w:sz w:val="20"/>
              </w:rPr>
              <w:t>in April 2020</w:t>
            </w:r>
            <w:r>
              <w:rPr>
                <w:rFonts w:ascii="Arial" w:eastAsia="Arial" w:hAnsi="Arial" w:cs="Arial"/>
                <w:b w:val="0"/>
                <w:i w:val="0"/>
                <w:sz w:val="20"/>
              </w:rPr>
              <w:t>, served</w:t>
            </w:r>
            <w:r>
              <w:rPr>
                <w:rFonts w:ascii="Arial" w:eastAsia="Arial" w:hAnsi="Arial" w:cs="Arial"/>
                <w:b w:val="0"/>
                <w:i w:val="0"/>
                <w:sz w:val="20"/>
              </w:rPr>
              <w:t xml:space="preserve"> as Group Treasurer </w:t>
            </w:r>
            <w:r>
              <w:rPr>
                <w:rFonts w:ascii="Arial" w:eastAsia="Arial" w:hAnsi="Arial" w:cs="Arial"/>
                <w:b w:val="0"/>
                <w:i w:val="0"/>
                <w:sz w:val="20"/>
              </w:rPr>
              <w:t>f</w:t>
            </w:r>
            <w:r>
              <w:rPr>
                <w:rFonts w:ascii="Arial" w:eastAsia="Arial" w:hAnsi="Arial" w:cs="Arial"/>
                <w:b w:val="0"/>
                <w:i w:val="0"/>
                <w:sz w:val="20"/>
              </w:rPr>
              <w:t>rom A</w:t>
            </w:r>
            <w:r>
              <w:rPr>
                <w:rFonts w:ascii="Arial" w:eastAsia="Arial" w:hAnsi="Arial" w:cs="Arial"/>
                <w:b w:val="0"/>
                <w:i w:val="0"/>
                <w:sz w:val="20"/>
              </w:rPr>
              <w:t>pril 2020 to February 2023</w:t>
            </w:r>
            <w:r>
              <w:rPr>
                <w:rFonts w:ascii="Arial" w:eastAsia="Arial" w:hAnsi="Arial" w:cs="Arial"/>
                <w:b w:val="0"/>
                <w:i w:val="0"/>
                <w:sz w:val="20"/>
              </w:rPr>
              <w:t xml:space="preserve">, </w:t>
            </w:r>
            <w:r>
              <w:rPr>
                <w:rFonts w:ascii="Arial" w:eastAsia="Arial" w:hAnsi="Arial" w:cs="Arial"/>
                <w:b w:val="0"/>
                <w:i w:val="0"/>
                <w:sz w:val="20"/>
              </w:rPr>
              <w:t>where</w:t>
            </w:r>
            <w:r>
              <w:rPr>
                <w:rFonts w:ascii="Arial" w:eastAsia="Arial" w:hAnsi="Arial" w:cs="Arial"/>
                <w:b w:val="0"/>
                <w:i w:val="0"/>
                <w:sz w:val="20"/>
              </w:rPr>
              <w:t xml:space="preserve"> he was responsible for raising and efficiently allocating capital </w:t>
            </w:r>
            <w:r>
              <w:rPr>
                <w:rFonts w:ascii="Arial" w:eastAsia="Arial" w:hAnsi="Arial" w:cs="Arial"/>
                <w:b w:val="0"/>
                <w:i w:val="0"/>
                <w:sz w:val="20"/>
              </w:rPr>
              <w:t xml:space="preserve">and liquidity </w:t>
            </w:r>
            <w:r>
              <w:rPr>
                <w:rFonts w:ascii="Arial" w:eastAsia="Arial" w:hAnsi="Arial" w:cs="Arial"/>
                <w:b w:val="0"/>
                <w:i w:val="0"/>
                <w:sz w:val="20"/>
              </w:rPr>
              <w:t xml:space="preserve">across the Group. </w:t>
            </w:r>
            <w:r>
              <w:rPr>
                <w:rFonts w:ascii="Arial" w:eastAsia="Arial" w:hAnsi="Arial" w:cs="Arial"/>
                <w:b w:val="0"/>
                <w:i w:val="0"/>
                <w:sz w:val="20"/>
              </w:rPr>
              <w:t>Previously, Mr. Kirk held executive roles at Sirius International Insurance Group, including Group Treasurer and Head of Investor Relations, and President, Managing Director of Sirius Investment Advisors. Mr. Kirk was also an Assurance and Business Advisory Manager at Arthur Andersen. Mr. Kirk holds a B.S. in Accounting from the University of Delaware and an MBA from Columbia University. He is also a Certified Public Accountant (inact</w:t>
            </w:r>
            <w:r>
              <w:rPr>
                <w:rFonts w:ascii="Arial" w:eastAsia="Arial" w:hAnsi="Arial" w:cs="Arial"/>
                <w:b w:val="0"/>
                <w:i w:val="0"/>
                <w:sz w:val="20"/>
              </w:rPr>
              <w:t>iv</w:t>
            </w:r>
            <w:r>
              <w:rPr>
                <w:rFonts w:ascii="Arial" w:eastAsia="Arial" w:hAnsi="Arial" w:cs="Arial"/>
                <w:b w:val="0"/>
                <w:i w:val="0"/>
                <w:sz w:val="20"/>
              </w:rPr>
              <w:t>e</w:t>
            </w:r>
            <w:r>
              <w:rPr>
                <w:rFonts w:ascii="Arial" w:eastAsia="Arial" w:hAnsi="Arial" w:cs="Arial"/>
                <w:b w:val="0"/>
                <w:i w:val="0"/>
                <w:sz w:val="20"/>
              </w:rPr>
              <w:t>).</w:t>
            </w:r>
          </w:p>
        </w:tc>
      </w:tr>
      <w:tr>
        <w:tblPrEx>
          <w:tblW w:w="10260" w:type="dxa"/>
          <w:jc w:val="left"/>
          <w:tblInd w:w="0" w:type="dxa"/>
          <w:tblLayout w:type="fixed"/>
          <w:tblCellMar>
            <w:left w:w="108" w:type="dxa"/>
            <w:right w:w="108" w:type="dxa"/>
          </w:tblCellMar>
        </w:tblPrEx>
        <w:trPr>
          <w:cantSplit/>
          <w:trHeight w:hRule="exact" w:val="405"/>
          <w:jc w:val="left"/>
        </w:trPr>
        <w:tc>
          <w:tcPr>
            <w:tcW w:w="2355" w:type="dxa"/>
            <w:vMerge/>
            <w:tcBorders>
              <w:top w:val="nil"/>
              <w:left w:val="nil"/>
              <w:bottom w:val="nil"/>
              <w:right w:val="nil"/>
            </w:tcBorders>
          </w:tcPr>
          <w:p>
            <w:pPr>
              <w:pageBreakBefore w:val="0"/>
            </w:pPr>
          </w:p>
        </w:tc>
        <w:tc>
          <w:tcPr>
            <w:tcW w:w="195" w:type="dxa"/>
            <w:tcBorders>
              <w:top w:val="nil"/>
              <w:left w:val="single" w:sz="12" w:space="0" w:color="4494D1"/>
              <w:bottom w:val="nil"/>
              <w:right w:val="nil"/>
            </w:tcBorders>
            <w:tcMar>
              <w:top w:w="0" w:type="dxa"/>
              <w:left w:w="0" w:type="dxa"/>
              <w:bottom w:w="0" w:type="dxa"/>
              <w:right w:w="0" w:type="dxa"/>
            </w:tcMar>
            <w:vAlign w:val="bottom"/>
          </w:tcPr>
          <w:p>
            <w:pPr>
              <w:pageBreakBefore w:val="0"/>
              <w:spacing w:before="0" w:after="0"/>
            </w:pPr>
          </w:p>
        </w:tc>
        <w:tc>
          <w:tcPr>
            <w:tcW w:w="5955"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Officer Since:</w:t>
            </w:r>
            <w:r>
              <w:rPr>
                <w:rFonts w:ascii="Arial" w:eastAsia="Arial" w:hAnsi="Arial" w:cs="Arial"/>
                <w:b w:val="0"/>
                <w:i w:val="0"/>
                <w:sz w:val="20"/>
              </w:rPr>
              <w:t xml:space="preserve"> 2022</w:t>
            </w:r>
          </w:p>
        </w:tc>
        <w:tc>
          <w:tcPr>
            <w:tcW w:w="1755"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Age:</w:t>
            </w:r>
            <w:r>
              <w:rPr>
                <w:rFonts w:ascii="Arial" w:eastAsia="Arial" w:hAnsi="Arial" w:cs="Arial"/>
                <w:b w:val="0"/>
                <w:i w:val="0"/>
                <w:sz w:val="20"/>
              </w:rPr>
              <w:t xml:space="preserve"> </w:t>
            </w:r>
            <w:r>
              <w:rPr>
                <w:rFonts w:ascii="Arial" w:eastAsia="Arial" w:hAnsi="Arial" w:cs="Arial"/>
                <w:b w:val="0"/>
                <w:i w:val="0"/>
                <w:color w:val="000000"/>
                <w:sz w:val="20"/>
                <w:u w:val="none"/>
              </w:rPr>
              <w:t>50</w:t>
            </w:r>
          </w:p>
        </w:tc>
      </w:tr>
    </w:tbl>
    <w:p>
      <w:pPr>
        <w:keepNext w:val="0"/>
        <w:keepLines w:val="0"/>
        <w:pageBreakBefore w:val="0"/>
        <w:widowControl/>
        <w:numPr>
          <w:ilvl w:val="0"/>
          <w:numId w:val="0"/>
        </w:numPr>
        <w:spacing w:before="0" w:after="0" w:line="288" w:lineRule="auto"/>
        <w:ind w:left="0" w:right="0" w:firstLine="0"/>
        <w:jc w:val="left"/>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0" w:line="288" w:lineRule="auto"/>
        <w:ind w:left="0" w:right="0" w:firstLine="0"/>
        <w:jc w:val="left"/>
        <w:outlineLvl w:val="9"/>
        <w:rPr>
          <w:rFonts w:ascii="Times New Roman" w:eastAsia="Times New Roman" w:hAnsi="Times New Roman" w:cs="Times New Roman"/>
          <w:b w:val="0"/>
          <w:i w:val="0"/>
          <w:color w:val="FF0090"/>
          <w:sz w:val="20"/>
          <w:u w:val="none"/>
        </w:rPr>
      </w:pP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355"/>
        <w:gridCol w:w="195"/>
        <w:gridCol w:w="5955"/>
        <w:gridCol w:w="175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05"/>
          <w:jc w:val="left"/>
        </w:trPr>
        <w:tc>
          <w:tcPr>
            <w:tcW w:w="23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59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2925"/>
          <w:jc w:val="left"/>
        </w:trPr>
        <w:tc>
          <w:tcPr>
            <w:tcW w:w="235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hanging="180"/>
              <w:jc w:val="left"/>
              <w:outlineLvl w:val="9"/>
              <w:rPr>
                <w:rFonts w:ascii="Arial" w:eastAsia="Arial" w:hAnsi="Arial" w:cs="Arial"/>
                <w:b w:val="0"/>
                <w:i w:val="0"/>
                <w:sz w:val="16"/>
              </w:rPr>
            </w:pPr>
            <w:r>
              <w:pict>
                <v:shape id="_x0000_i1226" type="#_x0000_t75" style="width:118.8pt;height:118.8pt">
                  <v:imagedata r:id="rId174" o:title=""/>
                  <o:lock v:ext="edit" aspectratio="t"/>
                </v:shape>
              </w:pict>
            </w:r>
          </w:p>
        </w:tc>
        <w:tc>
          <w:tcPr>
            <w:tcW w:w="19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7710" w:type="dxa"/>
            <w:gridSpan w:val="2"/>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60" w:line="288" w:lineRule="auto"/>
              <w:ind w:left="0" w:right="0" w:firstLine="0"/>
              <w:jc w:val="left"/>
              <w:outlineLvl w:val="9"/>
              <w:rPr>
                <w:rFonts w:ascii="Arial" w:eastAsia="Arial" w:hAnsi="Arial" w:cs="Arial"/>
                <w:b/>
                <w:i w:val="0"/>
                <w:color w:val="171449"/>
                <w:sz w:val="30"/>
                <w:u w:val="none"/>
              </w:rPr>
            </w:pPr>
            <w:r>
              <w:rPr>
                <w:rFonts w:ascii="Arial" w:eastAsia="Arial" w:hAnsi="Arial" w:cs="Arial"/>
                <w:b/>
                <w:i w:val="0"/>
                <w:color w:val="171449"/>
                <w:sz w:val="28"/>
                <w:u w:val="none"/>
              </w:rPr>
              <w:t xml:space="preserve">David Ni    </w:t>
            </w:r>
            <w:r>
              <w:rPr>
                <w:rFonts w:ascii="Arial" w:eastAsia="Arial" w:hAnsi="Arial" w:cs="Arial"/>
                <w:b w:val="0"/>
                <w:i w:val="0"/>
                <w:sz w:val="20"/>
              </w:rPr>
              <w:t>Chief Strategy Officer</w:t>
            </w:r>
          </w:p>
          <w:p>
            <w:pPr>
              <w:pageBreakBefore w:val="0"/>
              <w:numPr>
                <w:ilvl w:val="0"/>
                <w:numId w:val="0"/>
              </w:numPr>
              <w:spacing w:before="0" w:after="0" w:line="288" w:lineRule="auto"/>
              <w:ind w:left="0" w:right="0" w:firstLine="0"/>
              <w:jc w:val="left"/>
              <w:outlineLvl w:val="9"/>
              <w:rPr>
                <w:rFonts w:ascii="Arial" w:eastAsia="Arial" w:hAnsi="Arial" w:cs="Arial"/>
                <w:b/>
                <w:i w:val="0"/>
                <w:color w:val="4495D1"/>
                <w:sz w:val="18"/>
                <w:u w:val="none"/>
              </w:rPr>
            </w:pPr>
          </w:p>
          <w:p>
            <w:pPr>
              <w:pageBreakBefore w:val="0"/>
              <w:numPr>
                <w:ilvl w:val="0"/>
                <w:numId w:val="0"/>
              </w:numPr>
              <w:spacing w:before="0" w:after="60" w:line="288" w:lineRule="auto"/>
              <w:ind w:left="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Biographical Information</w:t>
            </w:r>
          </w:p>
          <w:p>
            <w:pPr>
              <w:pageBreakBefore w:val="0"/>
              <w:numPr>
                <w:ilvl w:val="0"/>
                <w:numId w:val="0"/>
              </w:numPr>
              <w:spacing w:before="0" w:after="3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David Ni was appointed Chief Strategy Officer in May 2022.</w:t>
            </w:r>
            <w:r>
              <w:rPr>
                <w:rFonts w:ascii="Arial" w:eastAsia="Arial" w:hAnsi="Arial" w:cs="Arial"/>
                <w:b w:val="0"/>
                <w:i w:val="0"/>
                <w:sz w:val="20"/>
              </w:rPr>
              <w:t xml:space="preserve"> Mr. Ni, who </w:t>
            </w:r>
            <w:r>
              <w:rPr>
                <w:rFonts w:ascii="Arial" w:eastAsia="Arial" w:hAnsi="Arial" w:cs="Arial"/>
                <w:b w:val="0"/>
                <w:i w:val="0"/>
                <w:sz w:val="20"/>
              </w:rPr>
              <w:t xml:space="preserve">joined </w:t>
            </w:r>
            <w:r>
              <w:rPr>
                <w:rFonts w:ascii="Arial" w:eastAsia="Arial" w:hAnsi="Arial" w:cs="Arial"/>
                <w:b w:val="0"/>
                <w:i w:val="0"/>
                <w:sz w:val="20"/>
              </w:rPr>
              <w:t>the Com</w:t>
            </w:r>
            <w:r>
              <w:rPr>
                <w:rFonts w:ascii="Arial" w:eastAsia="Arial" w:hAnsi="Arial" w:cs="Arial"/>
                <w:b w:val="0"/>
                <w:i w:val="0"/>
                <w:sz w:val="20"/>
              </w:rPr>
              <w:t>pany</w:t>
            </w:r>
            <w:r>
              <w:rPr>
                <w:rFonts w:ascii="Arial" w:eastAsia="Arial" w:hAnsi="Arial" w:cs="Arial"/>
                <w:b w:val="0"/>
                <w:i w:val="0"/>
                <w:sz w:val="20"/>
              </w:rPr>
              <w:t xml:space="preserve"> </w:t>
            </w:r>
            <w:r>
              <w:rPr>
                <w:rFonts w:ascii="Arial" w:eastAsia="Arial" w:hAnsi="Arial" w:cs="Arial"/>
                <w:b w:val="0"/>
                <w:i w:val="0"/>
                <w:sz w:val="20"/>
              </w:rPr>
              <w:t xml:space="preserve">in 2019, </w:t>
            </w:r>
            <w:r>
              <w:rPr>
                <w:rFonts w:ascii="Arial" w:eastAsia="Arial" w:hAnsi="Arial" w:cs="Arial"/>
                <w:b w:val="0"/>
                <w:i w:val="0"/>
                <w:sz w:val="20"/>
              </w:rPr>
              <w:t>served as Executive Vice President, Mergers &amp; Acquisitions from 2019</w:t>
            </w:r>
            <w:r>
              <w:rPr>
                <w:rFonts w:ascii="Arial" w:eastAsia="Arial" w:hAnsi="Arial" w:cs="Arial"/>
                <w:b w:val="0"/>
                <w:i w:val="0"/>
                <w:sz w:val="20"/>
              </w:rPr>
              <w:t xml:space="preserve"> to</w:t>
            </w:r>
            <w:r>
              <w:rPr>
                <w:rFonts w:ascii="Arial" w:eastAsia="Arial" w:hAnsi="Arial" w:cs="Arial"/>
                <w:b w:val="0"/>
                <w:i w:val="0"/>
                <w:sz w:val="20"/>
              </w:rPr>
              <w:t xml:space="preserve"> 2022</w:t>
            </w:r>
            <w:r>
              <w:rPr>
                <w:rFonts w:ascii="Arial" w:eastAsia="Arial" w:hAnsi="Arial" w:cs="Arial"/>
                <w:b w:val="0"/>
                <w:i w:val="0"/>
                <w:sz w:val="20"/>
              </w:rPr>
              <w:t>. </w:t>
            </w:r>
            <w:r>
              <w:rPr>
                <w:rFonts w:ascii="Arial" w:eastAsia="Arial" w:hAnsi="Arial" w:cs="Arial"/>
                <w:b w:val="0"/>
                <w:i w:val="0"/>
                <w:sz w:val="20"/>
              </w:rPr>
              <w:t xml:space="preserve">Prior to joining </w:t>
            </w:r>
            <w:r>
              <w:rPr>
                <w:rFonts w:ascii="Arial" w:eastAsia="Arial" w:hAnsi="Arial" w:cs="Arial"/>
                <w:b w:val="0"/>
                <w:i w:val="0"/>
                <w:sz w:val="20"/>
              </w:rPr>
              <w:t>the Company</w:t>
            </w:r>
            <w:r>
              <w:rPr>
                <w:rFonts w:ascii="Arial" w:eastAsia="Arial" w:hAnsi="Arial" w:cs="Arial"/>
                <w:b w:val="0"/>
                <w:i w:val="0"/>
                <w:sz w:val="20"/>
              </w:rPr>
              <w:t>, Mr. Ni spent his career as an investment banker working in the U.S. and in Asia, and was a Managing Director at Deutsche Bank with responsibility for leading M&amp;A in financial services. Prior to that, he was with Goldman Sachs for more than 10 years covering the financial services sector. Mr. Ni graduated with a Bachelor’s degree from Harvard.</w:t>
            </w:r>
          </w:p>
        </w:tc>
      </w:tr>
      <w:tr>
        <w:tblPrEx>
          <w:tblW w:w="10260" w:type="dxa"/>
          <w:jc w:val="left"/>
          <w:tblInd w:w="0" w:type="dxa"/>
          <w:tblLayout w:type="fixed"/>
          <w:tblCellMar>
            <w:left w:w="108" w:type="dxa"/>
            <w:right w:w="108" w:type="dxa"/>
          </w:tblCellMar>
        </w:tblPrEx>
        <w:trPr>
          <w:cantSplit/>
          <w:trHeight w:hRule="exact" w:val="405"/>
          <w:jc w:val="left"/>
        </w:trPr>
        <w:tc>
          <w:tcPr>
            <w:tcW w:w="2355" w:type="dxa"/>
            <w:vMerge/>
            <w:tcBorders>
              <w:top w:val="nil"/>
              <w:left w:val="nil"/>
              <w:bottom w:val="nil"/>
              <w:right w:val="nil"/>
            </w:tcBorders>
          </w:tcPr>
          <w:p>
            <w:pPr>
              <w:pageBreakBefore w:val="0"/>
            </w:pPr>
          </w:p>
        </w:tc>
        <w:tc>
          <w:tcPr>
            <w:tcW w:w="195" w:type="dxa"/>
            <w:tcBorders>
              <w:top w:val="nil"/>
              <w:left w:val="single" w:sz="12" w:space="0" w:color="4494D1"/>
              <w:bottom w:val="nil"/>
              <w:right w:val="nil"/>
            </w:tcBorders>
            <w:tcMar>
              <w:top w:w="0" w:type="dxa"/>
              <w:left w:w="0" w:type="dxa"/>
              <w:bottom w:w="0" w:type="dxa"/>
              <w:right w:w="0" w:type="dxa"/>
            </w:tcMar>
            <w:vAlign w:val="bottom"/>
          </w:tcPr>
          <w:p>
            <w:pPr>
              <w:pageBreakBefore w:val="0"/>
              <w:spacing w:before="0" w:after="0"/>
            </w:pPr>
          </w:p>
        </w:tc>
        <w:tc>
          <w:tcPr>
            <w:tcW w:w="5955"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Officer Since:</w:t>
            </w:r>
            <w:r>
              <w:rPr>
                <w:rFonts w:ascii="Arial" w:eastAsia="Arial" w:hAnsi="Arial" w:cs="Arial"/>
                <w:b w:val="0"/>
                <w:i w:val="0"/>
                <w:sz w:val="20"/>
              </w:rPr>
              <w:t xml:space="preserve"> 2022</w:t>
            </w:r>
          </w:p>
        </w:tc>
        <w:tc>
          <w:tcPr>
            <w:tcW w:w="1755"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Age:</w:t>
            </w:r>
            <w:r>
              <w:rPr>
                <w:rFonts w:ascii="Arial" w:eastAsia="Arial" w:hAnsi="Arial" w:cs="Arial"/>
                <w:b w:val="0"/>
                <w:i w:val="0"/>
                <w:sz w:val="20"/>
              </w:rPr>
              <w:t xml:space="preserve"> </w:t>
            </w:r>
            <w:r>
              <w:rPr>
                <w:rFonts w:ascii="Arial" w:eastAsia="Arial" w:hAnsi="Arial" w:cs="Arial"/>
                <w:b w:val="0"/>
                <w:i w:val="0"/>
                <w:color w:val="000000"/>
                <w:sz w:val="20"/>
                <w:u w:val="none"/>
              </w:rPr>
              <w:t>40</w:t>
            </w:r>
          </w:p>
        </w:tc>
      </w:tr>
    </w:tbl>
    <w:p>
      <w:pPr>
        <w:keepNext w:val="0"/>
        <w:keepLines w:val="0"/>
        <w:pageBreakBefore w:val="0"/>
        <w:widowControl/>
        <w:numPr>
          <w:ilvl w:val="0"/>
          <w:numId w:val="0"/>
        </w:numPr>
        <w:spacing w:before="0" w:after="0" w:line="288" w:lineRule="auto"/>
        <w:ind w:left="0" w:right="0" w:firstLine="0"/>
        <w:jc w:val="left"/>
        <w:outlineLvl w:val="9"/>
        <w:rPr>
          <w:rFonts w:ascii="Times New Roman" w:eastAsia="Times New Roman" w:hAnsi="Times New Roman" w:cs="Times New Roman"/>
          <w:b w:val="0"/>
          <w:i w:val="0"/>
          <w:color w:val="FF0090"/>
          <w:sz w:val="20"/>
          <w:u w:val="none"/>
        </w:rPr>
      </w:pP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355"/>
        <w:gridCol w:w="195"/>
        <w:gridCol w:w="5955"/>
        <w:gridCol w:w="175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05"/>
          <w:jc w:val="left"/>
        </w:trPr>
        <w:tc>
          <w:tcPr>
            <w:tcW w:w="23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59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3705"/>
          <w:jc w:val="left"/>
        </w:trPr>
        <w:tc>
          <w:tcPr>
            <w:tcW w:w="235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hanging="90"/>
              <w:jc w:val="left"/>
              <w:outlineLvl w:val="9"/>
              <w:rPr>
                <w:rFonts w:ascii="Arial" w:eastAsia="Arial" w:hAnsi="Arial" w:cs="Arial"/>
                <w:b w:val="0"/>
                <w:i w:val="0"/>
                <w:sz w:val="16"/>
              </w:rPr>
            </w:pPr>
            <w:r>
              <w:pict>
                <v:shape id="_x0000_i1227" type="#_x0000_t75" style="width:118.8pt;height:118.8pt">
                  <v:imagedata r:id="rId175" o:title=""/>
                  <o:lock v:ext="edit" aspectratio="t"/>
                </v:shape>
              </w:pict>
            </w:r>
          </w:p>
        </w:tc>
        <w:tc>
          <w:tcPr>
            <w:tcW w:w="19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7710" w:type="dxa"/>
            <w:gridSpan w:val="2"/>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60" w:line="288" w:lineRule="auto"/>
              <w:ind w:left="0" w:right="0" w:firstLine="0"/>
              <w:jc w:val="both"/>
              <w:outlineLvl w:val="9"/>
              <w:rPr>
                <w:rFonts w:ascii="Arial" w:eastAsia="Arial" w:hAnsi="Arial" w:cs="Arial"/>
                <w:b/>
                <w:i w:val="0"/>
                <w:color w:val="171449"/>
                <w:sz w:val="30"/>
                <w:u w:val="none"/>
              </w:rPr>
            </w:pPr>
            <w:r>
              <w:rPr>
                <w:rFonts w:ascii="Arial" w:eastAsia="Arial" w:hAnsi="Arial" w:cs="Arial"/>
                <w:b/>
                <w:i w:val="0"/>
                <w:color w:val="171449"/>
                <w:sz w:val="28"/>
                <w:u w:val="none"/>
              </w:rPr>
              <w:t xml:space="preserve">Laurence Plumb    </w:t>
            </w:r>
            <w:r>
              <w:rPr>
                <w:rFonts w:ascii="Arial" w:eastAsia="Arial" w:hAnsi="Arial" w:cs="Arial"/>
                <w:b w:val="0"/>
                <w:i w:val="0"/>
                <w:sz w:val="20"/>
              </w:rPr>
              <w:t>Chief of Business Operations</w:t>
            </w:r>
          </w:p>
          <w:p>
            <w:pPr>
              <w:pageBreakBefore w:val="0"/>
              <w:numPr>
                <w:ilvl w:val="0"/>
                <w:numId w:val="0"/>
              </w:numPr>
              <w:spacing w:before="0" w:after="0" w:line="288" w:lineRule="auto"/>
              <w:ind w:left="0" w:right="0" w:firstLine="0"/>
              <w:jc w:val="both"/>
              <w:outlineLvl w:val="9"/>
              <w:rPr>
                <w:rFonts w:ascii="Arial" w:eastAsia="Arial" w:hAnsi="Arial" w:cs="Arial"/>
                <w:b/>
                <w:i w:val="0"/>
                <w:color w:val="4495D1"/>
                <w:sz w:val="18"/>
                <w:u w:val="none"/>
              </w:rPr>
            </w:pPr>
          </w:p>
          <w:p>
            <w:pPr>
              <w:pageBreakBefore w:val="0"/>
              <w:numPr>
                <w:ilvl w:val="0"/>
                <w:numId w:val="0"/>
              </w:numPr>
              <w:spacing w:before="0" w:after="60" w:line="288" w:lineRule="auto"/>
              <w:ind w:left="0" w:right="0" w:firstLine="0"/>
              <w:jc w:val="both"/>
              <w:outlineLvl w:val="9"/>
              <w:rPr>
                <w:rFonts w:ascii="Arial" w:eastAsia="Arial" w:hAnsi="Arial" w:cs="Arial"/>
                <w:b/>
                <w:i w:val="0"/>
                <w:color w:val="4495D1"/>
                <w:sz w:val="18"/>
                <w:u w:val="none"/>
              </w:rPr>
            </w:pPr>
            <w:r>
              <w:rPr>
                <w:rFonts w:ascii="Arial" w:eastAsia="Arial" w:hAnsi="Arial" w:cs="Arial"/>
                <w:b/>
                <w:i w:val="0"/>
                <w:color w:val="4495D1"/>
                <w:sz w:val="18"/>
                <w:u w:val="none"/>
              </w:rPr>
              <w:t>Biographical Information</w:t>
            </w:r>
          </w:p>
          <w:p>
            <w:pPr>
              <w:pageBreakBefore w:val="0"/>
              <w:numPr>
                <w:ilvl w:val="0"/>
                <w:numId w:val="0"/>
              </w:numPr>
              <w:spacing w:before="0" w:after="3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Laurence Plumb was appointed Chief of Business Operations in May 2022</w:t>
            </w:r>
            <w:r>
              <w:rPr>
                <w:rFonts w:ascii="Arial" w:eastAsia="Arial" w:hAnsi="Arial" w:cs="Arial"/>
                <w:b w:val="0"/>
                <w:i w:val="0"/>
                <w:sz w:val="20"/>
              </w:rPr>
              <w:t xml:space="preserve">. </w:t>
            </w:r>
            <w:r>
              <w:rPr>
                <w:rFonts w:ascii="Arial" w:eastAsia="Arial" w:hAnsi="Arial" w:cs="Arial"/>
                <w:b w:val="0"/>
                <w:i w:val="0"/>
                <w:sz w:val="20"/>
              </w:rPr>
              <w:t>Mr. Plumb</w:t>
            </w:r>
            <w:r>
              <w:rPr>
                <w:rFonts w:ascii="Arial" w:eastAsia="Arial" w:hAnsi="Arial" w:cs="Arial"/>
                <w:b w:val="0"/>
                <w:i w:val="0"/>
                <w:sz w:val="20"/>
              </w:rPr>
              <w:t xml:space="preserve">, who joined the Company </w:t>
            </w:r>
            <w:r>
              <w:rPr>
                <w:rFonts w:ascii="Arial" w:eastAsia="Arial" w:hAnsi="Arial" w:cs="Arial"/>
                <w:b w:val="0"/>
                <w:i w:val="0"/>
                <w:sz w:val="20"/>
              </w:rPr>
              <w:t>in April 2020</w:t>
            </w:r>
            <w:r>
              <w:rPr>
                <w:rFonts w:ascii="Arial" w:eastAsia="Arial" w:hAnsi="Arial" w:cs="Arial"/>
                <w:b w:val="0"/>
                <w:i w:val="0"/>
                <w:sz w:val="20"/>
              </w:rPr>
              <w:t xml:space="preserve">, served </w:t>
            </w:r>
            <w:r>
              <w:rPr>
                <w:rFonts w:ascii="Arial" w:eastAsia="Arial" w:hAnsi="Arial" w:cs="Arial"/>
                <w:b w:val="0"/>
                <w:i w:val="0"/>
                <w:sz w:val="20"/>
              </w:rPr>
              <w:t>as Director of Operational Performance</w:t>
            </w:r>
            <w:r>
              <w:rPr>
                <w:rFonts w:ascii="Arial" w:eastAsia="Arial" w:hAnsi="Arial" w:cs="Arial"/>
                <w:b w:val="0"/>
                <w:i w:val="0"/>
                <w:sz w:val="20"/>
              </w:rPr>
              <w:t xml:space="preserve"> </w:t>
            </w:r>
            <w:r>
              <w:rPr>
                <w:rFonts w:ascii="Arial" w:eastAsia="Arial" w:hAnsi="Arial" w:cs="Arial"/>
                <w:b w:val="0"/>
                <w:i w:val="0"/>
                <w:sz w:val="20"/>
              </w:rPr>
              <w:t xml:space="preserve">from April 2020 to </w:t>
            </w:r>
            <w:r>
              <w:rPr>
                <w:rFonts w:ascii="Arial" w:eastAsia="Arial" w:hAnsi="Arial" w:cs="Arial"/>
                <w:b w:val="0"/>
                <w:i w:val="0"/>
                <w:sz w:val="20"/>
              </w:rPr>
              <w:t>May 202</w:t>
            </w:r>
            <w:r>
              <w:rPr>
                <w:rFonts w:ascii="Arial" w:eastAsia="Arial" w:hAnsi="Arial" w:cs="Arial"/>
                <w:b w:val="0"/>
                <w:i w:val="0"/>
                <w:sz w:val="20"/>
              </w:rPr>
              <w:t>1, and Deputy Group COO from May 2021 to May 2022</w:t>
            </w:r>
            <w:r>
              <w:rPr>
                <w:rFonts w:ascii="Arial" w:eastAsia="Arial" w:hAnsi="Arial" w:cs="Arial"/>
                <w:b w:val="0"/>
                <w:i w:val="0"/>
                <w:sz w:val="20"/>
              </w:rPr>
              <w:t>. Previously, Mr. Plumb worked in Financial Services in London for more than 13 years, focused on Financial Planning and Analysis and Capital Management at the Global Health Insurer BUPA and at RSA Insurance Group. He trained in Deloitte's Insurance and Investment Management Audit Practice and is a Fellow Chartered Accountant (FCA) of the Institute of Chartered Accountants in England and Wales (ICAEW). Mr. Plumb graduated with a Master's degree in Modern Languages from Cambridge University.</w:t>
            </w:r>
          </w:p>
        </w:tc>
      </w:tr>
      <w:tr>
        <w:tblPrEx>
          <w:tblW w:w="10260" w:type="dxa"/>
          <w:jc w:val="left"/>
          <w:tblInd w:w="0" w:type="dxa"/>
          <w:tblLayout w:type="fixed"/>
          <w:tblCellMar>
            <w:left w:w="108" w:type="dxa"/>
            <w:right w:w="108" w:type="dxa"/>
          </w:tblCellMar>
        </w:tblPrEx>
        <w:trPr>
          <w:cantSplit/>
          <w:trHeight w:hRule="exact" w:val="405"/>
          <w:jc w:val="left"/>
        </w:trPr>
        <w:tc>
          <w:tcPr>
            <w:tcW w:w="2355" w:type="dxa"/>
            <w:vMerge/>
            <w:tcBorders>
              <w:top w:val="nil"/>
              <w:left w:val="nil"/>
              <w:bottom w:val="nil"/>
              <w:right w:val="nil"/>
            </w:tcBorders>
          </w:tcPr>
          <w:p>
            <w:pPr>
              <w:pageBreakBefore w:val="0"/>
            </w:pPr>
          </w:p>
        </w:tc>
        <w:tc>
          <w:tcPr>
            <w:tcW w:w="195" w:type="dxa"/>
            <w:tcBorders>
              <w:top w:val="nil"/>
              <w:left w:val="single" w:sz="12" w:space="0" w:color="4494D1"/>
              <w:bottom w:val="nil"/>
              <w:right w:val="nil"/>
            </w:tcBorders>
            <w:tcMar>
              <w:top w:w="0" w:type="dxa"/>
              <w:left w:w="0" w:type="dxa"/>
              <w:bottom w:w="0" w:type="dxa"/>
              <w:right w:w="0" w:type="dxa"/>
            </w:tcMar>
            <w:vAlign w:val="bottom"/>
          </w:tcPr>
          <w:p>
            <w:pPr>
              <w:pageBreakBefore w:val="0"/>
              <w:spacing w:before="0" w:after="0"/>
            </w:pPr>
          </w:p>
        </w:tc>
        <w:tc>
          <w:tcPr>
            <w:tcW w:w="5955"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Officer Since:</w:t>
            </w:r>
            <w:r>
              <w:rPr>
                <w:rFonts w:ascii="Arial" w:eastAsia="Arial" w:hAnsi="Arial" w:cs="Arial"/>
                <w:b w:val="0"/>
                <w:i w:val="0"/>
                <w:sz w:val="20"/>
              </w:rPr>
              <w:t xml:space="preserve"> 2022</w:t>
            </w:r>
          </w:p>
        </w:tc>
        <w:tc>
          <w:tcPr>
            <w:tcW w:w="1755"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Age:</w:t>
            </w:r>
            <w:r>
              <w:rPr>
                <w:rFonts w:ascii="Arial" w:eastAsia="Arial" w:hAnsi="Arial" w:cs="Arial"/>
                <w:b w:val="0"/>
                <w:i w:val="0"/>
                <w:sz w:val="20"/>
              </w:rPr>
              <w:t xml:space="preserve"> </w:t>
            </w:r>
            <w:r>
              <w:rPr>
                <w:rFonts w:ascii="Arial" w:eastAsia="Arial" w:hAnsi="Arial" w:cs="Arial"/>
                <w:b w:val="0"/>
                <w:i w:val="0"/>
                <w:color w:val="000000"/>
                <w:sz w:val="20"/>
                <w:u w:val="none"/>
              </w:rPr>
              <w:t>40</w:t>
            </w:r>
          </w:p>
        </w:tc>
      </w:tr>
    </w:tbl>
    <w:p>
      <w:pPr>
        <w:keepNext w:val="0"/>
        <w:keepLines w:val="0"/>
        <w:pageBreakBefore w:val="0"/>
        <w:widowControl/>
        <w:numPr>
          <w:ilvl w:val="0"/>
          <w:numId w:val="0"/>
        </w:numPr>
        <w:spacing w:before="0" w:after="0" w:line="288" w:lineRule="auto"/>
        <w:ind w:left="0" w:right="0" w:firstLine="0"/>
        <w:jc w:val="left"/>
        <w:outlineLvl w:val="9"/>
        <w:rPr>
          <w:rFonts w:ascii="Times New Roman" w:eastAsia="Times New Roman" w:hAnsi="Times New Roman" w:cs="Times New Roman"/>
          <w:b w:val="0"/>
          <w:i w:val="0"/>
          <w:color w:val="FF0090"/>
          <w:sz w:val="20"/>
          <w:u w:val="none"/>
        </w:rPr>
      </w:pP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355"/>
        <w:gridCol w:w="195"/>
        <w:gridCol w:w="5955"/>
        <w:gridCol w:w="175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05"/>
          <w:jc w:val="left"/>
        </w:trPr>
        <w:tc>
          <w:tcPr>
            <w:tcW w:w="23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59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3705"/>
          <w:jc w:val="left"/>
        </w:trPr>
        <w:tc>
          <w:tcPr>
            <w:tcW w:w="2355"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hanging="180"/>
              <w:jc w:val="left"/>
              <w:outlineLvl w:val="9"/>
              <w:rPr>
                <w:rFonts w:ascii="Arial" w:eastAsia="Arial" w:hAnsi="Arial" w:cs="Arial"/>
                <w:b w:val="0"/>
                <w:i w:val="0"/>
                <w:sz w:val="16"/>
              </w:rPr>
            </w:pPr>
            <w:r>
              <w:pict>
                <v:shape id="_x0000_i1228" type="#_x0000_t75" style="width:123.12pt;height:119.15pt">
                  <v:imagedata r:id="rId176" o:title=""/>
                  <o:lock v:ext="edit" aspectratio="t"/>
                </v:shape>
              </w:pict>
            </w:r>
          </w:p>
        </w:tc>
        <w:tc>
          <w:tcPr>
            <w:tcW w:w="195"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7710" w:type="dxa"/>
            <w:gridSpan w:val="2"/>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60" w:line="288" w:lineRule="auto"/>
              <w:ind w:left="0" w:right="0" w:firstLine="0"/>
              <w:jc w:val="both"/>
              <w:outlineLvl w:val="9"/>
              <w:rPr>
                <w:rFonts w:ascii="Arial" w:eastAsia="Arial" w:hAnsi="Arial" w:cs="Arial"/>
                <w:b/>
                <w:i w:val="0"/>
                <w:color w:val="171449"/>
                <w:sz w:val="30"/>
                <w:u w:val="none"/>
              </w:rPr>
            </w:pPr>
            <w:r>
              <w:rPr>
                <w:rFonts w:ascii="Arial" w:eastAsia="Arial" w:hAnsi="Arial" w:cs="Arial"/>
                <w:b/>
                <w:i w:val="0"/>
                <w:color w:val="171449"/>
                <w:sz w:val="28"/>
                <w:u w:val="none"/>
              </w:rPr>
              <w:t xml:space="preserve">Seema Thaper    </w:t>
            </w:r>
            <w:r>
              <w:rPr>
                <w:rFonts w:ascii="Arial" w:eastAsia="Arial" w:hAnsi="Arial" w:cs="Arial"/>
                <w:b w:val="0"/>
                <w:i w:val="0"/>
                <w:sz w:val="20"/>
              </w:rPr>
              <w:t>Chief Risk Officer</w:t>
            </w:r>
          </w:p>
          <w:p>
            <w:pPr>
              <w:pageBreakBefore w:val="0"/>
              <w:numPr>
                <w:ilvl w:val="0"/>
                <w:numId w:val="0"/>
              </w:numPr>
              <w:spacing w:before="0" w:after="0" w:line="288" w:lineRule="auto"/>
              <w:ind w:left="0" w:right="0" w:firstLine="0"/>
              <w:jc w:val="both"/>
              <w:outlineLvl w:val="9"/>
              <w:rPr>
                <w:rFonts w:ascii="Arial" w:eastAsia="Arial" w:hAnsi="Arial" w:cs="Arial"/>
                <w:b/>
                <w:i w:val="0"/>
                <w:color w:val="4495D1"/>
                <w:sz w:val="18"/>
                <w:u w:val="none"/>
              </w:rPr>
            </w:pPr>
          </w:p>
          <w:p>
            <w:pPr>
              <w:pageBreakBefore w:val="0"/>
              <w:numPr>
                <w:ilvl w:val="0"/>
                <w:numId w:val="0"/>
              </w:numPr>
              <w:spacing w:before="0" w:after="60" w:line="288" w:lineRule="auto"/>
              <w:ind w:left="0" w:right="0" w:firstLine="0"/>
              <w:jc w:val="both"/>
              <w:outlineLvl w:val="9"/>
              <w:rPr>
                <w:rFonts w:ascii="Arial" w:eastAsia="Arial" w:hAnsi="Arial" w:cs="Arial"/>
                <w:b/>
                <w:i w:val="0"/>
                <w:color w:val="4495D1"/>
                <w:sz w:val="18"/>
                <w:u w:val="none"/>
              </w:rPr>
            </w:pPr>
            <w:r>
              <w:rPr>
                <w:rFonts w:ascii="Arial" w:eastAsia="Arial" w:hAnsi="Arial" w:cs="Arial"/>
                <w:b/>
                <w:i w:val="0"/>
                <w:color w:val="4495D1"/>
                <w:sz w:val="18"/>
                <w:u w:val="none"/>
              </w:rPr>
              <w:t>Biographical Information</w:t>
            </w:r>
          </w:p>
          <w:p>
            <w:pPr>
              <w:pageBreakBefore w:val="0"/>
              <w:numPr>
                <w:ilvl w:val="0"/>
                <w:numId w:val="0"/>
              </w:numPr>
              <w:spacing w:before="0" w:after="3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Seema Thaper was appointed Chief Risk Officer in September 2021. Ms. Thaper, who joined the Company in July 2019, served as Deputy Chief Transaction Actuary from </w:t>
            </w:r>
            <w:r>
              <w:rPr>
                <w:rFonts w:ascii="Arial" w:eastAsia="Arial" w:hAnsi="Arial" w:cs="Arial"/>
                <w:b w:val="0"/>
                <w:i w:val="0"/>
                <w:sz w:val="20"/>
              </w:rPr>
              <w:t>July 2019 to January 2020</w:t>
            </w:r>
            <w:r>
              <w:rPr>
                <w:rFonts w:ascii="Arial" w:eastAsia="Arial" w:hAnsi="Arial" w:cs="Arial"/>
                <w:b w:val="0"/>
                <w:i w:val="0"/>
                <w:sz w:val="20"/>
              </w:rPr>
              <w:t>, and as Chief Transaction Actuary from January 2020 to September 2021. Prior to joining the Company, Ms. Thaper was a Director in Deloitte's Actuarial Insurance practice leading the UK General Insurance Actuarial Advisory team. With more than 15 years of consulting experience before joining us, her work has spanned across a broad cross section of the P&amp;C Insurance market. Ms. Thaper is a Fellow of the Institute and Faculty of Actuaries.</w:t>
            </w:r>
          </w:p>
        </w:tc>
      </w:tr>
      <w:tr>
        <w:tblPrEx>
          <w:tblW w:w="10260" w:type="dxa"/>
          <w:jc w:val="left"/>
          <w:tblInd w:w="0" w:type="dxa"/>
          <w:tblLayout w:type="fixed"/>
          <w:tblCellMar>
            <w:left w:w="108" w:type="dxa"/>
            <w:right w:w="108" w:type="dxa"/>
          </w:tblCellMar>
        </w:tblPrEx>
        <w:trPr>
          <w:cantSplit/>
          <w:trHeight w:hRule="exact" w:val="405"/>
          <w:jc w:val="left"/>
        </w:trPr>
        <w:tc>
          <w:tcPr>
            <w:tcW w:w="2355" w:type="dxa"/>
            <w:vMerge/>
            <w:tcBorders>
              <w:top w:val="nil"/>
              <w:left w:val="nil"/>
              <w:bottom w:val="nil"/>
              <w:right w:val="nil"/>
            </w:tcBorders>
          </w:tcPr>
          <w:p>
            <w:pPr>
              <w:pageBreakBefore w:val="0"/>
            </w:pPr>
          </w:p>
        </w:tc>
        <w:tc>
          <w:tcPr>
            <w:tcW w:w="195" w:type="dxa"/>
            <w:tcBorders>
              <w:top w:val="nil"/>
              <w:left w:val="single" w:sz="12" w:space="0" w:color="4494D1"/>
              <w:bottom w:val="nil"/>
              <w:right w:val="nil"/>
            </w:tcBorders>
            <w:tcMar>
              <w:top w:w="0" w:type="dxa"/>
              <w:left w:w="0" w:type="dxa"/>
              <w:bottom w:w="0" w:type="dxa"/>
              <w:right w:w="0" w:type="dxa"/>
            </w:tcMar>
            <w:vAlign w:val="bottom"/>
          </w:tcPr>
          <w:p>
            <w:pPr>
              <w:pageBreakBefore w:val="0"/>
              <w:spacing w:before="0" w:after="0"/>
            </w:pPr>
          </w:p>
        </w:tc>
        <w:tc>
          <w:tcPr>
            <w:tcW w:w="5955"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Officer Since:</w:t>
            </w:r>
            <w:r>
              <w:rPr>
                <w:rFonts w:ascii="Arial" w:eastAsia="Arial" w:hAnsi="Arial" w:cs="Arial"/>
                <w:b w:val="0"/>
                <w:i w:val="0"/>
                <w:sz w:val="20"/>
              </w:rPr>
              <w:t xml:space="preserve"> 2022</w:t>
            </w:r>
          </w:p>
        </w:tc>
        <w:tc>
          <w:tcPr>
            <w:tcW w:w="1755" w:type="dxa"/>
            <w:tcBorders>
              <w:top w:val="nil"/>
              <w:left w:val="nil"/>
              <w:bottom w:val="nil"/>
              <w:right w:val="nil"/>
            </w:tcBorders>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color w:val="4495D1"/>
                <w:sz w:val="18"/>
                <w:u w:val="none"/>
              </w:rPr>
            </w:pPr>
            <w:r>
              <w:rPr>
                <w:rFonts w:ascii="Arial" w:eastAsia="Arial" w:hAnsi="Arial" w:cs="Arial"/>
                <w:b/>
                <w:i w:val="0"/>
                <w:color w:val="4495D1"/>
                <w:sz w:val="18"/>
                <w:u w:val="none"/>
              </w:rPr>
              <w:t>Age:</w:t>
            </w:r>
            <w:r>
              <w:rPr>
                <w:rFonts w:ascii="Arial" w:eastAsia="Arial" w:hAnsi="Arial" w:cs="Arial"/>
                <w:b w:val="0"/>
                <w:i w:val="0"/>
                <w:sz w:val="20"/>
              </w:rPr>
              <w:t xml:space="preserve"> </w:t>
            </w:r>
            <w:r>
              <w:rPr>
                <w:rFonts w:ascii="Arial" w:eastAsia="Arial" w:hAnsi="Arial" w:cs="Arial"/>
                <w:b w:val="0"/>
                <w:i w:val="0"/>
                <w:color w:val="000000"/>
                <w:sz w:val="20"/>
                <w:u w:val="none"/>
              </w:rPr>
              <w:t>43</w:t>
            </w:r>
          </w:p>
        </w:tc>
      </w:tr>
    </w:tbl>
    <w:p>
      <w:pPr>
        <w:keepNext w:val="0"/>
        <w:keepLines w:val="0"/>
        <w:pageBreakBefore w:val="0"/>
        <w:widowControl/>
        <w:numPr>
          <w:ilvl w:val="0"/>
          <w:numId w:val="0"/>
        </w:numPr>
        <w:spacing w:before="0" w:after="0" w:line="288" w:lineRule="auto"/>
        <w:ind w:left="0" w:right="0" w:firstLine="0"/>
        <w:jc w:val="left"/>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0" w:line="288" w:lineRule="auto"/>
        <w:ind w:left="0" w:right="0" w:firstLine="0"/>
        <w:jc w:val="left"/>
        <w:outlineLvl w:val="9"/>
        <w:rPr>
          <w:rFonts w:ascii="Times New Roman" w:eastAsia="Times New Roman" w:hAnsi="Times New Roman" w:cs="Times New Roman"/>
          <w:b w:val="0"/>
          <w:i w:val="0"/>
          <w:color w:val="FF0090"/>
          <w:sz w:val="20"/>
          <w:u w:val="none"/>
        </w:rPr>
        <w:sectPr>
          <w:headerReference w:type="default" r:id="rId177"/>
          <w:footerReference w:type="default" r:id="rId178"/>
          <w:pgSz w:w="12240" w:h="15840"/>
          <w:pgMar w:top="855" w:right="990" w:bottom="855" w:left="990" w:header="270" w:footer="270"/>
          <w:cols w:space="708"/>
        </w:sectPr>
      </w:pPr>
    </w:p>
    <w:p>
      <w:pPr>
        <w:keepNext w:val="0"/>
        <w:keepLines/>
        <w:pageBreakBefore w:val="0"/>
        <w:widowControl w:val="0"/>
        <w:numPr>
          <w:ilvl w:val="0"/>
          <w:numId w:val="0"/>
        </w:numPr>
        <w:spacing w:before="0" w:after="60" w:line="288" w:lineRule="auto"/>
        <w:ind w:left="0" w:right="0" w:firstLine="0"/>
        <w:jc w:val="left"/>
        <w:outlineLvl w:val="9"/>
        <w:rPr>
          <w:rFonts w:ascii="Arial" w:eastAsia="Arial" w:hAnsi="Arial" w:cs="Arial"/>
          <w:b/>
          <w:i w:val="0"/>
          <w:color w:val="4495D1"/>
          <w:sz w:val="24"/>
          <w:u w:val="none"/>
        </w:rPr>
      </w:pPr>
      <w:bookmarkStart w:id="55" w:name="Section58"/>
      <w:bookmarkEnd w:id="55"/>
      <w:r>
        <w:rPr>
          <w:rFonts w:ascii="Arial" w:eastAsia="Arial" w:hAnsi="Arial" w:cs="Arial"/>
          <w:b/>
          <w:i w:val="0"/>
          <w:color w:val="4495D1"/>
          <w:sz w:val="12"/>
          <w:u w:val="none"/>
        </w:rPr>
        <w:t xml:space="preserve"> </w:t>
      </w:r>
      <w:r>
        <w:rPr>
          <w:rFonts w:ascii="Arial" w:eastAsia="Arial" w:hAnsi="Arial" w:cs="Arial"/>
          <w:b/>
          <w:i w:val="0"/>
          <w:color w:val="4495D1"/>
          <w:sz w:val="24"/>
          <w:u w:val="none"/>
        </w:rPr>
        <w:t xml:space="preserve"> </w:t>
      </w:r>
    </w:p>
    <w:p>
      <w:pPr>
        <w:keepNext w:val="0"/>
        <w:keepLines/>
        <w:pageBreakBefore w:val="0"/>
        <w:widowControl w:val="0"/>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DIRECTOR COMPENSATION</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Our Human Resources and Compensation Committee is responsible for periodically reviewing and making recommendations to our Board regarding all matters pertaining to compensation paid to directors for Board, Board leadership and committee service. The Human Resources and Compensation Committee conducts a comprehensive review of non-employee director compensation biennially. Directors who are employees of the Company receive no fees for their services as directors.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In making non-employee director compensation recommendations, the Human Resources and Compensation Committee  takes various factors into consideration, including, but not limited to, the responsibilities of directors and committee members generally, the responsibilities of Board and committee chairs, and the amount of compensation paid to directors by comparable companies. The charter of the Human Resources and Compensation Committee also authorizes the Committee to engage and work with our independent compensation consultant in connection with its review and analysis of director compensation, if and when it deems appropriate. The Board reviews the recommendations of the Human Resources and Compensation Committee and determines the form and amount of director compensation.</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Effective January 1, 2022, we revised the structure and amounts of our director retainer fees and removed meeting fees following a comprehensive review completed by the Human Resources and Compensation Committee during 2021.</w:t>
      </w:r>
      <w:r>
        <w:rPr>
          <w:rFonts w:ascii="Arial" w:eastAsia="Arial" w:hAnsi="Arial" w:cs="Arial"/>
          <w:b w:val="0"/>
          <w:i w:val="0"/>
          <w:sz w:val="20"/>
        </w:rPr>
        <w:t xml:space="preserve"> </w:t>
      </w:r>
      <w:r>
        <w:rPr>
          <w:rFonts w:ascii="Arial" w:eastAsia="Arial" w:hAnsi="Arial" w:cs="Arial"/>
          <w:b w:val="0"/>
          <w:i w:val="0"/>
          <w:sz w:val="20"/>
        </w:rPr>
        <w:t>The amounts remained the same for 2023</w:t>
      </w:r>
      <w:r>
        <w:rPr>
          <w:rFonts w:ascii="Arial" w:eastAsia="Arial" w:hAnsi="Arial" w:cs="Arial"/>
          <w:b w:val="0"/>
          <w:i w:val="0"/>
          <w:sz w:val="20"/>
        </w:rPr>
        <w:t xml:space="preserve">. </w:t>
      </w:r>
      <w:r>
        <w:rPr>
          <w:rFonts w:ascii="Arial" w:eastAsia="Arial" w:hAnsi="Arial" w:cs="Arial"/>
          <w:b w:val="0"/>
          <w:i w:val="0"/>
          <w:sz w:val="20"/>
        </w:rPr>
        <w:t>T</w:t>
      </w:r>
      <w:r>
        <w:rPr>
          <w:rFonts w:ascii="Arial" w:eastAsia="Arial" w:hAnsi="Arial" w:cs="Arial"/>
          <w:b w:val="0"/>
          <w:i w:val="0"/>
          <w:sz w:val="20"/>
        </w:rPr>
        <w:t xml:space="preserve">he </w:t>
      </w:r>
      <w:r>
        <w:rPr>
          <w:rFonts w:ascii="Arial" w:eastAsia="Arial" w:hAnsi="Arial" w:cs="Arial"/>
          <w:b w:val="0"/>
          <w:i w:val="0"/>
          <w:sz w:val="20"/>
        </w:rPr>
        <w:t xml:space="preserve">Human Resources and Compensation Committee </w:t>
      </w:r>
      <w:r>
        <w:rPr>
          <w:rFonts w:ascii="Arial" w:eastAsia="Arial" w:hAnsi="Arial" w:cs="Arial"/>
          <w:b w:val="0"/>
          <w:i w:val="0"/>
          <w:sz w:val="20"/>
        </w:rPr>
        <w:t xml:space="preserve">again undertook a comprehensive </w:t>
      </w:r>
      <w:r>
        <w:rPr>
          <w:rFonts w:ascii="Arial" w:eastAsia="Arial" w:hAnsi="Arial" w:cs="Arial"/>
          <w:b w:val="0"/>
          <w:i w:val="0"/>
          <w:sz w:val="20"/>
        </w:rPr>
        <w:t>review</w:t>
      </w:r>
      <w:r>
        <w:rPr>
          <w:rFonts w:ascii="Arial" w:eastAsia="Arial" w:hAnsi="Arial" w:cs="Arial"/>
          <w:b w:val="0"/>
          <w:i w:val="0"/>
          <w:sz w:val="20"/>
        </w:rPr>
        <w:t xml:space="preserve"> of</w:t>
      </w:r>
      <w:r>
        <w:rPr>
          <w:rFonts w:ascii="Arial" w:eastAsia="Arial" w:hAnsi="Arial" w:cs="Arial"/>
          <w:b w:val="0"/>
          <w:i w:val="0"/>
          <w:sz w:val="20"/>
        </w:rPr>
        <w:t xml:space="preserve"> the </w:t>
      </w:r>
      <w:r>
        <w:rPr>
          <w:rFonts w:ascii="Arial" w:eastAsia="Arial" w:hAnsi="Arial" w:cs="Arial"/>
          <w:b w:val="0"/>
          <w:i w:val="0"/>
          <w:sz w:val="20"/>
        </w:rPr>
        <w:t>d</w:t>
      </w:r>
      <w:r>
        <w:rPr>
          <w:rFonts w:ascii="Arial" w:eastAsia="Arial" w:hAnsi="Arial" w:cs="Arial"/>
          <w:b w:val="0"/>
          <w:i w:val="0"/>
          <w:sz w:val="20"/>
        </w:rPr>
        <w:t>irector compensation program</w:t>
      </w:r>
      <w:r>
        <w:rPr>
          <w:rFonts w:ascii="Arial" w:eastAsia="Arial" w:hAnsi="Arial" w:cs="Arial"/>
          <w:b w:val="0"/>
          <w:i w:val="0"/>
          <w:sz w:val="20"/>
        </w:rPr>
        <w:t xml:space="preserve"> </w:t>
      </w:r>
      <w:r>
        <w:rPr>
          <w:rFonts w:ascii="Arial" w:eastAsia="Arial" w:hAnsi="Arial" w:cs="Arial"/>
          <w:b w:val="0"/>
          <w:i w:val="0"/>
          <w:sz w:val="20"/>
        </w:rPr>
        <w:t xml:space="preserve">in 2023 </w:t>
      </w:r>
      <w:r>
        <w:rPr>
          <w:rFonts w:ascii="Arial" w:eastAsia="Arial" w:hAnsi="Arial" w:cs="Arial"/>
          <w:b w:val="0"/>
          <w:i w:val="0"/>
          <w:sz w:val="20"/>
        </w:rPr>
        <w:t>an</w:t>
      </w:r>
      <w:r>
        <w:rPr>
          <w:rFonts w:ascii="Arial" w:eastAsia="Arial" w:hAnsi="Arial" w:cs="Arial"/>
          <w:b w:val="0"/>
          <w:i w:val="0"/>
          <w:sz w:val="20"/>
        </w:rPr>
        <w:t xml:space="preserve">d </w:t>
      </w:r>
      <w:r>
        <w:rPr>
          <w:rFonts w:ascii="Arial" w:eastAsia="Arial" w:hAnsi="Arial" w:cs="Arial"/>
          <w:b w:val="0"/>
          <w:i w:val="0"/>
          <w:sz w:val="20"/>
        </w:rPr>
        <w:t xml:space="preserve">determined it was appropriate to </w:t>
      </w:r>
      <w:r>
        <w:rPr>
          <w:rFonts w:ascii="Arial" w:eastAsia="Arial" w:hAnsi="Arial" w:cs="Arial"/>
          <w:b w:val="0"/>
          <w:i w:val="0"/>
          <w:sz w:val="20"/>
        </w:rPr>
        <w:t>revise</w:t>
      </w:r>
      <w:r>
        <w:rPr>
          <w:rFonts w:ascii="Arial" w:eastAsia="Arial" w:hAnsi="Arial" w:cs="Arial"/>
          <w:b w:val="0"/>
          <w:i w:val="0"/>
          <w:sz w:val="20"/>
        </w:rPr>
        <w:t xml:space="preserve"> the amount of the</w:t>
      </w:r>
      <w:r>
        <w:rPr>
          <w:rFonts w:ascii="Arial" w:eastAsia="Arial" w:hAnsi="Arial" w:cs="Arial"/>
          <w:b w:val="0"/>
          <w:i w:val="0"/>
          <w:sz w:val="20"/>
        </w:rPr>
        <w:t xml:space="preserve"> annual retainer fee for non-employee directors other than the Chairman of the Board, </w:t>
      </w:r>
      <w:r>
        <w:rPr>
          <w:rFonts w:ascii="Arial" w:eastAsia="Arial" w:hAnsi="Arial" w:cs="Arial"/>
          <w:b w:val="0"/>
          <w:i w:val="0"/>
          <w:sz w:val="20"/>
        </w:rPr>
        <w:t xml:space="preserve">increasing it </w:t>
      </w:r>
      <w:r>
        <w:rPr>
          <w:rFonts w:ascii="Arial" w:eastAsia="Arial" w:hAnsi="Arial" w:cs="Arial"/>
          <w:b w:val="0"/>
          <w:i w:val="0"/>
          <w:sz w:val="20"/>
        </w:rPr>
        <w:t xml:space="preserve">from $200,000 </w:t>
      </w:r>
      <w:r>
        <w:rPr>
          <w:rFonts w:ascii="Arial" w:eastAsia="Arial" w:hAnsi="Arial" w:cs="Arial"/>
          <w:b w:val="0"/>
          <w:i w:val="0"/>
          <w:sz w:val="20"/>
        </w:rPr>
        <w:t>to $250,000</w:t>
      </w:r>
      <w:r>
        <w:rPr>
          <w:rFonts w:ascii="Arial" w:eastAsia="Arial" w:hAnsi="Arial" w:cs="Arial"/>
          <w:b w:val="0"/>
          <w:i w:val="0"/>
          <w:sz w:val="20"/>
        </w:rPr>
        <w:t xml:space="preserve">, </w:t>
      </w:r>
      <w:r>
        <w:rPr>
          <w:rFonts w:ascii="Arial" w:eastAsia="Arial" w:hAnsi="Arial" w:cs="Arial"/>
          <w:b w:val="0"/>
          <w:i w:val="0"/>
          <w:sz w:val="20"/>
        </w:rPr>
        <w:t>payable half in cash and half in restricted ordinary shares subject to a one-year vesting period</w:t>
      </w:r>
      <w:r>
        <w:rPr>
          <w:rFonts w:ascii="Arial" w:eastAsia="Arial" w:hAnsi="Arial" w:cs="Arial"/>
          <w:b w:val="0"/>
          <w:i w:val="0"/>
          <w:sz w:val="20"/>
        </w:rPr>
        <w:t>,</w:t>
      </w:r>
      <w:r>
        <w:rPr>
          <w:rFonts w:ascii="Arial" w:eastAsia="Arial" w:hAnsi="Arial" w:cs="Arial"/>
          <w:b w:val="0"/>
          <w:i w:val="0"/>
          <w:sz w:val="20"/>
        </w:rPr>
        <w:t xml:space="preserve"> effective January</w:t>
      </w:r>
      <w:r>
        <w:rPr>
          <w:rFonts w:ascii="Arial" w:eastAsia="Arial" w:hAnsi="Arial" w:cs="Arial"/>
          <w:b w:val="0"/>
          <w:i w:val="0"/>
          <w:sz w:val="20"/>
        </w:rPr>
        <w:t xml:space="preserve"> 1, 20</w:t>
      </w:r>
      <w:r>
        <w:rPr>
          <w:rFonts w:ascii="Arial" w:eastAsia="Arial" w:hAnsi="Arial" w:cs="Arial"/>
          <w:b w:val="0"/>
          <w:i w:val="0"/>
          <w:sz w:val="20"/>
        </w:rPr>
        <w:t>24.</w:t>
      </w:r>
      <w:r>
        <w:rPr>
          <w:rFonts w:ascii="Arial" w:eastAsia="Arial" w:hAnsi="Arial" w:cs="Arial"/>
          <w:b w:val="0"/>
          <w:i w:val="0"/>
          <w:sz w:val="20"/>
        </w:rPr>
        <w:t xml:space="preserve">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sectPr>
          <w:headerReference w:type="default" r:id="rId179"/>
          <w:footerReference w:type="default" r:id="rId180"/>
          <w:pgSz w:w="12240" w:h="15840"/>
          <w:pgMar w:top="855" w:right="990" w:bottom="855" w:left="990" w:header="270" w:footer="270"/>
          <w:cols w:space="708"/>
        </w:sectPr>
      </w:pPr>
    </w:p>
    <w:p>
      <w:pPr>
        <w:keepNext w:val="0"/>
        <w:keepLines w:val="0"/>
        <w:pageBreakBefore w:val="0"/>
        <w:widowControl/>
        <w:numPr>
          <w:ilvl w:val="0"/>
          <w:numId w:val="0"/>
        </w:numPr>
        <w:spacing w:before="0" w:after="120" w:line="288" w:lineRule="auto"/>
        <w:ind w:left="0" w:right="0" w:firstLine="0"/>
        <w:jc w:val="left"/>
        <w:outlineLvl w:val="9"/>
        <w:rPr>
          <w:rFonts w:ascii="Arial" w:eastAsia="Arial" w:hAnsi="Arial" w:cs="Arial"/>
          <w:b/>
          <w:i w:val="0"/>
          <w:color w:val="171449"/>
          <w:sz w:val="24"/>
          <w:u w:val="none"/>
        </w:rPr>
      </w:pPr>
      <w:bookmarkStart w:id="56" w:name="Section59"/>
      <w:bookmarkEnd w:id="56"/>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Annual Director Compensation Program</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000000"/>
          <w:sz w:val="20"/>
          <w:u w:val="none"/>
          <w:shd w:val="clear" w:color="auto" w:fill="FFFF00"/>
        </w:rPr>
      </w:pPr>
      <w:r>
        <w:rPr>
          <w:rFonts w:ascii="Arial" w:eastAsia="Arial" w:hAnsi="Arial" w:cs="Arial"/>
          <w:b w:val="0"/>
          <w:i w:val="0"/>
          <w:sz w:val="20"/>
        </w:rPr>
        <w:t>I</w:t>
      </w:r>
      <w:r>
        <w:rPr>
          <w:rFonts w:ascii="Arial" w:eastAsia="Arial" w:hAnsi="Arial" w:cs="Arial"/>
          <w:b w:val="0"/>
          <w:i w:val="0"/>
          <w:sz w:val="20"/>
        </w:rPr>
        <w:t xml:space="preserve">n </w:t>
      </w:r>
      <w:r>
        <w:rPr>
          <w:rFonts w:ascii="Arial" w:eastAsia="Arial" w:hAnsi="Arial" w:cs="Arial"/>
          <w:b w:val="0"/>
          <w:i w:val="0"/>
          <w:color w:val="000000"/>
          <w:sz w:val="20"/>
          <w:u w:val="none"/>
        </w:rPr>
        <w:t>2023</w:t>
      </w:r>
      <w:r>
        <w:rPr>
          <w:rFonts w:ascii="Arial" w:eastAsia="Arial" w:hAnsi="Arial" w:cs="Arial"/>
          <w:b w:val="0"/>
          <w:i w:val="0"/>
          <w:sz w:val="20"/>
        </w:rPr>
        <w:t>, our director compensation program included:</w:t>
      </w:r>
    </w:p>
    <w:p>
      <w:pPr>
        <w:keepNext w:val="0"/>
        <w:keepLines w:val="0"/>
        <w:pageBreakBefore w:val="0"/>
        <w:widowControl/>
        <w:numPr>
          <w:ilvl w:val="0"/>
          <w:numId w:val="207"/>
        </w:numPr>
        <w:spacing w:before="0" w:after="120" w:line="300" w:lineRule="auto"/>
        <w:ind w:left="450" w:right="0" w:hanging="270"/>
        <w:jc w:val="both"/>
        <w:outlineLvl w:val="9"/>
        <w:rPr>
          <w:rFonts w:ascii="Arial" w:eastAsia="Arial" w:hAnsi="Arial" w:cs="Arial"/>
          <w:b w:val="0"/>
          <w:i w:val="0"/>
          <w:color w:val="4494D1"/>
          <w:sz w:val="20"/>
          <w:u w:val="none"/>
        </w:rPr>
      </w:pPr>
      <w:r>
        <w:rPr>
          <w:rFonts w:ascii="Arial" w:eastAsia="Arial" w:hAnsi="Arial" w:cs="Arial"/>
          <w:b w:val="0"/>
          <w:i w:val="0"/>
          <w:sz w:val="20"/>
        </w:rPr>
        <w:t>a retainer payable quarterly for non-employee directors, and additional retainers payable quarterly for the Chairman of the Board, committee chairs and committee members; and</w:t>
      </w:r>
    </w:p>
    <w:p>
      <w:pPr>
        <w:keepNext w:val="0"/>
        <w:keepLines w:val="0"/>
        <w:pageBreakBefore w:val="0"/>
        <w:widowControl/>
        <w:numPr>
          <w:ilvl w:val="0"/>
          <w:numId w:val="208"/>
        </w:numPr>
        <w:spacing w:before="0" w:after="120" w:line="300" w:lineRule="auto"/>
        <w:ind w:left="450" w:right="0" w:hanging="270"/>
        <w:jc w:val="both"/>
        <w:outlineLvl w:val="9"/>
        <w:rPr>
          <w:rFonts w:ascii="Arial" w:eastAsia="Arial" w:hAnsi="Arial" w:cs="Arial"/>
          <w:b w:val="0"/>
          <w:i w:val="0"/>
          <w:color w:val="4494D1"/>
          <w:sz w:val="20"/>
          <w:u w:val="none"/>
        </w:rPr>
      </w:pPr>
      <w:r>
        <w:rPr>
          <w:rFonts w:ascii="Arial" w:eastAsia="Arial" w:hAnsi="Arial" w:cs="Arial"/>
          <w:b w:val="0"/>
          <w:i w:val="0"/>
          <w:sz w:val="20"/>
        </w:rPr>
        <w:t>an equity retainer payable annually in the form of restricted ordinary shares with a one-year vesting period for non-employee directors and the Chairman of the Board.</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Our director, Board leadership and committee retainer fees in place as of December 31, </w:t>
      </w:r>
      <w:r>
        <w:rPr>
          <w:rFonts w:ascii="Arial" w:eastAsia="Arial" w:hAnsi="Arial" w:cs="Arial"/>
          <w:b w:val="0"/>
          <w:i w:val="0"/>
          <w:color w:val="000000"/>
          <w:sz w:val="20"/>
          <w:u w:val="none"/>
        </w:rPr>
        <w:t>2023</w:t>
      </w:r>
      <w:r>
        <w:rPr>
          <w:rFonts w:ascii="Arial" w:eastAsia="Arial" w:hAnsi="Arial" w:cs="Arial"/>
          <w:b w:val="0"/>
          <w:i w:val="0"/>
          <w:sz w:val="20"/>
        </w:rPr>
        <w:t xml:space="preserve"> are set forth below. Committee retainer fees differ due to workload and composition of each committee and are periodically evaluated by the Human Resources and Compensation Committee.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7080"/>
        <w:gridCol w:w="3105"/>
      </w:tblGrid>
      <w:tr>
        <w:tblPrEx>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60"/>
          <w:jc w:val="center"/>
        </w:trPr>
        <w:tc>
          <w:tcPr>
            <w:tcW w:w="7080" w:type="dxa"/>
            <w:tcBorders>
              <w:top w:val="nil"/>
              <w:left w:val="nil"/>
              <w:bottom w:val="single" w:sz="12" w:space="0" w:color="4494D1"/>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i w:val="0"/>
                <w:sz w:val="20"/>
              </w:rPr>
            </w:pPr>
            <w:r>
              <w:rPr>
                <w:rFonts w:ascii="Arial" w:eastAsia="Arial" w:hAnsi="Arial" w:cs="Arial"/>
                <w:b/>
                <w:i w:val="0"/>
                <w:sz w:val="20"/>
              </w:rPr>
              <w:t>202</w:t>
            </w:r>
            <w:r>
              <w:rPr>
                <w:rFonts w:ascii="Arial" w:eastAsia="Arial" w:hAnsi="Arial" w:cs="Arial"/>
                <w:b/>
                <w:i w:val="0"/>
                <w:sz w:val="20"/>
              </w:rPr>
              <w:t>3</w:t>
            </w:r>
            <w:r>
              <w:rPr>
                <w:rFonts w:ascii="Arial" w:eastAsia="Arial" w:hAnsi="Arial" w:cs="Arial"/>
                <w:b/>
                <w:i w:val="0"/>
                <w:sz w:val="20"/>
              </w:rPr>
              <w:t xml:space="preserve"> Retainer Fees</w:t>
            </w:r>
            <w:r>
              <w:rPr>
                <w:rFonts w:ascii="Arial" w:eastAsia="Arial" w:hAnsi="Arial" w:cs="Arial"/>
                <w:b/>
                <w:i w:val="0"/>
                <w:sz w:val="20"/>
                <w:vertAlign w:val="superscript"/>
              </w:rPr>
              <w:t>(1)</w:t>
            </w:r>
          </w:p>
        </w:tc>
        <w:tc>
          <w:tcPr>
            <w:tcW w:w="3105" w:type="dxa"/>
            <w:tcBorders>
              <w:top w:val="nil"/>
              <w:left w:val="nil"/>
              <w:bottom w:val="single" w:sz="12" w:space="0" w:color="4494D1"/>
              <w:right w:val="nil"/>
            </w:tcBorders>
            <w:tcMar>
              <w:top w:w="0" w:type="dxa"/>
              <w:left w:w="53" w:type="dxa"/>
              <w:bottom w:w="0" w:type="dxa"/>
              <w:right w:w="53" w:type="dxa"/>
            </w:tcMar>
            <w:vAlign w:val="center"/>
          </w:tcPr>
          <w:p>
            <w:pPr>
              <w:keepNext/>
              <w:pageBreakBefore w:val="0"/>
              <w:spacing w:before="0" w:after="0" w:line="288" w:lineRule="auto"/>
              <w:ind w:left="120"/>
              <w:jc w:val="left"/>
            </w:pPr>
            <w:r>
              <w:rPr>
                <w:rFonts w:ascii="Arial" w:eastAsia="Arial" w:hAnsi="Arial" w:cs="Arial"/>
                <w:b/>
                <w:i w:val="0"/>
                <w:color w:val="000000"/>
                <w:sz w:val="20"/>
                <w:u w:val="none"/>
              </w:rPr>
              <w:t>Annual Amounts Payable</w:t>
            </w:r>
          </w:p>
        </w:tc>
      </w:tr>
      <w:tr>
        <w:tblPrEx>
          <w:tblW w:w="10185" w:type="dxa"/>
          <w:jc w:val="center"/>
          <w:tblLayout w:type="fixed"/>
          <w:tblCellMar>
            <w:left w:w="108" w:type="dxa"/>
            <w:right w:w="108" w:type="dxa"/>
          </w:tblCellMar>
        </w:tblPrEx>
        <w:trPr>
          <w:cantSplit/>
          <w:trHeight w:hRule="exact" w:val="360"/>
          <w:jc w:val="center"/>
        </w:trPr>
        <w:tc>
          <w:tcPr>
            <w:tcW w:w="7080" w:type="dxa"/>
            <w:tcBorders>
              <w:top w:val="single" w:sz="12" w:space="0" w:color="4494D1"/>
              <w:left w:val="nil"/>
              <w:bottom w:val="single" w:sz="4" w:space="0" w:color="6D6D6D"/>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Non-Employee Directors</w:t>
            </w:r>
            <w:r>
              <w:rPr>
                <w:rFonts w:ascii="Arial" w:eastAsia="Arial" w:hAnsi="Arial" w:cs="Arial"/>
                <w:b w:val="0"/>
                <w:i w:val="0"/>
                <w:sz w:val="20"/>
                <w:vertAlign w:val="superscript"/>
              </w:rPr>
              <w:t>(2)</w:t>
            </w:r>
          </w:p>
        </w:tc>
        <w:tc>
          <w:tcPr>
            <w:tcW w:w="3105" w:type="dxa"/>
            <w:tcBorders>
              <w:top w:val="single" w:sz="12" w:space="0" w:color="4494D1"/>
              <w:left w:val="nil"/>
              <w:bottom w:val="single" w:sz="4" w:space="0" w:color="6D6D6D"/>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120"/>
              <w:jc w:val="left"/>
            </w:pPr>
            <w:r>
              <w:rPr>
                <w:rFonts w:ascii="Arial" w:eastAsia="Arial" w:hAnsi="Arial" w:cs="Arial"/>
                <w:b w:val="0"/>
                <w:i w:val="0"/>
                <w:color w:val="000000"/>
                <w:sz w:val="20"/>
                <w:u w:val="none"/>
              </w:rPr>
              <w:t>$200,000</w:t>
            </w:r>
          </w:p>
        </w:tc>
      </w:tr>
      <w:tr>
        <w:tblPrEx>
          <w:tblW w:w="10185" w:type="dxa"/>
          <w:jc w:val="center"/>
          <w:tblLayout w:type="fixed"/>
          <w:tblCellMar>
            <w:left w:w="108" w:type="dxa"/>
            <w:right w:w="108" w:type="dxa"/>
          </w:tblCellMar>
        </w:tblPrEx>
        <w:trPr>
          <w:cantSplit/>
          <w:trHeight w:hRule="exact" w:val="345"/>
          <w:jc w:val="center"/>
        </w:trPr>
        <w:tc>
          <w:tcPr>
            <w:tcW w:w="7080" w:type="dxa"/>
            <w:tcBorders>
              <w:top w:val="single" w:sz="4" w:space="0" w:color="6D6D6D"/>
              <w:left w:val="nil"/>
              <w:bottom w:val="single" w:sz="4" w:space="0" w:color="6D6D6D"/>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Chairman of the Board</w:t>
            </w:r>
            <w:r>
              <w:rPr>
                <w:rFonts w:ascii="Arial" w:eastAsia="Arial" w:hAnsi="Arial" w:cs="Arial"/>
                <w:b w:val="0"/>
                <w:i w:val="0"/>
                <w:sz w:val="20"/>
                <w:vertAlign w:val="superscript"/>
              </w:rPr>
              <w:t>(3)</w:t>
            </w:r>
          </w:p>
        </w:tc>
        <w:tc>
          <w:tcPr>
            <w:tcW w:w="3105" w:type="dxa"/>
            <w:tcBorders>
              <w:top w:val="single" w:sz="4" w:space="0" w:color="6D6D6D"/>
              <w:left w:val="nil"/>
              <w:bottom w:val="single" w:sz="4" w:space="0" w:color="6D6D6D"/>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120"/>
              <w:jc w:val="left"/>
            </w:pPr>
            <w:r>
              <w:rPr>
                <w:rFonts w:ascii="Arial" w:eastAsia="Arial" w:hAnsi="Arial" w:cs="Arial"/>
                <w:b w:val="0"/>
                <w:i w:val="0"/>
                <w:color w:val="000000"/>
                <w:sz w:val="20"/>
                <w:u w:val="none"/>
              </w:rPr>
              <w:t>$350,000</w:t>
            </w:r>
          </w:p>
        </w:tc>
      </w:tr>
      <w:tr>
        <w:tblPrEx>
          <w:tblW w:w="10185" w:type="dxa"/>
          <w:jc w:val="center"/>
          <w:tblLayout w:type="fixed"/>
          <w:tblCellMar>
            <w:left w:w="108" w:type="dxa"/>
            <w:right w:w="108" w:type="dxa"/>
          </w:tblCellMar>
        </w:tblPrEx>
        <w:trPr>
          <w:cantSplit/>
          <w:trHeight w:hRule="exact" w:val="360"/>
          <w:jc w:val="center"/>
        </w:trPr>
        <w:tc>
          <w:tcPr>
            <w:tcW w:w="7080" w:type="dxa"/>
            <w:tcBorders>
              <w:top w:val="single" w:sz="4" w:space="0" w:color="6D6D6D"/>
              <w:left w:val="nil"/>
              <w:bottom w:val="single" w:sz="4" w:space="0" w:color="6D6D6D"/>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20"/>
                <w:u w:val="none"/>
              </w:rPr>
              <w:t>Audit Committee Chair</w:t>
            </w:r>
          </w:p>
        </w:tc>
        <w:tc>
          <w:tcPr>
            <w:tcW w:w="3105" w:type="dxa"/>
            <w:tcBorders>
              <w:top w:val="single" w:sz="4" w:space="0" w:color="6D6D6D"/>
              <w:left w:val="nil"/>
              <w:bottom w:val="single" w:sz="4" w:space="0" w:color="6D6D6D"/>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120"/>
              <w:jc w:val="left"/>
            </w:pPr>
            <w:r>
              <w:rPr>
                <w:rFonts w:ascii="Arial" w:eastAsia="Arial" w:hAnsi="Arial" w:cs="Arial"/>
                <w:b w:val="0"/>
                <w:i w:val="0"/>
                <w:color w:val="000000"/>
                <w:sz w:val="20"/>
                <w:u w:val="none"/>
              </w:rPr>
              <w:t>$35,000</w:t>
            </w:r>
          </w:p>
        </w:tc>
      </w:tr>
      <w:tr>
        <w:tblPrEx>
          <w:tblW w:w="10185" w:type="dxa"/>
          <w:jc w:val="center"/>
          <w:tblLayout w:type="fixed"/>
          <w:tblCellMar>
            <w:left w:w="108" w:type="dxa"/>
            <w:right w:w="108" w:type="dxa"/>
          </w:tblCellMar>
        </w:tblPrEx>
        <w:trPr>
          <w:cantSplit/>
          <w:trHeight w:hRule="exact" w:val="360"/>
          <w:jc w:val="center"/>
        </w:trPr>
        <w:tc>
          <w:tcPr>
            <w:tcW w:w="7080" w:type="dxa"/>
            <w:tcBorders>
              <w:top w:val="single" w:sz="4" w:space="0" w:color="6D6D6D"/>
              <w:left w:val="nil"/>
              <w:bottom w:val="single" w:sz="4" w:space="0" w:color="6D6D6D"/>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20"/>
                <w:u w:val="none"/>
              </w:rPr>
              <w:t>Audit Committee Member</w:t>
            </w:r>
          </w:p>
        </w:tc>
        <w:tc>
          <w:tcPr>
            <w:tcW w:w="3105" w:type="dxa"/>
            <w:tcBorders>
              <w:top w:val="single" w:sz="4" w:space="0" w:color="6D6D6D"/>
              <w:left w:val="nil"/>
              <w:bottom w:val="single" w:sz="4" w:space="0" w:color="6D6D6D"/>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120"/>
              <w:jc w:val="left"/>
            </w:pPr>
            <w:r>
              <w:rPr>
                <w:rFonts w:ascii="Arial" w:eastAsia="Arial" w:hAnsi="Arial" w:cs="Arial"/>
                <w:b w:val="0"/>
                <w:i w:val="0"/>
                <w:color w:val="000000"/>
                <w:sz w:val="20"/>
                <w:u w:val="none"/>
              </w:rPr>
              <w:t>$15,000</w:t>
            </w:r>
          </w:p>
        </w:tc>
      </w:tr>
      <w:tr>
        <w:tblPrEx>
          <w:tblW w:w="10185" w:type="dxa"/>
          <w:jc w:val="center"/>
          <w:tblLayout w:type="fixed"/>
          <w:tblCellMar>
            <w:left w:w="108" w:type="dxa"/>
            <w:right w:w="108" w:type="dxa"/>
          </w:tblCellMar>
        </w:tblPrEx>
        <w:trPr>
          <w:cantSplit/>
          <w:trHeight w:hRule="exact" w:val="360"/>
          <w:jc w:val="center"/>
        </w:trPr>
        <w:tc>
          <w:tcPr>
            <w:tcW w:w="7080" w:type="dxa"/>
            <w:tcBorders>
              <w:top w:val="single" w:sz="4" w:space="0" w:color="6D6D6D"/>
              <w:left w:val="nil"/>
              <w:bottom w:val="single" w:sz="4" w:space="0" w:color="6D6D6D"/>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20"/>
                <w:u w:val="none"/>
              </w:rPr>
              <w:t>Human Resources and Compensation Committee Chair</w:t>
            </w:r>
          </w:p>
        </w:tc>
        <w:tc>
          <w:tcPr>
            <w:tcW w:w="3105" w:type="dxa"/>
            <w:tcBorders>
              <w:top w:val="single" w:sz="4" w:space="0" w:color="6D6D6D"/>
              <w:left w:val="nil"/>
              <w:bottom w:val="single" w:sz="4" w:space="0" w:color="6D6D6D"/>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120"/>
              <w:jc w:val="left"/>
            </w:pPr>
            <w:r>
              <w:rPr>
                <w:rFonts w:ascii="Arial" w:eastAsia="Arial" w:hAnsi="Arial" w:cs="Arial"/>
                <w:b w:val="0"/>
                <w:i w:val="0"/>
                <w:color w:val="000000"/>
                <w:sz w:val="20"/>
                <w:u w:val="none"/>
              </w:rPr>
              <w:t>$25,000</w:t>
            </w:r>
          </w:p>
        </w:tc>
      </w:tr>
      <w:tr>
        <w:tblPrEx>
          <w:tblW w:w="10185" w:type="dxa"/>
          <w:jc w:val="center"/>
          <w:tblLayout w:type="fixed"/>
          <w:tblCellMar>
            <w:left w:w="108" w:type="dxa"/>
            <w:right w:w="108" w:type="dxa"/>
          </w:tblCellMar>
        </w:tblPrEx>
        <w:trPr>
          <w:cantSplit/>
          <w:trHeight w:hRule="exact" w:val="360"/>
          <w:jc w:val="center"/>
        </w:trPr>
        <w:tc>
          <w:tcPr>
            <w:tcW w:w="7080" w:type="dxa"/>
            <w:tcBorders>
              <w:top w:val="single" w:sz="4" w:space="0" w:color="6D6D6D"/>
              <w:left w:val="nil"/>
              <w:bottom w:val="single" w:sz="4" w:space="0" w:color="6D6D6D"/>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20"/>
                <w:u w:val="none"/>
              </w:rPr>
              <w:t>Human Resources and Compensation Committee Member</w:t>
            </w:r>
          </w:p>
        </w:tc>
        <w:tc>
          <w:tcPr>
            <w:tcW w:w="3105" w:type="dxa"/>
            <w:tcBorders>
              <w:top w:val="single" w:sz="4" w:space="0" w:color="6D6D6D"/>
              <w:left w:val="nil"/>
              <w:bottom w:val="single" w:sz="4" w:space="0" w:color="6D6D6D"/>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120"/>
              <w:jc w:val="left"/>
            </w:pPr>
            <w:r>
              <w:rPr>
                <w:rFonts w:ascii="Arial" w:eastAsia="Arial" w:hAnsi="Arial" w:cs="Arial"/>
                <w:b w:val="0"/>
                <w:i w:val="0"/>
                <w:color w:val="000000"/>
                <w:sz w:val="20"/>
                <w:u w:val="none"/>
              </w:rPr>
              <w:t>$10,000</w:t>
            </w:r>
          </w:p>
        </w:tc>
      </w:tr>
      <w:tr>
        <w:tblPrEx>
          <w:tblW w:w="10185" w:type="dxa"/>
          <w:jc w:val="center"/>
          <w:tblLayout w:type="fixed"/>
          <w:tblCellMar>
            <w:left w:w="108" w:type="dxa"/>
            <w:right w:w="108" w:type="dxa"/>
          </w:tblCellMar>
        </w:tblPrEx>
        <w:trPr>
          <w:cantSplit/>
          <w:trHeight w:hRule="exact" w:val="360"/>
          <w:jc w:val="center"/>
        </w:trPr>
        <w:tc>
          <w:tcPr>
            <w:tcW w:w="7080" w:type="dxa"/>
            <w:tcBorders>
              <w:top w:val="single" w:sz="4" w:space="0" w:color="6D6D6D"/>
              <w:left w:val="nil"/>
              <w:bottom w:val="single" w:sz="4" w:space="0" w:color="6D6D6D"/>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20"/>
                <w:u w:val="none"/>
              </w:rPr>
              <w:t>Risk Committee Chair</w:t>
            </w:r>
          </w:p>
        </w:tc>
        <w:tc>
          <w:tcPr>
            <w:tcW w:w="3105" w:type="dxa"/>
            <w:tcBorders>
              <w:top w:val="single" w:sz="4" w:space="0" w:color="6D6D6D"/>
              <w:left w:val="nil"/>
              <w:bottom w:val="single" w:sz="4" w:space="0" w:color="6D6D6D"/>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120"/>
              <w:jc w:val="left"/>
            </w:pPr>
            <w:r>
              <w:rPr>
                <w:rFonts w:ascii="Arial" w:eastAsia="Arial" w:hAnsi="Arial" w:cs="Arial"/>
                <w:b w:val="0"/>
                <w:i w:val="0"/>
                <w:color w:val="000000"/>
                <w:sz w:val="20"/>
                <w:u w:val="none"/>
              </w:rPr>
              <w:t>$20,000</w:t>
            </w:r>
          </w:p>
        </w:tc>
      </w:tr>
      <w:tr>
        <w:tblPrEx>
          <w:tblW w:w="10185" w:type="dxa"/>
          <w:jc w:val="center"/>
          <w:tblLayout w:type="fixed"/>
          <w:tblCellMar>
            <w:left w:w="108" w:type="dxa"/>
            <w:right w:w="108" w:type="dxa"/>
          </w:tblCellMar>
        </w:tblPrEx>
        <w:trPr>
          <w:cantSplit/>
          <w:trHeight w:hRule="exact" w:val="360"/>
          <w:jc w:val="center"/>
        </w:trPr>
        <w:tc>
          <w:tcPr>
            <w:tcW w:w="7080" w:type="dxa"/>
            <w:tcBorders>
              <w:top w:val="single" w:sz="4" w:space="0" w:color="6D6D6D"/>
              <w:left w:val="nil"/>
              <w:bottom w:val="single" w:sz="4" w:space="0" w:color="6D6D6D"/>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20"/>
                <w:u w:val="none"/>
              </w:rPr>
              <w:t>Risk Committee Member</w:t>
            </w:r>
          </w:p>
        </w:tc>
        <w:tc>
          <w:tcPr>
            <w:tcW w:w="3105" w:type="dxa"/>
            <w:tcBorders>
              <w:top w:val="single" w:sz="4" w:space="0" w:color="6D6D6D"/>
              <w:left w:val="nil"/>
              <w:bottom w:val="single" w:sz="4" w:space="0" w:color="6D6D6D"/>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120"/>
              <w:jc w:val="left"/>
            </w:pPr>
            <w:r>
              <w:rPr>
                <w:rFonts w:ascii="Arial" w:eastAsia="Arial" w:hAnsi="Arial" w:cs="Arial"/>
                <w:b w:val="0"/>
                <w:i w:val="0"/>
                <w:color w:val="000000"/>
                <w:sz w:val="20"/>
                <w:u w:val="none"/>
              </w:rPr>
              <w:t>$10,000</w:t>
            </w:r>
          </w:p>
        </w:tc>
      </w:tr>
      <w:tr>
        <w:tblPrEx>
          <w:tblW w:w="10185" w:type="dxa"/>
          <w:jc w:val="center"/>
          <w:tblLayout w:type="fixed"/>
          <w:tblCellMar>
            <w:left w:w="108" w:type="dxa"/>
            <w:right w:w="108" w:type="dxa"/>
          </w:tblCellMar>
        </w:tblPrEx>
        <w:trPr>
          <w:cantSplit/>
          <w:trHeight w:hRule="exact" w:val="360"/>
          <w:jc w:val="center"/>
        </w:trPr>
        <w:tc>
          <w:tcPr>
            <w:tcW w:w="7080" w:type="dxa"/>
            <w:tcBorders>
              <w:top w:val="single" w:sz="4" w:space="0" w:color="6D6D6D"/>
              <w:left w:val="nil"/>
              <w:bottom w:val="single" w:sz="4" w:space="0" w:color="6D6D6D"/>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20"/>
                <w:u w:val="none"/>
              </w:rPr>
              <w:t>Investment Committee Chair</w:t>
            </w:r>
          </w:p>
        </w:tc>
        <w:tc>
          <w:tcPr>
            <w:tcW w:w="3105" w:type="dxa"/>
            <w:tcBorders>
              <w:top w:val="single" w:sz="4" w:space="0" w:color="6D6D6D"/>
              <w:left w:val="nil"/>
              <w:bottom w:val="single" w:sz="4" w:space="0" w:color="6D6D6D"/>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120"/>
              <w:jc w:val="left"/>
            </w:pPr>
            <w:r>
              <w:rPr>
                <w:rFonts w:ascii="Arial" w:eastAsia="Arial" w:hAnsi="Arial" w:cs="Arial"/>
                <w:b w:val="0"/>
                <w:i w:val="0"/>
                <w:color w:val="000000"/>
                <w:sz w:val="20"/>
                <w:u w:val="none"/>
              </w:rPr>
              <w:t>$15,000</w:t>
            </w:r>
          </w:p>
        </w:tc>
      </w:tr>
      <w:tr>
        <w:tblPrEx>
          <w:tblW w:w="10185" w:type="dxa"/>
          <w:jc w:val="center"/>
          <w:tblLayout w:type="fixed"/>
          <w:tblCellMar>
            <w:left w:w="108" w:type="dxa"/>
            <w:right w:w="108" w:type="dxa"/>
          </w:tblCellMar>
        </w:tblPrEx>
        <w:trPr>
          <w:cantSplit/>
          <w:trHeight w:hRule="exact" w:val="360"/>
          <w:jc w:val="center"/>
        </w:trPr>
        <w:tc>
          <w:tcPr>
            <w:tcW w:w="7080" w:type="dxa"/>
            <w:tcBorders>
              <w:top w:val="single" w:sz="4" w:space="0" w:color="6D6D6D"/>
              <w:left w:val="nil"/>
              <w:bottom w:val="single" w:sz="4" w:space="0" w:color="6D6D6D"/>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20"/>
                <w:u w:val="none"/>
              </w:rPr>
              <w:t>Investment Committee Member</w:t>
            </w:r>
          </w:p>
        </w:tc>
        <w:tc>
          <w:tcPr>
            <w:tcW w:w="3105" w:type="dxa"/>
            <w:tcBorders>
              <w:top w:val="single" w:sz="4" w:space="0" w:color="6D6D6D"/>
              <w:left w:val="nil"/>
              <w:bottom w:val="single" w:sz="4" w:space="0" w:color="6D6D6D"/>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120"/>
              <w:jc w:val="left"/>
            </w:pPr>
            <w:r>
              <w:rPr>
                <w:rFonts w:ascii="Arial" w:eastAsia="Arial" w:hAnsi="Arial" w:cs="Arial"/>
                <w:b w:val="0"/>
                <w:i w:val="0"/>
                <w:color w:val="000000"/>
                <w:sz w:val="20"/>
                <w:u w:val="none"/>
              </w:rPr>
              <w:t>$10,000</w:t>
            </w:r>
          </w:p>
        </w:tc>
      </w:tr>
      <w:tr>
        <w:tblPrEx>
          <w:tblW w:w="10185" w:type="dxa"/>
          <w:jc w:val="center"/>
          <w:tblLayout w:type="fixed"/>
          <w:tblCellMar>
            <w:left w:w="108" w:type="dxa"/>
            <w:right w:w="108" w:type="dxa"/>
          </w:tblCellMar>
        </w:tblPrEx>
        <w:trPr>
          <w:cantSplit/>
          <w:trHeight w:hRule="exact" w:val="360"/>
          <w:jc w:val="center"/>
        </w:trPr>
        <w:tc>
          <w:tcPr>
            <w:tcW w:w="7080" w:type="dxa"/>
            <w:tcBorders>
              <w:top w:val="single" w:sz="4" w:space="0" w:color="6D6D6D"/>
              <w:left w:val="nil"/>
              <w:bottom w:val="single" w:sz="4" w:space="0" w:color="6D6D6D"/>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20"/>
                <w:u w:val="none"/>
              </w:rPr>
              <w:t>Nominating and Governance Committee Chair</w:t>
            </w:r>
          </w:p>
        </w:tc>
        <w:tc>
          <w:tcPr>
            <w:tcW w:w="3105" w:type="dxa"/>
            <w:tcBorders>
              <w:top w:val="single" w:sz="4" w:space="0" w:color="6D6D6D"/>
              <w:left w:val="nil"/>
              <w:bottom w:val="single" w:sz="4" w:space="0" w:color="6D6D6D"/>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120"/>
              <w:jc w:val="left"/>
            </w:pPr>
            <w:r>
              <w:rPr>
                <w:rFonts w:ascii="Arial" w:eastAsia="Arial" w:hAnsi="Arial" w:cs="Arial"/>
                <w:b w:val="0"/>
                <w:i w:val="0"/>
                <w:color w:val="000000"/>
                <w:sz w:val="20"/>
                <w:u w:val="none"/>
              </w:rPr>
              <w:t>$15,000</w:t>
            </w:r>
          </w:p>
        </w:tc>
      </w:tr>
      <w:tr>
        <w:tblPrEx>
          <w:tblW w:w="10185" w:type="dxa"/>
          <w:jc w:val="center"/>
          <w:tblLayout w:type="fixed"/>
          <w:tblCellMar>
            <w:left w:w="108" w:type="dxa"/>
            <w:right w:w="108" w:type="dxa"/>
          </w:tblCellMar>
        </w:tblPrEx>
        <w:trPr>
          <w:cantSplit/>
          <w:trHeight w:hRule="exact" w:val="360"/>
          <w:jc w:val="center"/>
        </w:trPr>
        <w:tc>
          <w:tcPr>
            <w:tcW w:w="7080" w:type="dxa"/>
            <w:tcBorders>
              <w:top w:val="single" w:sz="4" w:space="0" w:color="6D6D6D"/>
              <w:left w:val="nil"/>
              <w:bottom w:val="single" w:sz="4" w:space="0" w:color="6D6D6D"/>
              <w:right w:val="nil"/>
            </w:tcBorders>
            <w:shd w:val="clear" w:color="auto" w:fill="FFFFFF"/>
            <w:tcMar>
              <w:top w:w="0" w:type="dxa"/>
              <w:left w:w="53" w:type="dxa"/>
              <w:bottom w:w="0" w:type="dxa"/>
              <w:right w:w="53" w:type="dxa"/>
            </w:tcMar>
            <w:vAlign w:val="center"/>
          </w:tcPr>
          <w:p>
            <w:pPr>
              <w:pageBreakBefore w:val="0"/>
              <w:spacing w:before="0" w:after="0" w:line="288" w:lineRule="auto"/>
              <w:ind w:left="90"/>
              <w:jc w:val="left"/>
            </w:pPr>
            <w:r>
              <w:rPr>
                <w:rFonts w:ascii="Arial" w:eastAsia="Arial" w:hAnsi="Arial" w:cs="Arial"/>
                <w:b w:val="0"/>
                <w:i w:val="0"/>
                <w:color w:val="000000"/>
                <w:sz w:val="20"/>
                <w:u w:val="none"/>
              </w:rPr>
              <w:t>Nominating and Governance Committee Member</w:t>
            </w:r>
          </w:p>
        </w:tc>
        <w:tc>
          <w:tcPr>
            <w:tcW w:w="3105" w:type="dxa"/>
            <w:tcBorders>
              <w:top w:val="single" w:sz="4" w:space="0" w:color="6D6D6D"/>
              <w:left w:val="nil"/>
              <w:bottom w:val="single" w:sz="4" w:space="0" w:color="6D6D6D"/>
              <w:right w:val="nil"/>
            </w:tcBorders>
            <w:shd w:val="clear" w:color="auto" w:fill="FFFFFF"/>
            <w:tcMar>
              <w:top w:w="0" w:type="dxa"/>
              <w:left w:w="53" w:type="dxa"/>
              <w:bottom w:w="0" w:type="dxa"/>
              <w:right w:w="53" w:type="dxa"/>
            </w:tcMar>
            <w:vAlign w:val="center"/>
          </w:tcPr>
          <w:p>
            <w:pPr>
              <w:pageBreakBefore w:val="0"/>
              <w:spacing w:before="0" w:after="0" w:line="288" w:lineRule="auto"/>
              <w:ind w:left="120"/>
              <w:jc w:val="left"/>
            </w:pPr>
            <w:r>
              <w:rPr>
                <w:rFonts w:ascii="Arial" w:eastAsia="Arial" w:hAnsi="Arial" w:cs="Arial"/>
                <w:b w:val="0"/>
                <w:i w:val="0"/>
                <w:color w:val="000000"/>
                <w:sz w:val="20"/>
                <w:u w:val="none"/>
              </w:rPr>
              <w:t>$8,000</w:t>
            </w:r>
          </w:p>
        </w:tc>
      </w:tr>
    </w:tbl>
    <w:p>
      <w:pPr>
        <w:keepNext w:val="0"/>
        <w:keepLines w:val="0"/>
        <w:pageBreakBefore w:val="0"/>
        <w:widowControl/>
        <w:numPr>
          <w:ilvl w:val="0"/>
          <w:numId w:val="209"/>
        </w:numPr>
        <w:spacing w:before="12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Committee Member retainer fees are not payable to the chair of such committee or any member who is an employee of the Company.</w:t>
      </w:r>
    </w:p>
    <w:p>
      <w:pPr>
        <w:keepNext w:val="0"/>
        <w:keepLines w:val="0"/>
        <w:pageBreakBefore w:val="0"/>
        <w:widowControl/>
        <w:numPr>
          <w:ilvl w:val="0"/>
          <w:numId w:val="209"/>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The Non-Employee Director retainer fee is payable to all non-employee directors other than the Chairman of the Board. The Non-Employee Director retainer fee is payable half in cash and half in restricted ordinary shares subject to a one-year vesting period.</w:t>
      </w:r>
    </w:p>
    <w:p>
      <w:pPr>
        <w:keepNext w:val="0"/>
        <w:keepLines w:val="0"/>
        <w:pageBreakBefore w:val="0"/>
        <w:widowControl/>
        <w:numPr>
          <w:ilvl w:val="0"/>
          <w:numId w:val="209"/>
        </w:numPr>
        <w:spacing w:before="0" w:after="10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The Chairman of the Board retainer fee is</w:t>
      </w:r>
      <w:r>
        <w:rPr>
          <w:rFonts w:ascii="Arial" w:eastAsia="Arial" w:hAnsi="Arial" w:cs="Arial"/>
          <w:b w:val="0"/>
          <w:i w:val="0"/>
          <w:color w:val="969698"/>
          <w:sz w:val="16"/>
          <w:u w:val="none"/>
        </w:rPr>
        <w:t xml:space="preserve"> payable half in cash and half in restricted ordinary shares subject to a one-year vesting period.</w:t>
      </w:r>
    </w:p>
    <w:p>
      <w:pPr>
        <w:keepNext w:val="0"/>
        <w:keepLines w:val="0"/>
        <w:pageBreakBefore w:val="0"/>
        <w:widowControl/>
        <w:numPr>
          <w:ilvl w:val="0"/>
          <w:numId w:val="209"/>
        </w:numPr>
        <w:spacing w:before="0" w:after="60" w:line="288" w:lineRule="auto"/>
        <w:ind w:left="360" w:right="0" w:hanging="360"/>
        <w:jc w:val="both"/>
        <w:outlineLvl w:val="9"/>
        <w:rPr>
          <w:rFonts w:ascii="Arial" w:eastAsia="Arial" w:hAnsi="Arial" w:cs="Arial"/>
          <w:b w:val="0"/>
          <w:i w:val="0"/>
          <w:color w:val="969698"/>
          <w:sz w:val="16"/>
          <w:u w:val="none"/>
        </w:rPr>
        <w:sectPr>
          <w:headerReference w:type="default" r:id="rId181"/>
          <w:footerReference w:type="default" r:id="rId182"/>
          <w:pgSz w:w="12240" w:h="15840"/>
          <w:pgMar w:top="855" w:right="990" w:bottom="855" w:left="990" w:header="27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57" w:name="Section60"/>
      <w:bookmarkEnd w:id="57"/>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Deferred Compensation Plan</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 Amended and Restated Enstar Group Limited Deferred Compensation and Ordinary Share Plan for Non-Employee Directors (the "Deferred Compensation Plan") provides each non-employee director with the opportunity to elect (i) to defer receipt of all or a portion of his or her cash or equity compensation until retirement or termination and (ii) to receive all or a portion of his or her cash compensation for services as a director in the form of our ordinary shares instead of cash.</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Non-employee directors electing to defer compensation have such compensation converted into share units payable as a lump sum distribution after the director leaves the Board. The lump sum share unit distribution is made in the form of ordinary shares, with fractional shares paid in cash. Non-employee directors electing to receive compensation in the form of ordinary shares receive whole ordinary shares (with any fractional shares payable in cash) as of the date compensation would otherwise have been payable. A director's participation in the Deferred Compensation Plan does not affect the vesting schedule of the equity portion of the retainer fees described above.</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183"/>
          <w:footerReference w:type="default" r:id="rId184"/>
          <w:type w:val="continuous"/>
          <w:pgSz w:w="12240" w:h="15840"/>
          <w:pgMar w:top="855" w:right="990" w:bottom="855" w:left="990" w:header="27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58" w:name="Section61"/>
      <w:bookmarkEnd w:id="58"/>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Director Compensation Table</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following table summarizes the </w:t>
      </w:r>
      <w:r>
        <w:rPr>
          <w:rFonts w:ascii="Arial" w:eastAsia="Arial" w:hAnsi="Arial" w:cs="Arial"/>
          <w:b w:val="0"/>
          <w:i w:val="0"/>
          <w:color w:val="000000"/>
          <w:sz w:val="20"/>
          <w:u w:val="none"/>
        </w:rPr>
        <w:t>2023</w:t>
      </w:r>
      <w:r>
        <w:rPr>
          <w:rFonts w:ascii="Arial" w:eastAsia="Arial" w:hAnsi="Arial" w:cs="Arial"/>
          <w:b w:val="0"/>
          <w:i w:val="0"/>
          <w:sz w:val="20"/>
        </w:rPr>
        <w:t xml:space="preserve"> compensation of our non-employee directors who served during the year.</w:t>
      </w:r>
    </w:p>
    <w:tbl>
      <w:tblPr>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935"/>
        <w:gridCol w:w="1635"/>
        <w:gridCol w:w="195"/>
        <w:gridCol w:w="1635"/>
        <w:gridCol w:w="195"/>
        <w:gridCol w:w="1635"/>
      </w:tblGrid>
      <w:tr>
        <w:tblPrEx>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45"/>
          <w:jc w:val="center"/>
        </w:trPr>
        <w:tc>
          <w:tcPr>
            <w:tcW w:w="493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88" w:lineRule="auto"/>
              <w:ind w:left="90" w:right="0" w:firstLine="0"/>
              <w:jc w:val="left"/>
              <w:outlineLvl w:val="9"/>
              <w:rPr>
                <w:rFonts w:ascii="Arial" w:eastAsia="Arial" w:hAnsi="Arial" w:cs="Arial"/>
                <w:b/>
                <w:i w:val="0"/>
                <w:sz w:val="20"/>
              </w:rPr>
            </w:pPr>
            <w:r>
              <w:rPr>
                <w:rFonts w:ascii="Arial" w:eastAsia="Arial" w:hAnsi="Arial" w:cs="Arial"/>
                <w:b/>
                <w:i w:val="0"/>
                <w:sz w:val="20"/>
              </w:rPr>
              <w:t>Name</w:t>
            </w:r>
            <w:r>
              <w:rPr>
                <w:rFonts w:ascii="Arial" w:eastAsia="Arial" w:hAnsi="Arial" w:cs="Arial"/>
                <w:b/>
                <w:i w:val="0"/>
                <w:sz w:val="20"/>
                <w:vertAlign w:val="superscript"/>
              </w:rPr>
              <w:t>(1)</w:t>
            </w:r>
          </w:p>
          <w:p>
            <w:pPr>
              <w:pageBreakBefore w:val="0"/>
              <w:numPr>
                <w:ilvl w:val="0"/>
                <w:numId w:val="0"/>
              </w:numPr>
              <w:spacing w:before="0" w:after="30" w:line="288" w:lineRule="auto"/>
              <w:ind w:left="90" w:right="0" w:firstLine="0"/>
              <w:jc w:val="left"/>
              <w:outlineLvl w:val="9"/>
              <w:rPr>
                <w:rFonts w:ascii="Arial" w:eastAsia="Arial" w:hAnsi="Arial" w:cs="Arial"/>
                <w:b/>
                <w:i w:val="0"/>
                <w:sz w:val="6"/>
              </w:rPr>
            </w:pPr>
            <w:r>
              <w:rPr>
                <w:rFonts w:ascii="Arial" w:eastAsia="Arial" w:hAnsi="Arial" w:cs="Arial"/>
                <w:b/>
                <w:i w:val="0"/>
                <w:sz w:val="6"/>
              </w:rPr>
              <w:t xml:space="preserve"> </w:t>
            </w:r>
          </w:p>
        </w:tc>
        <w:tc>
          <w:tcPr>
            <w:tcW w:w="163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88" w:lineRule="auto"/>
              <w:ind w:left="0" w:right="0" w:firstLine="0"/>
              <w:jc w:val="left"/>
              <w:outlineLvl w:val="9"/>
              <w:rPr>
                <w:rFonts w:ascii="Arial" w:eastAsia="Arial" w:hAnsi="Arial" w:cs="Arial"/>
                <w:b/>
                <w:i w:val="0"/>
                <w:sz w:val="20"/>
              </w:rPr>
            </w:pPr>
            <w:r>
              <w:rPr>
                <w:rFonts w:ascii="Arial" w:eastAsia="Arial" w:hAnsi="Arial" w:cs="Arial"/>
                <w:b/>
                <w:i w:val="0"/>
                <w:sz w:val="20"/>
              </w:rPr>
              <w:t>Fees Earned or</w:t>
            </w:r>
          </w:p>
          <w:p>
            <w:pPr>
              <w:pageBreakBefore w:val="0"/>
              <w:numPr>
                <w:ilvl w:val="0"/>
                <w:numId w:val="0"/>
              </w:numPr>
              <w:spacing w:before="0" w:after="0" w:line="288" w:lineRule="auto"/>
              <w:ind w:left="0" w:right="0" w:firstLine="0"/>
              <w:jc w:val="left"/>
              <w:outlineLvl w:val="9"/>
              <w:rPr>
                <w:rFonts w:ascii="Arial" w:eastAsia="Arial" w:hAnsi="Arial" w:cs="Arial"/>
                <w:b/>
                <w:i w:val="0"/>
                <w:sz w:val="20"/>
              </w:rPr>
            </w:pPr>
            <w:r>
              <w:rPr>
                <w:rFonts w:ascii="Arial" w:eastAsia="Arial" w:hAnsi="Arial" w:cs="Arial"/>
                <w:b/>
                <w:i w:val="0"/>
                <w:sz w:val="20"/>
              </w:rPr>
              <w:t>Paid in Cash</w:t>
            </w:r>
            <w:r>
              <w:rPr>
                <w:rFonts w:ascii="Arial" w:eastAsia="Arial" w:hAnsi="Arial" w:cs="Arial"/>
                <w:b/>
                <w:i w:val="0"/>
                <w:sz w:val="20"/>
                <w:vertAlign w:val="superscript"/>
              </w:rPr>
              <w:t>(</w:t>
            </w:r>
            <w:r>
              <w:rPr>
                <w:rFonts w:ascii="Arial" w:eastAsia="Arial" w:hAnsi="Arial" w:cs="Arial"/>
                <w:b/>
                <w:i w:val="0"/>
                <w:sz w:val="20"/>
                <w:vertAlign w:val="superscript"/>
              </w:rPr>
              <w:t>2</w:t>
            </w:r>
            <w:r>
              <w:rPr>
                <w:rFonts w:ascii="Arial" w:eastAsia="Arial" w:hAnsi="Arial" w:cs="Arial"/>
                <w:b/>
                <w:i w:val="0"/>
                <w:sz w:val="20"/>
                <w:vertAlign w:val="superscript"/>
              </w:rPr>
              <w:t>)(</w:t>
            </w:r>
            <w:r>
              <w:rPr>
                <w:rFonts w:ascii="Arial" w:eastAsia="Arial" w:hAnsi="Arial" w:cs="Arial"/>
                <w:b/>
                <w:i w:val="0"/>
                <w:sz w:val="20"/>
                <w:vertAlign w:val="superscript"/>
              </w:rPr>
              <w:t>3</w:t>
            </w:r>
            <w:r>
              <w:rPr>
                <w:rFonts w:ascii="Arial" w:eastAsia="Arial" w:hAnsi="Arial" w:cs="Arial"/>
                <w:b/>
                <w:i w:val="0"/>
                <w:sz w:val="20"/>
                <w:vertAlign w:val="superscript"/>
              </w:rPr>
              <w:t>)</w:t>
            </w:r>
          </w:p>
          <w:p>
            <w:pPr>
              <w:pageBreakBefore w:val="0"/>
              <w:numPr>
                <w:ilvl w:val="0"/>
                <w:numId w:val="0"/>
              </w:numPr>
              <w:spacing w:before="0" w:after="30" w:line="288" w:lineRule="auto"/>
              <w:ind w:left="0" w:right="0" w:firstLine="0"/>
              <w:jc w:val="left"/>
              <w:outlineLvl w:val="9"/>
              <w:rPr>
                <w:rFonts w:ascii="Arial" w:eastAsia="Arial" w:hAnsi="Arial" w:cs="Arial"/>
                <w:b/>
                <w:i w:val="0"/>
                <w:sz w:val="6"/>
                <w:vertAlign w:val="superscript"/>
              </w:rPr>
            </w:pPr>
            <w:r>
              <w:rPr>
                <w:rFonts w:ascii="Arial" w:eastAsia="Arial" w:hAnsi="Arial" w:cs="Arial"/>
                <w:b/>
                <w:i w:val="0"/>
                <w:sz w:val="6"/>
                <w:vertAlign w:val="superscript"/>
              </w:rPr>
              <w:t xml:space="preserve"> </w:t>
            </w:r>
          </w:p>
        </w:tc>
        <w:tc>
          <w:tcPr>
            <w:tcW w:w="195" w:type="dxa"/>
            <w:tcBorders>
              <w:top w:val="nil"/>
              <w:left w:val="nil"/>
              <w:bottom w:val="single" w:sz="12" w:space="0" w:color="4494D1"/>
              <w:right w:val="nil"/>
            </w:tcBorders>
            <w:tcMar>
              <w:top w:w="0" w:type="dxa"/>
              <w:left w:w="0" w:type="dxa"/>
              <w:bottom w:w="0" w:type="dxa"/>
              <w:right w:w="0" w:type="dxa"/>
            </w:tcMar>
            <w:vAlign w:val="bottom"/>
          </w:tcPr>
          <w:p>
            <w:pPr>
              <w:keepNext/>
              <w:pageBreakBefore w:val="0"/>
              <w:spacing w:before="0" w:after="0"/>
            </w:pPr>
          </w:p>
        </w:tc>
        <w:tc>
          <w:tcPr>
            <w:tcW w:w="163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88" w:lineRule="auto"/>
              <w:ind w:left="0" w:right="0" w:firstLine="0"/>
              <w:jc w:val="left"/>
              <w:outlineLvl w:val="9"/>
              <w:rPr>
                <w:rFonts w:ascii="Arial" w:eastAsia="Arial" w:hAnsi="Arial" w:cs="Arial"/>
                <w:b/>
                <w:i w:val="0"/>
                <w:sz w:val="20"/>
              </w:rPr>
            </w:pPr>
            <w:r>
              <w:rPr>
                <w:rFonts w:ascii="Arial" w:eastAsia="Arial" w:hAnsi="Arial" w:cs="Arial"/>
                <w:b/>
                <w:i w:val="0"/>
                <w:sz w:val="20"/>
              </w:rPr>
              <w:t>Stock Awards</w:t>
            </w:r>
            <w:r>
              <w:rPr>
                <w:rFonts w:ascii="Arial" w:eastAsia="Arial" w:hAnsi="Arial" w:cs="Arial"/>
                <w:b/>
                <w:i w:val="0"/>
                <w:sz w:val="20"/>
                <w:vertAlign w:val="superscript"/>
              </w:rPr>
              <w:t>(</w:t>
            </w:r>
            <w:r>
              <w:rPr>
                <w:rFonts w:ascii="Arial" w:eastAsia="Arial" w:hAnsi="Arial" w:cs="Arial"/>
                <w:b/>
                <w:i w:val="0"/>
                <w:sz w:val="20"/>
                <w:vertAlign w:val="superscript"/>
              </w:rPr>
              <w:t>4</w:t>
            </w:r>
            <w:r>
              <w:rPr>
                <w:rFonts w:ascii="Arial" w:eastAsia="Arial" w:hAnsi="Arial" w:cs="Arial"/>
                <w:b/>
                <w:i w:val="0"/>
                <w:sz w:val="20"/>
                <w:vertAlign w:val="superscript"/>
              </w:rPr>
              <w:t>)</w:t>
            </w:r>
          </w:p>
          <w:p>
            <w:pPr>
              <w:pageBreakBefore w:val="0"/>
              <w:numPr>
                <w:ilvl w:val="0"/>
                <w:numId w:val="0"/>
              </w:numPr>
              <w:spacing w:before="0" w:after="30" w:line="288" w:lineRule="auto"/>
              <w:ind w:left="0" w:right="0" w:firstLine="0"/>
              <w:jc w:val="left"/>
              <w:outlineLvl w:val="9"/>
              <w:rPr>
                <w:rFonts w:ascii="Arial" w:eastAsia="Arial" w:hAnsi="Arial" w:cs="Arial"/>
                <w:b/>
                <w:i w:val="0"/>
                <w:sz w:val="6"/>
                <w:vertAlign w:val="superscript"/>
              </w:rPr>
            </w:pPr>
            <w:r>
              <w:rPr>
                <w:rFonts w:ascii="Arial" w:eastAsia="Arial" w:hAnsi="Arial" w:cs="Arial"/>
                <w:b/>
                <w:i w:val="0"/>
                <w:sz w:val="6"/>
                <w:vertAlign w:val="superscript"/>
              </w:rPr>
              <w:t xml:space="preserve"> </w:t>
            </w:r>
          </w:p>
        </w:tc>
        <w:tc>
          <w:tcPr>
            <w:tcW w:w="195" w:type="dxa"/>
            <w:tcBorders>
              <w:top w:val="nil"/>
              <w:left w:val="nil"/>
              <w:bottom w:val="single" w:sz="12" w:space="0" w:color="4494D1"/>
              <w:right w:val="nil"/>
            </w:tcBorders>
            <w:tcMar>
              <w:top w:w="0" w:type="dxa"/>
              <w:left w:w="0" w:type="dxa"/>
              <w:bottom w:w="0" w:type="dxa"/>
              <w:right w:w="0" w:type="dxa"/>
            </w:tcMar>
            <w:vAlign w:val="bottom"/>
          </w:tcPr>
          <w:p>
            <w:pPr>
              <w:keepNext/>
              <w:pageBreakBefore w:val="0"/>
              <w:spacing w:before="0" w:after="0"/>
            </w:pPr>
          </w:p>
        </w:tc>
        <w:tc>
          <w:tcPr>
            <w:tcW w:w="163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88" w:lineRule="auto"/>
              <w:ind w:left="0" w:right="0" w:firstLine="0"/>
              <w:jc w:val="left"/>
              <w:outlineLvl w:val="9"/>
              <w:rPr>
                <w:rFonts w:ascii="Arial" w:eastAsia="Arial" w:hAnsi="Arial" w:cs="Arial"/>
                <w:b/>
                <w:i w:val="0"/>
                <w:sz w:val="20"/>
              </w:rPr>
            </w:pPr>
            <w:r>
              <w:rPr>
                <w:rFonts w:ascii="Arial" w:eastAsia="Arial" w:hAnsi="Arial" w:cs="Arial"/>
                <w:b/>
                <w:i w:val="0"/>
                <w:sz w:val="20"/>
              </w:rPr>
              <w:t>Total</w:t>
            </w:r>
          </w:p>
          <w:p>
            <w:pPr>
              <w:pageBreakBefore w:val="0"/>
              <w:numPr>
                <w:ilvl w:val="0"/>
                <w:numId w:val="0"/>
              </w:numPr>
              <w:spacing w:before="0" w:after="30" w:line="288" w:lineRule="auto"/>
              <w:ind w:left="0" w:right="0" w:firstLine="0"/>
              <w:jc w:val="left"/>
              <w:outlineLvl w:val="9"/>
              <w:rPr>
                <w:rFonts w:ascii="Arial" w:eastAsia="Arial" w:hAnsi="Arial" w:cs="Arial"/>
                <w:b/>
                <w:i w:val="0"/>
                <w:sz w:val="6"/>
              </w:rPr>
            </w:pPr>
            <w:r>
              <w:rPr>
                <w:rFonts w:ascii="Arial" w:eastAsia="Arial" w:hAnsi="Arial" w:cs="Arial"/>
                <w:b/>
                <w:i w:val="0"/>
                <w:sz w:val="6"/>
              </w:rPr>
              <w:t xml:space="preserve"> </w:t>
            </w:r>
          </w:p>
        </w:tc>
      </w:tr>
      <w:tr>
        <w:tblPrEx>
          <w:tblW w:w="10230" w:type="dxa"/>
          <w:jc w:val="center"/>
          <w:tblLayout w:type="fixed"/>
          <w:tblCellMar>
            <w:left w:w="108" w:type="dxa"/>
            <w:right w:w="108" w:type="dxa"/>
          </w:tblCellMar>
        </w:tblPrEx>
        <w:trPr>
          <w:cantSplit/>
          <w:trHeight w:hRule="exact" w:val="345"/>
          <w:jc w:val="center"/>
        </w:trPr>
        <w:tc>
          <w:tcPr>
            <w:tcW w:w="4935" w:type="dxa"/>
            <w:tcBorders>
              <w:top w:val="single" w:sz="12" w:space="0" w:color="4494D1"/>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20"/>
                <w:u w:val="none"/>
              </w:rPr>
              <w:t>Robert J. Campbell</w:t>
            </w:r>
          </w:p>
        </w:tc>
        <w:tc>
          <w:tcPr>
            <w:tcW w:w="1635" w:type="dxa"/>
            <w:tcBorders>
              <w:top w:val="single" w:sz="12" w:space="0" w:color="4494D1"/>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$243,000</w:t>
            </w:r>
          </w:p>
        </w:tc>
        <w:tc>
          <w:tcPr>
            <w:tcW w:w="195" w:type="dxa"/>
            <w:tcBorders>
              <w:top w:val="single" w:sz="12" w:space="0" w:color="4494D1"/>
              <w:left w:val="nil"/>
              <w:bottom w:val="single" w:sz="4" w:space="0" w:color="929292"/>
              <w:right w:val="nil"/>
            </w:tcBorders>
            <w:shd w:val="clear" w:color="auto" w:fill="FFFFFF"/>
            <w:tcMar>
              <w:top w:w="0" w:type="dxa"/>
              <w:left w:w="0" w:type="dxa"/>
              <w:bottom w:w="0" w:type="dxa"/>
              <w:right w:w="0" w:type="dxa"/>
            </w:tcMar>
            <w:vAlign w:val="bottom"/>
          </w:tcPr>
          <w:p>
            <w:pPr>
              <w:keepNext/>
              <w:pageBreakBefore w:val="0"/>
              <w:spacing w:before="0" w:after="0"/>
            </w:pPr>
          </w:p>
        </w:tc>
        <w:tc>
          <w:tcPr>
            <w:tcW w:w="1635" w:type="dxa"/>
            <w:tcBorders>
              <w:top w:val="single" w:sz="12" w:space="0" w:color="4494D1"/>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$175,000</w:t>
            </w:r>
          </w:p>
        </w:tc>
        <w:tc>
          <w:tcPr>
            <w:tcW w:w="195" w:type="dxa"/>
            <w:tcBorders>
              <w:top w:val="single" w:sz="12" w:space="0" w:color="4494D1"/>
              <w:left w:val="nil"/>
              <w:bottom w:val="single" w:sz="4" w:space="0" w:color="929292"/>
              <w:right w:val="nil"/>
            </w:tcBorders>
            <w:shd w:val="clear" w:color="auto" w:fill="FFFFFF"/>
            <w:tcMar>
              <w:top w:w="0" w:type="dxa"/>
              <w:left w:w="0" w:type="dxa"/>
              <w:bottom w:w="0" w:type="dxa"/>
              <w:right w:w="0" w:type="dxa"/>
            </w:tcMar>
            <w:vAlign w:val="bottom"/>
          </w:tcPr>
          <w:p>
            <w:pPr>
              <w:keepNext/>
              <w:pageBreakBefore w:val="0"/>
              <w:spacing w:before="0" w:after="0"/>
            </w:pPr>
          </w:p>
        </w:tc>
        <w:tc>
          <w:tcPr>
            <w:tcW w:w="1635" w:type="dxa"/>
            <w:tcBorders>
              <w:top w:val="single" w:sz="12" w:space="0" w:color="4494D1"/>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$418,000</w:t>
            </w:r>
          </w:p>
        </w:tc>
      </w:tr>
      <w:tr>
        <w:tblPrEx>
          <w:tblW w:w="10230" w:type="dxa"/>
          <w:jc w:val="center"/>
          <w:tblLayout w:type="fixed"/>
          <w:tblCellMar>
            <w:left w:w="108" w:type="dxa"/>
            <w:right w:w="108" w:type="dxa"/>
          </w:tblCellMar>
        </w:tblPrEx>
        <w:trPr>
          <w:cantSplit/>
          <w:trHeight w:hRule="exact" w:val="345"/>
          <w:jc w:val="center"/>
        </w:trPr>
        <w:tc>
          <w:tcPr>
            <w:tcW w:w="49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color w:val="000000"/>
                <w:sz w:val="20"/>
                <w:u w:val="none"/>
              </w:rPr>
              <w:t>B. Frederick Becker</w:t>
            </w: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$155,000</w:t>
            </w:r>
          </w:p>
        </w:tc>
        <w:tc>
          <w:tcPr>
            <w:tcW w:w="195" w:type="dxa"/>
            <w:tcBorders>
              <w:top w:val="single" w:sz="4" w:space="0" w:color="929292"/>
              <w:left w:val="nil"/>
              <w:bottom w:val="single" w:sz="4" w:space="0" w:color="929292"/>
              <w:right w:val="nil"/>
            </w:tcBorders>
            <w:shd w:val="clear" w:color="auto" w:fill="FFFFFF"/>
            <w:tcMar>
              <w:top w:w="0" w:type="dxa"/>
              <w:left w:w="0" w:type="dxa"/>
              <w:bottom w:w="0" w:type="dxa"/>
              <w:right w:w="0" w:type="dxa"/>
            </w:tcMar>
            <w:vAlign w:val="bottom"/>
          </w:tcPr>
          <w:p>
            <w:pPr>
              <w:keepNext/>
              <w:pageBreakBefore w:val="0"/>
              <w:spacing w:before="0" w:after="0"/>
            </w:pP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$100,000</w:t>
            </w:r>
          </w:p>
        </w:tc>
        <w:tc>
          <w:tcPr>
            <w:tcW w:w="195" w:type="dxa"/>
            <w:tcBorders>
              <w:top w:val="single" w:sz="4" w:space="0" w:color="929292"/>
              <w:left w:val="nil"/>
              <w:bottom w:val="single" w:sz="4" w:space="0" w:color="929292"/>
              <w:right w:val="nil"/>
            </w:tcBorders>
            <w:shd w:val="clear" w:color="auto" w:fill="FFFFFF"/>
            <w:tcMar>
              <w:top w:w="0" w:type="dxa"/>
              <w:left w:w="0" w:type="dxa"/>
              <w:bottom w:w="0" w:type="dxa"/>
              <w:right w:w="0" w:type="dxa"/>
            </w:tcMar>
            <w:vAlign w:val="bottom"/>
          </w:tcPr>
          <w:p>
            <w:pPr>
              <w:keepNext/>
              <w:pageBreakBefore w:val="0"/>
              <w:spacing w:before="0" w:after="0"/>
            </w:pP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$255,000</w:t>
            </w:r>
          </w:p>
        </w:tc>
      </w:tr>
      <w:tr>
        <w:tblPrEx>
          <w:tblW w:w="10230" w:type="dxa"/>
          <w:jc w:val="center"/>
          <w:tblLayout w:type="fixed"/>
          <w:tblCellMar>
            <w:left w:w="108" w:type="dxa"/>
            <w:right w:w="108" w:type="dxa"/>
          </w:tblCellMar>
        </w:tblPrEx>
        <w:trPr>
          <w:cantSplit/>
          <w:trHeight w:hRule="exact" w:val="345"/>
          <w:jc w:val="center"/>
        </w:trPr>
        <w:tc>
          <w:tcPr>
            <w:tcW w:w="49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color w:val="000000"/>
                <w:sz w:val="20"/>
                <w:u w:val="none"/>
              </w:rPr>
              <w:t>Sharon A. Beesley</w:t>
            </w: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$108,000</w:t>
            </w:r>
          </w:p>
        </w:tc>
        <w:tc>
          <w:tcPr>
            <w:tcW w:w="195" w:type="dxa"/>
            <w:tcBorders>
              <w:top w:val="single" w:sz="4" w:space="0" w:color="929292"/>
              <w:left w:val="nil"/>
              <w:bottom w:val="single" w:sz="4" w:space="0" w:color="929292"/>
              <w:right w:val="nil"/>
            </w:tcBorders>
            <w:shd w:val="clear" w:color="auto" w:fill="FFFFFF"/>
            <w:tcMar>
              <w:top w:w="0" w:type="dxa"/>
              <w:left w:w="0" w:type="dxa"/>
              <w:bottom w:w="0" w:type="dxa"/>
              <w:right w:w="0" w:type="dxa"/>
            </w:tcMar>
            <w:vAlign w:val="bottom"/>
          </w:tcPr>
          <w:p>
            <w:pPr>
              <w:keepNext/>
              <w:pageBreakBefore w:val="0"/>
              <w:spacing w:before="0" w:after="0"/>
            </w:pP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$100,000</w:t>
            </w:r>
          </w:p>
        </w:tc>
        <w:tc>
          <w:tcPr>
            <w:tcW w:w="195" w:type="dxa"/>
            <w:tcBorders>
              <w:top w:val="single" w:sz="4" w:space="0" w:color="929292"/>
              <w:left w:val="nil"/>
              <w:bottom w:val="single" w:sz="4" w:space="0" w:color="929292"/>
              <w:right w:val="nil"/>
            </w:tcBorders>
            <w:shd w:val="clear" w:color="auto" w:fill="FFFFFF"/>
            <w:tcMar>
              <w:top w:w="0" w:type="dxa"/>
              <w:left w:w="0" w:type="dxa"/>
              <w:bottom w:w="0" w:type="dxa"/>
              <w:right w:w="0" w:type="dxa"/>
            </w:tcMar>
            <w:vAlign w:val="bottom"/>
          </w:tcPr>
          <w:p>
            <w:pPr>
              <w:keepNext/>
              <w:pageBreakBefore w:val="0"/>
              <w:spacing w:before="0" w:after="0"/>
            </w:pP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$208,000</w:t>
            </w:r>
          </w:p>
        </w:tc>
      </w:tr>
      <w:tr>
        <w:tblPrEx>
          <w:tblW w:w="10230" w:type="dxa"/>
          <w:jc w:val="center"/>
          <w:tblLayout w:type="fixed"/>
          <w:tblCellMar>
            <w:left w:w="108" w:type="dxa"/>
            <w:right w:w="108" w:type="dxa"/>
          </w:tblCellMar>
        </w:tblPrEx>
        <w:trPr>
          <w:cantSplit/>
          <w:trHeight w:hRule="exact" w:val="345"/>
          <w:jc w:val="center"/>
        </w:trPr>
        <w:tc>
          <w:tcPr>
            <w:tcW w:w="49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color w:val="000000"/>
                <w:sz w:val="20"/>
                <w:u w:val="none"/>
              </w:rPr>
              <w:t>James D. Carey</w:t>
            </w:r>
            <w:r>
              <w:rPr>
                <w:rFonts w:ascii="Arial" w:eastAsia="Arial" w:hAnsi="Arial" w:cs="Arial"/>
                <w:b w:val="0"/>
                <w:i w:val="0"/>
                <w:sz w:val="20"/>
                <w:vertAlign w:val="superscript"/>
              </w:rPr>
              <w:t>(</w:t>
            </w:r>
            <w:r>
              <w:rPr>
                <w:rFonts w:ascii="Arial" w:eastAsia="Arial" w:hAnsi="Arial" w:cs="Arial"/>
                <w:b w:val="0"/>
                <w:i w:val="0"/>
                <w:sz w:val="20"/>
                <w:vertAlign w:val="superscript"/>
              </w:rPr>
              <w:t>5</w:t>
            </w:r>
            <w:r>
              <w:rPr>
                <w:rFonts w:ascii="Arial" w:eastAsia="Arial" w:hAnsi="Arial" w:cs="Arial"/>
                <w:b w:val="0"/>
                <w:i w:val="0"/>
                <w:sz w:val="20"/>
                <w:vertAlign w:val="superscript"/>
              </w:rPr>
              <w:t>)</w:t>
            </w: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$110,000</w:t>
            </w:r>
          </w:p>
        </w:tc>
        <w:tc>
          <w:tcPr>
            <w:tcW w:w="195" w:type="dxa"/>
            <w:tcBorders>
              <w:top w:val="single" w:sz="4" w:space="0" w:color="929292"/>
              <w:left w:val="nil"/>
              <w:bottom w:val="single" w:sz="4" w:space="0" w:color="929292"/>
              <w:right w:val="nil"/>
            </w:tcBorders>
            <w:shd w:val="clear" w:color="auto" w:fill="FFFFFF"/>
            <w:tcMar>
              <w:top w:w="0" w:type="dxa"/>
              <w:left w:w="0" w:type="dxa"/>
              <w:bottom w:w="0" w:type="dxa"/>
              <w:right w:w="0" w:type="dxa"/>
            </w:tcMar>
            <w:vAlign w:val="bottom"/>
          </w:tcPr>
          <w:p>
            <w:pPr>
              <w:keepNext/>
              <w:pageBreakBefore w:val="0"/>
              <w:spacing w:before="0" w:after="0"/>
            </w:pP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$100,000</w:t>
            </w:r>
          </w:p>
        </w:tc>
        <w:tc>
          <w:tcPr>
            <w:tcW w:w="195" w:type="dxa"/>
            <w:tcBorders>
              <w:top w:val="single" w:sz="4" w:space="0" w:color="929292"/>
              <w:left w:val="nil"/>
              <w:bottom w:val="single" w:sz="4" w:space="0" w:color="929292"/>
              <w:right w:val="nil"/>
            </w:tcBorders>
            <w:shd w:val="clear" w:color="auto" w:fill="FFFFFF"/>
            <w:tcMar>
              <w:top w:w="0" w:type="dxa"/>
              <w:left w:w="0" w:type="dxa"/>
              <w:bottom w:w="0" w:type="dxa"/>
              <w:right w:w="0" w:type="dxa"/>
            </w:tcMar>
            <w:vAlign w:val="bottom"/>
          </w:tcPr>
          <w:p>
            <w:pPr>
              <w:keepNext/>
              <w:pageBreakBefore w:val="0"/>
              <w:spacing w:before="0" w:after="0"/>
            </w:pP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$210,000</w:t>
            </w:r>
          </w:p>
        </w:tc>
      </w:tr>
      <w:tr>
        <w:tblPrEx>
          <w:tblW w:w="10230" w:type="dxa"/>
          <w:jc w:val="center"/>
          <w:tblLayout w:type="fixed"/>
          <w:tblCellMar>
            <w:left w:w="108" w:type="dxa"/>
            <w:right w:w="108" w:type="dxa"/>
          </w:tblCellMar>
        </w:tblPrEx>
        <w:trPr>
          <w:cantSplit/>
          <w:trHeight w:hRule="exact" w:val="345"/>
          <w:jc w:val="center"/>
        </w:trPr>
        <w:tc>
          <w:tcPr>
            <w:tcW w:w="49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color w:val="000000"/>
                <w:sz w:val="20"/>
                <w:u w:val="none"/>
              </w:rPr>
              <w:t>Susan L. Cross</w:t>
            </w: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$125,000</w:t>
            </w:r>
          </w:p>
        </w:tc>
        <w:tc>
          <w:tcPr>
            <w:tcW w:w="195" w:type="dxa"/>
            <w:tcBorders>
              <w:top w:val="single" w:sz="4" w:space="0" w:color="929292"/>
              <w:left w:val="nil"/>
              <w:bottom w:val="single" w:sz="4" w:space="0" w:color="929292"/>
              <w:right w:val="nil"/>
            </w:tcBorders>
            <w:shd w:val="clear" w:color="auto" w:fill="FFFFFF"/>
            <w:tcMar>
              <w:top w:w="0" w:type="dxa"/>
              <w:left w:w="0" w:type="dxa"/>
              <w:bottom w:w="0" w:type="dxa"/>
              <w:right w:w="0" w:type="dxa"/>
            </w:tcMar>
            <w:vAlign w:val="bottom"/>
          </w:tcPr>
          <w:p>
            <w:pPr>
              <w:keepNext/>
              <w:pageBreakBefore w:val="0"/>
              <w:spacing w:before="0" w:after="0"/>
            </w:pP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$100,000</w:t>
            </w:r>
          </w:p>
        </w:tc>
        <w:tc>
          <w:tcPr>
            <w:tcW w:w="195" w:type="dxa"/>
            <w:tcBorders>
              <w:top w:val="single" w:sz="4" w:space="0" w:color="929292"/>
              <w:left w:val="nil"/>
              <w:bottom w:val="single" w:sz="4" w:space="0" w:color="929292"/>
              <w:right w:val="nil"/>
            </w:tcBorders>
            <w:shd w:val="clear" w:color="auto" w:fill="FFFFFF"/>
            <w:tcMar>
              <w:top w:w="0" w:type="dxa"/>
              <w:left w:w="0" w:type="dxa"/>
              <w:bottom w:w="0" w:type="dxa"/>
              <w:right w:w="0" w:type="dxa"/>
            </w:tcMar>
            <w:vAlign w:val="bottom"/>
          </w:tcPr>
          <w:p>
            <w:pPr>
              <w:keepNext/>
              <w:pageBreakBefore w:val="0"/>
              <w:spacing w:before="0" w:after="0"/>
            </w:pP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$225,000</w:t>
            </w:r>
          </w:p>
        </w:tc>
      </w:tr>
      <w:tr>
        <w:tblPrEx>
          <w:tblW w:w="10230" w:type="dxa"/>
          <w:jc w:val="center"/>
          <w:tblLayout w:type="fixed"/>
          <w:tblCellMar>
            <w:left w:w="108" w:type="dxa"/>
            <w:right w:w="108" w:type="dxa"/>
          </w:tblCellMar>
        </w:tblPrEx>
        <w:trPr>
          <w:cantSplit/>
          <w:trHeight w:hRule="exact" w:val="345"/>
          <w:jc w:val="center"/>
        </w:trPr>
        <w:tc>
          <w:tcPr>
            <w:tcW w:w="49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color w:val="000000"/>
                <w:sz w:val="20"/>
                <w:u w:val="none"/>
              </w:rPr>
              <w:t>Hans-Peter Gerhardt</w:t>
            </w: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$120,000</w:t>
            </w:r>
          </w:p>
        </w:tc>
        <w:tc>
          <w:tcPr>
            <w:tcW w:w="195" w:type="dxa"/>
            <w:tcBorders>
              <w:top w:val="single" w:sz="4" w:space="0" w:color="929292"/>
              <w:left w:val="nil"/>
              <w:bottom w:val="single" w:sz="4" w:space="0" w:color="929292"/>
              <w:right w:val="nil"/>
            </w:tcBorders>
            <w:shd w:val="clear" w:color="auto" w:fill="FFFFFF"/>
            <w:tcMar>
              <w:top w:w="0" w:type="dxa"/>
              <w:left w:w="0" w:type="dxa"/>
              <w:bottom w:w="0" w:type="dxa"/>
              <w:right w:w="0" w:type="dxa"/>
            </w:tcMar>
            <w:vAlign w:val="bottom"/>
          </w:tcPr>
          <w:p>
            <w:pPr>
              <w:keepNext/>
              <w:pageBreakBefore w:val="0"/>
              <w:spacing w:before="0" w:after="0"/>
            </w:pP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$100,000</w:t>
            </w:r>
          </w:p>
        </w:tc>
        <w:tc>
          <w:tcPr>
            <w:tcW w:w="195" w:type="dxa"/>
            <w:tcBorders>
              <w:top w:val="single" w:sz="4" w:space="0" w:color="929292"/>
              <w:left w:val="nil"/>
              <w:bottom w:val="single" w:sz="4" w:space="0" w:color="929292"/>
              <w:right w:val="nil"/>
            </w:tcBorders>
            <w:shd w:val="clear" w:color="auto" w:fill="FFFFFF"/>
            <w:tcMar>
              <w:top w:w="0" w:type="dxa"/>
              <w:left w:w="0" w:type="dxa"/>
              <w:bottom w:w="0" w:type="dxa"/>
              <w:right w:w="0" w:type="dxa"/>
            </w:tcMar>
            <w:vAlign w:val="bottom"/>
          </w:tcPr>
          <w:p>
            <w:pPr>
              <w:keepNext/>
              <w:pageBreakBefore w:val="0"/>
              <w:spacing w:before="0" w:after="0"/>
            </w:pP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$220,000</w:t>
            </w:r>
          </w:p>
        </w:tc>
      </w:tr>
      <w:tr>
        <w:tblPrEx>
          <w:tblW w:w="10230" w:type="dxa"/>
          <w:jc w:val="center"/>
          <w:tblLayout w:type="fixed"/>
          <w:tblCellMar>
            <w:left w:w="108" w:type="dxa"/>
            <w:right w:w="108" w:type="dxa"/>
          </w:tblCellMar>
        </w:tblPrEx>
        <w:trPr>
          <w:cantSplit/>
          <w:trHeight w:hRule="exact" w:val="345"/>
          <w:jc w:val="center"/>
        </w:trPr>
        <w:tc>
          <w:tcPr>
            <w:tcW w:w="49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color w:val="000000"/>
                <w:sz w:val="20"/>
                <w:u w:val="none"/>
              </w:rPr>
              <w:t>Myron Hendry</w:t>
            </w: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$118,000</w:t>
            </w:r>
          </w:p>
        </w:tc>
        <w:tc>
          <w:tcPr>
            <w:tcW w:w="195" w:type="dxa"/>
            <w:tcBorders>
              <w:top w:val="single" w:sz="4" w:space="0" w:color="929292"/>
              <w:left w:val="nil"/>
              <w:bottom w:val="single" w:sz="4" w:space="0" w:color="929292"/>
              <w:right w:val="nil"/>
            </w:tcBorders>
            <w:shd w:val="clear" w:color="auto" w:fill="FFFFFF"/>
            <w:tcMar>
              <w:top w:w="0" w:type="dxa"/>
              <w:left w:w="0" w:type="dxa"/>
              <w:bottom w:w="0" w:type="dxa"/>
              <w:right w:w="0" w:type="dxa"/>
            </w:tcMar>
            <w:vAlign w:val="bottom"/>
          </w:tcPr>
          <w:p>
            <w:pPr>
              <w:keepNext/>
              <w:pageBreakBefore w:val="0"/>
              <w:spacing w:before="0" w:after="0"/>
            </w:pP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$100,000</w:t>
            </w:r>
          </w:p>
        </w:tc>
        <w:tc>
          <w:tcPr>
            <w:tcW w:w="195" w:type="dxa"/>
            <w:tcBorders>
              <w:top w:val="single" w:sz="4" w:space="0" w:color="929292"/>
              <w:left w:val="nil"/>
              <w:bottom w:val="single" w:sz="4" w:space="0" w:color="929292"/>
              <w:right w:val="nil"/>
            </w:tcBorders>
            <w:shd w:val="clear" w:color="auto" w:fill="FFFFFF"/>
            <w:tcMar>
              <w:top w:w="0" w:type="dxa"/>
              <w:left w:w="0" w:type="dxa"/>
              <w:bottom w:w="0" w:type="dxa"/>
              <w:right w:w="0" w:type="dxa"/>
            </w:tcMar>
            <w:vAlign w:val="bottom"/>
          </w:tcPr>
          <w:p>
            <w:pPr>
              <w:keepNext/>
              <w:pageBreakBefore w:val="0"/>
              <w:spacing w:before="0" w:after="0"/>
            </w:pP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$218,000</w:t>
            </w:r>
          </w:p>
        </w:tc>
      </w:tr>
      <w:tr>
        <w:tblPrEx>
          <w:tblW w:w="10230" w:type="dxa"/>
          <w:jc w:val="center"/>
          <w:tblLayout w:type="fixed"/>
          <w:tblCellMar>
            <w:left w:w="108" w:type="dxa"/>
            <w:right w:w="108" w:type="dxa"/>
          </w:tblCellMar>
        </w:tblPrEx>
        <w:trPr>
          <w:cantSplit/>
          <w:trHeight w:hRule="exact" w:val="345"/>
          <w:jc w:val="center"/>
        </w:trPr>
        <w:tc>
          <w:tcPr>
            <w:tcW w:w="49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color w:val="000000"/>
                <w:sz w:val="20"/>
                <w:u w:val="none"/>
              </w:rPr>
              <w:t>Paul J. O’Shea</w:t>
            </w:r>
            <w:r>
              <w:rPr>
                <w:rFonts w:ascii="Arial" w:eastAsia="Arial" w:hAnsi="Arial" w:cs="Arial"/>
                <w:b w:val="0"/>
                <w:i w:val="0"/>
                <w:sz w:val="20"/>
                <w:vertAlign w:val="superscript"/>
              </w:rPr>
              <w:t>(6)</w:t>
            </w: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$75,000</w:t>
            </w:r>
          </w:p>
        </w:tc>
        <w:tc>
          <w:tcPr>
            <w:tcW w:w="195" w:type="dxa"/>
            <w:tcBorders>
              <w:top w:val="single" w:sz="4" w:space="0" w:color="929292"/>
              <w:left w:val="nil"/>
              <w:bottom w:val="single" w:sz="4" w:space="0" w:color="929292"/>
              <w:right w:val="nil"/>
            </w:tcBorders>
            <w:shd w:val="clear" w:color="auto" w:fill="FFFFFF"/>
            <w:tcMar>
              <w:top w:w="0" w:type="dxa"/>
              <w:left w:w="0" w:type="dxa"/>
              <w:bottom w:w="0" w:type="dxa"/>
              <w:right w:w="0" w:type="dxa"/>
            </w:tcMar>
            <w:vAlign w:val="bottom"/>
          </w:tcPr>
          <w:p>
            <w:pPr>
              <w:keepNext/>
              <w:pageBreakBefore w:val="0"/>
              <w:spacing w:before="0" w:after="0"/>
            </w:pP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$108,333</w:t>
            </w:r>
          </w:p>
        </w:tc>
        <w:tc>
          <w:tcPr>
            <w:tcW w:w="195" w:type="dxa"/>
            <w:tcBorders>
              <w:top w:val="single" w:sz="4" w:space="0" w:color="929292"/>
              <w:left w:val="nil"/>
              <w:bottom w:val="single" w:sz="4" w:space="0" w:color="929292"/>
              <w:right w:val="nil"/>
            </w:tcBorders>
            <w:shd w:val="clear" w:color="auto" w:fill="FFFFFF"/>
            <w:tcMar>
              <w:top w:w="0" w:type="dxa"/>
              <w:left w:w="0" w:type="dxa"/>
              <w:bottom w:w="0" w:type="dxa"/>
              <w:right w:w="0" w:type="dxa"/>
            </w:tcMar>
            <w:vAlign w:val="bottom"/>
          </w:tcPr>
          <w:p>
            <w:pPr>
              <w:keepNext/>
              <w:pageBreakBefore w:val="0"/>
              <w:spacing w:before="0" w:after="0"/>
            </w:pP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$183,333</w:t>
            </w:r>
          </w:p>
        </w:tc>
      </w:tr>
      <w:tr>
        <w:tblPrEx>
          <w:tblW w:w="10230" w:type="dxa"/>
          <w:jc w:val="center"/>
          <w:tblLayout w:type="fixed"/>
          <w:tblCellMar>
            <w:left w:w="108" w:type="dxa"/>
            <w:right w:w="108" w:type="dxa"/>
          </w:tblCellMar>
        </w:tblPrEx>
        <w:trPr>
          <w:cantSplit/>
          <w:trHeight w:hRule="exact" w:val="345"/>
          <w:jc w:val="center"/>
        </w:trPr>
        <w:tc>
          <w:tcPr>
            <w:tcW w:w="49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color w:val="000000"/>
                <w:sz w:val="20"/>
                <w:u w:val="none"/>
              </w:rPr>
              <w:t>Hitesh Patel</w:t>
            </w: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$143,000</w:t>
            </w:r>
          </w:p>
        </w:tc>
        <w:tc>
          <w:tcPr>
            <w:tcW w:w="195" w:type="dxa"/>
            <w:tcBorders>
              <w:top w:val="single" w:sz="4" w:space="0" w:color="929292"/>
              <w:left w:val="nil"/>
              <w:bottom w:val="single" w:sz="4" w:space="0" w:color="929292"/>
              <w:right w:val="nil"/>
            </w:tcBorders>
            <w:shd w:val="clear" w:color="auto" w:fill="FFFFFF"/>
            <w:tcMar>
              <w:top w:w="0" w:type="dxa"/>
              <w:left w:w="0" w:type="dxa"/>
              <w:bottom w:w="0" w:type="dxa"/>
              <w:right w:w="0" w:type="dxa"/>
            </w:tcMar>
            <w:vAlign w:val="bottom"/>
          </w:tcPr>
          <w:p>
            <w:pPr>
              <w:keepNext/>
              <w:pageBreakBefore w:val="0"/>
              <w:spacing w:before="0" w:after="0"/>
            </w:pP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$100,000</w:t>
            </w:r>
          </w:p>
        </w:tc>
        <w:tc>
          <w:tcPr>
            <w:tcW w:w="195" w:type="dxa"/>
            <w:tcBorders>
              <w:top w:val="single" w:sz="4" w:space="0" w:color="929292"/>
              <w:left w:val="nil"/>
              <w:bottom w:val="single" w:sz="4" w:space="0" w:color="929292"/>
              <w:right w:val="nil"/>
            </w:tcBorders>
            <w:shd w:val="clear" w:color="auto" w:fill="FFFFFF"/>
            <w:tcMar>
              <w:top w:w="0" w:type="dxa"/>
              <w:left w:w="0" w:type="dxa"/>
              <w:bottom w:w="0" w:type="dxa"/>
              <w:right w:w="0" w:type="dxa"/>
            </w:tcMar>
            <w:vAlign w:val="bottom"/>
          </w:tcPr>
          <w:p>
            <w:pPr>
              <w:keepNext/>
              <w:pageBreakBefore w:val="0"/>
              <w:spacing w:before="0" w:after="0"/>
            </w:pP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$243,000</w:t>
            </w:r>
          </w:p>
        </w:tc>
      </w:tr>
      <w:tr>
        <w:tblPrEx>
          <w:tblW w:w="10230" w:type="dxa"/>
          <w:jc w:val="center"/>
          <w:tblLayout w:type="fixed"/>
          <w:tblCellMar>
            <w:left w:w="108" w:type="dxa"/>
            <w:right w:w="108" w:type="dxa"/>
          </w:tblCellMar>
        </w:tblPrEx>
        <w:trPr>
          <w:cantSplit/>
          <w:trHeight w:hRule="exact" w:val="345"/>
          <w:jc w:val="center"/>
        </w:trPr>
        <w:tc>
          <w:tcPr>
            <w:tcW w:w="49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color w:val="000000"/>
                <w:sz w:val="20"/>
                <w:u w:val="none"/>
              </w:rPr>
              <w:t>Poul A. Winslow</w:t>
            </w: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pageBreakBefore w:val="0"/>
              <w:spacing w:before="0" w:after="0" w:line="288" w:lineRule="auto"/>
              <w:jc w:val="left"/>
            </w:pPr>
            <w:r>
              <w:rPr>
                <w:rFonts w:ascii="Arial" w:eastAsia="Arial" w:hAnsi="Arial" w:cs="Arial"/>
                <w:b w:val="0"/>
                <w:i w:val="0"/>
                <w:color w:val="000000"/>
                <w:sz w:val="20"/>
                <w:u w:val="none"/>
              </w:rPr>
              <w:t>$120,000</w:t>
            </w:r>
          </w:p>
        </w:tc>
        <w:tc>
          <w:tcPr>
            <w:tcW w:w="195" w:type="dxa"/>
            <w:tcBorders>
              <w:top w:val="single" w:sz="4" w:space="0" w:color="929292"/>
              <w:left w:val="nil"/>
              <w:bottom w:val="single" w:sz="4" w:space="0" w:color="929292"/>
              <w:right w:val="nil"/>
            </w:tcBorders>
            <w:shd w:val="clear" w:color="auto" w:fill="FFFFFF"/>
            <w:tcMar>
              <w:top w:w="0" w:type="dxa"/>
              <w:left w:w="0" w:type="dxa"/>
              <w:bottom w:w="0" w:type="dxa"/>
              <w:right w:w="0" w:type="dxa"/>
            </w:tcMar>
            <w:vAlign w:val="bottom"/>
          </w:tcPr>
          <w:p>
            <w:pPr>
              <w:pageBreakBefore w:val="0"/>
              <w:spacing w:before="0" w:after="0"/>
            </w:pP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pageBreakBefore w:val="0"/>
              <w:spacing w:before="0" w:after="0" w:line="288" w:lineRule="auto"/>
              <w:jc w:val="left"/>
            </w:pPr>
            <w:r>
              <w:rPr>
                <w:rFonts w:ascii="Arial" w:eastAsia="Arial" w:hAnsi="Arial" w:cs="Arial"/>
                <w:b w:val="0"/>
                <w:i w:val="0"/>
                <w:color w:val="000000"/>
                <w:sz w:val="20"/>
                <w:u w:val="none"/>
              </w:rPr>
              <w:t>$100,000</w:t>
            </w:r>
          </w:p>
        </w:tc>
        <w:tc>
          <w:tcPr>
            <w:tcW w:w="195" w:type="dxa"/>
            <w:tcBorders>
              <w:top w:val="single" w:sz="4" w:space="0" w:color="929292"/>
              <w:left w:val="nil"/>
              <w:bottom w:val="single" w:sz="4" w:space="0" w:color="929292"/>
              <w:right w:val="nil"/>
            </w:tcBorders>
            <w:shd w:val="clear" w:color="auto" w:fill="FFFFFF"/>
            <w:tcMar>
              <w:top w:w="0" w:type="dxa"/>
              <w:left w:w="0" w:type="dxa"/>
              <w:bottom w:w="0" w:type="dxa"/>
              <w:right w:w="0" w:type="dxa"/>
            </w:tcMar>
            <w:vAlign w:val="bottom"/>
          </w:tcPr>
          <w:p>
            <w:pPr>
              <w:pageBreakBefore w:val="0"/>
              <w:spacing w:before="0" w:after="0"/>
            </w:pPr>
          </w:p>
        </w:tc>
        <w:tc>
          <w:tcPr>
            <w:tcW w:w="163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pageBreakBefore w:val="0"/>
              <w:spacing w:before="0" w:after="0" w:line="288" w:lineRule="auto"/>
              <w:jc w:val="left"/>
            </w:pPr>
            <w:r>
              <w:rPr>
                <w:rFonts w:ascii="Arial" w:eastAsia="Arial" w:hAnsi="Arial" w:cs="Arial"/>
                <w:b w:val="0"/>
                <w:i w:val="0"/>
                <w:color w:val="000000"/>
                <w:sz w:val="20"/>
                <w:u w:val="none"/>
              </w:rPr>
              <w:t>$220,000</w:t>
            </w:r>
          </w:p>
        </w:tc>
      </w:tr>
    </w:tbl>
    <w:p>
      <w:pPr>
        <w:keepNext w:val="0"/>
        <w:keepLines w:val="0"/>
        <w:pageBreakBefore w:val="0"/>
        <w:widowControl/>
        <w:numPr>
          <w:ilvl w:val="0"/>
          <w:numId w:val="210"/>
        </w:numPr>
        <w:spacing w:before="12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Dominic Silvester and Orla Gregory are not included in this table as they are employees of </w:t>
      </w:r>
      <w:r>
        <w:rPr>
          <w:rFonts w:ascii="Arial" w:eastAsia="Arial" w:hAnsi="Arial" w:cs="Arial"/>
          <w:b w:val="0"/>
          <w:i w:val="0"/>
          <w:color w:val="969698"/>
          <w:sz w:val="16"/>
          <w:u w:val="none"/>
        </w:rPr>
        <w:t>the Company</w:t>
      </w:r>
      <w:r>
        <w:rPr>
          <w:rFonts w:ascii="Arial" w:eastAsia="Arial" w:hAnsi="Arial" w:cs="Arial"/>
          <w:b w:val="0"/>
          <w:i w:val="0"/>
          <w:color w:val="969698"/>
          <w:sz w:val="16"/>
          <w:u w:val="none"/>
        </w:rPr>
        <w:t xml:space="preserve"> and thus received no compensation for their services as directors. For information on the compensation received by Mr. Silvester or Ms. Gregory as </w:t>
      </w:r>
      <w:r>
        <w:rPr>
          <w:rFonts w:ascii="Arial" w:eastAsia="Arial" w:hAnsi="Arial" w:cs="Arial"/>
          <w:b w:val="0"/>
          <w:i w:val="0"/>
          <w:color w:val="969698"/>
          <w:sz w:val="16"/>
          <w:u w:val="none"/>
        </w:rPr>
        <w:t>employees of the Company, see "</w:t>
      </w:r>
      <w:r>
        <w:rPr>
          <w:rFonts w:ascii="Arial" w:eastAsia="Arial" w:hAnsi="Arial" w:cs="Arial"/>
          <w:b w:val="0"/>
          <w:i w:val="0"/>
          <w:color w:val="969698"/>
          <w:sz w:val="16"/>
          <w:u w:val="none"/>
        </w:rPr>
        <w:t>E</w:t>
      </w:r>
      <w:r>
        <w:rPr>
          <w:rFonts w:ascii="Arial" w:eastAsia="Arial" w:hAnsi="Arial" w:cs="Arial"/>
          <w:b w:val="0"/>
          <w:i w:val="0"/>
          <w:color w:val="969698"/>
          <w:sz w:val="16"/>
          <w:u w:val="none"/>
        </w:rPr>
        <w:t>xecutive Compensation."</w:t>
      </w:r>
    </w:p>
    <w:p>
      <w:pPr>
        <w:keepNext w:val="0"/>
        <w:keepLines w:val="0"/>
        <w:pageBreakBefore w:val="0"/>
        <w:widowControl/>
        <w:numPr>
          <w:ilvl w:val="0"/>
          <w:numId w:val="210"/>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Director fees listed in this column may be deferred by directors under the Deferred Compensation Plan.</w:t>
      </w:r>
    </w:p>
    <w:p>
      <w:pPr>
        <w:keepNext w:val="0"/>
        <w:keepLines w:val="0"/>
        <w:pageBreakBefore w:val="0"/>
        <w:widowControl/>
        <w:numPr>
          <w:ilvl w:val="0"/>
          <w:numId w:val="210"/>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Share units (rounded to the nearest whole share) acquired in lieu of the cash compensation portion of director retainer fees for </w:t>
      </w:r>
      <w:r>
        <w:rPr>
          <w:rFonts w:ascii="Arial" w:eastAsia="Arial" w:hAnsi="Arial" w:cs="Arial"/>
          <w:b w:val="0"/>
          <w:i w:val="0"/>
          <w:color w:val="969698"/>
          <w:sz w:val="16"/>
          <w:u w:val="none"/>
        </w:rPr>
        <w:t>2023</w:t>
      </w:r>
      <w:r>
        <w:rPr>
          <w:rFonts w:ascii="Arial" w:eastAsia="Arial" w:hAnsi="Arial" w:cs="Arial"/>
          <w:b w:val="0"/>
          <w:i w:val="0"/>
          <w:color w:val="969698"/>
          <w:sz w:val="16"/>
          <w:u w:val="none"/>
        </w:rPr>
        <w:t xml:space="preserve"> under the Deferred Compensation Plan were as follows: (a) Mr. Campbell — </w:t>
      </w:r>
      <w:r>
        <w:rPr>
          <w:rFonts w:ascii="Arial" w:eastAsia="Arial" w:hAnsi="Arial" w:cs="Arial"/>
          <w:b w:val="0"/>
          <w:i w:val="0"/>
          <w:color w:val="969698"/>
          <w:sz w:val="16"/>
          <w:u w:val="none"/>
        </w:rPr>
        <w:t>1,023</w:t>
      </w:r>
      <w:r>
        <w:rPr>
          <w:rFonts w:ascii="Arial" w:eastAsia="Arial" w:hAnsi="Arial" w:cs="Arial"/>
          <w:b w:val="0"/>
          <w:i w:val="0"/>
          <w:color w:val="969698"/>
          <w:sz w:val="16"/>
          <w:u w:val="none"/>
        </w:rPr>
        <w:t xml:space="preserve"> units; (b) Mr. Carey — </w:t>
      </w:r>
      <w:r>
        <w:rPr>
          <w:rFonts w:ascii="Arial" w:eastAsia="Arial" w:hAnsi="Arial" w:cs="Arial"/>
          <w:b w:val="0"/>
          <w:i w:val="0"/>
          <w:color w:val="969698"/>
          <w:sz w:val="16"/>
          <w:u w:val="none"/>
        </w:rPr>
        <w:t>463</w:t>
      </w:r>
      <w:r>
        <w:rPr>
          <w:rFonts w:ascii="Arial" w:eastAsia="Arial" w:hAnsi="Arial" w:cs="Arial"/>
          <w:b w:val="0"/>
          <w:i w:val="0"/>
          <w:color w:val="969698"/>
          <w:sz w:val="16"/>
          <w:u w:val="none"/>
        </w:rPr>
        <w:t xml:space="preserve"> units; and (c) Mr. Patel — </w:t>
      </w:r>
      <w:r>
        <w:rPr>
          <w:rFonts w:ascii="Arial" w:eastAsia="Arial" w:hAnsi="Arial" w:cs="Arial"/>
          <w:b w:val="0"/>
          <w:i w:val="0"/>
          <w:color w:val="969698"/>
          <w:sz w:val="16"/>
          <w:u w:val="none"/>
        </w:rPr>
        <w:t>482</w:t>
      </w:r>
      <w:r>
        <w:rPr>
          <w:rFonts w:ascii="Arial" w:eastAsia="Arial" w:hAnsi="Arial" w:cs="Arial"/>
          <w:b w:val="0"/>
          <w:i w:val="0"/>
          <w:color w:val="969698"/>
          <w:sz w:val="16"/>
          <w:u w:val="none"/>
        </w:rPr>
        <w:t xml:space="preserve"> units. Total share units under the Deferred Compensation Plan held by directors as of the record date are described in the footnotes to the Principal Shareholders and Management Ownership table. Mr. Gerhardt received </w:t>
      </w:r>
      <w:r>
        <w:rPr>
          <w:rFonts w:ascii="Arial" w:eastAsia="Arial" w:hAnsi="Arial" w:cs="Arial"/>
          <w:b w:val="0"/>
          <w:i w:val="0"/>
          <w:color w:val="969698"/>
          <w:sz w:val="16"/>
          <w:u w:val="none"/>
        </w:rPr>
        <w:t>503</w:t>
      </w:r>
      <w:r>
        <w:rPr>
          <w:rFonts w:ascii="Arial" w:eastAsia="Arial" w:hAnsi="Arial" w:cs="Arial"/>
          <w:b w:val="0"/>
          <w:i w:val="0"/>
          <w:color w:val="969698"/>
          <w:sz w:val="16"/>
          <w:u w:val="none"/>
        </w:rPr>
        <w:t xml:space="preserve"> ordinary shares in lieu of fees earned in cash for </w:t>
      </w:r>
      <w:r>
        <w:rPr>
          <w:rFonts w:ascii="Arial" w:eastAsia="Arial" w:hAnsi="Arial" w:cs="Arial"/>
          <w:b w:val="0"/>
          <w:i w:val="0"/>
          <w:color w:val="969698"/>
          <w:sz w:val="16"/>
          <w:u w:val="none"/>
        </w:rPr>
        <w:t>2023</w:t>
      </w:r>
      <w:r>
        <w:rPr>
          <w:rFonts w:ascii="Arial" w:eastAsia="Arial" w:hAnsi="Arial" w:cs="Arial"/>
          <w:b w:val="0"/>
          <w:i w:val="0"/>
          <w:color w:val="969698"/>
          <w:sz w:val="16"/>
          <w:u w:val="none"/>
        </w:rPr>
        <w:t xml:space="preserve">. </w:t>
      </w:r>
    </w:p>
    <w:p>
      <w:pPr>
        <w:keepNext w:val="0"/>
        <w:keepLines w:val="0"/>
        <w:pageBreakBefore w:val="0"/>
        <w:widowControl/>
        <w:numPr>
          <w:ilvl w:val="0"/>
          <w:numId w:val="210"/>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This column lists the aggregate grant date fair value of Enstar restricted ordinary shares awarded to directors as part of their Board retainer and Chairman of the Board retainer, computed in accordance with FASB Accounting Standards Codification (ASC) Topic 718.  The value of the restricted ordinary shares is determined based on the closing price of our ordinary shares on the grant date. For information on the valuation assumptions with respect to awards made, refer to </w:t>
      </w:r>
      <w:r>
        <w:rPr>
          <w:rFonts w:ascii="Arial" w:eastAsia="Arial" w:hAnsi="Arial" w:cs="Arial"/>
          <w:b w:val="0"/>
          <w:i w:val="0"/>
          <w:color w:val="969698"/>
          <w:sz w:val="16"/>
          <w:u w:val="none"/>
        </w:rPr>
        <w:t>Note 22</w:t>
      </w:r>
      <w:r>
        <w:rPr>
          <w:rFonts w:ascii="Arial" w:eastAsia="Arial" w:hAnsi="Arial" w:cs="Arial"/>
          <w:b w:val="0"/>
          <w:i w:val="0"/>
          <w:color w:val="969698"/>
          <w:sz w:val="16"/>
          <w:u w:val="none"/>
        </w:rPr>
        <w:t xml:space="preserve"> to our consolidated financial statements for the year ended December 31, </w:t>
      </w:r>
      <w:r>
        <w:rPr>
          <w:rFonts w:ascii="Arial" w:eastAsia="Arial" w:hAnsi="Arial" w:cs="Arial"/>
          <w:b w:val="0"/>
          <w:i w:val="0"/>
          <w:color w:val="969698"/>
          <w:sz w:val="16"/>
          <w:u w:val="none"/>
        </w:rPr>
        <w:t>2023</w:t>
      </w:r>
      <w:r>
        <w:rPr>
          <w:rFonts w:ascii="Arial" w:eastAsia="Arial" w:hAnsi="Arial" w:cs="Arial"/>
          <w:b w:val="0"/>
          <w:i w:val="0"/>
          <w:color w:val="969698"/>
          <w:sz w:val="16"/>
          <w:u w:val="none"/>
        </w:rPr>
        <w:t xml:space="preserve">, as included in our Annual Report on Form 10-K for the year ended December 31, </w:t>
      </w:r>
      <w:r>
        <w:rPr>
          <w:rFonts w:ascii="Arial" w:eastAsia="Arial" w:hAnsi="Arial" w:cs="Arial"/>
          <w:b w:val="0"/>
          <w:i w:val="0"/>
          <w:color w:val="969698"/>
          <w:sz w:val="16"/>
          <w:u w:val="none"/>
        </w:rPr>
        <w:t>2023</w:t>
      </w:r>
      <w:r>
        <w:rPr>
          <w:rFonts w:ascii="Arial" w:eastAsia="Arial" w:hAnsi="Arial" w:cs="Arial"/>
          <w:b w:val="0"/>
          <w:i w:val="0"/>
          <w:color w:val="969698"/>
          <w:sz w:val="16"/>
          <w:u w:val="none"/>
        </w:rPr>
        <w:t>. The amounts above reflect the grant date fair value for these awards, excluding the accounting effect of any estimate of future forfeitures, and do not necessarily correspond to the actual value that might be recognized by the directors. Restricted ordinary shares are subject to a one-year vesting period and are forfeited in their entirety if a director leaves the Board prior to the vesting date. Restricted ordinary share awards listed in this column may be deferred by directors under the Deferred Compensation Plan in the form of restricted share units, subject to the same one-year vesting period ("RSUs").</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The number of restricted ordinary shares or RSUs (rounded to nearest whole share) acquired by our directors during </w:t>
      </w:r>
      <w:r>
        <w:rPr>
          <w:rFonts w:ascii="Arial" w:eastAsia="Arial" w:hAnsi="Arial" w:cs="Arial"/>
          <w:b w:val="0"/>
          <w:i w:val="0"/>
          <w:color w:val="969698"/>
          <w:sz w:val="16"/>
          <w:u w:val="none"/>
        </w:rPr>
        <w:t>2023</w:t>
      </w:r>
      <w:r>
        <w:rPr>
          <w:rFonts w:ascii="Arial" w:eastAsia="Arial" w:hAnsi="Arial" w:cs="Arial"/>
          <w:b w:val="0"/>
          <w:i w:val="0"/>
          <w:color w:val="969698"/>
          <w:sz w:val="16"/>
          <w:u w:val="none"/>
        </w:rPr>
        <w:t xml:space="preserve"> was as follows: (a) Mr. Campbell — </w:t>
      </w:r>
      <w:r>
        <w:rPr>
          <w:rFonts w:ascii="Arial" w:eastAsia="Arial" w:hAnsi="Arial" w:cs="Arial"/>
          <w:b w:val="0"/>
          <w:i w:val="0"/>
          <w:color w:val="969698"/>
          <w:sz w:val="16"/>
          <w:u w:val="none"/>
        </w:rPr>
        <w:t>753</w:t>
      </w:r>
      <w:r>
        <w:rPr>
          <w:rFonts w:ascii="Arial" w:eastAsia="Arial" w:hAnsi="Arial" w:cs="Arial"/>
          <w:b w:val="0"/>
          <w:i w:val="0"/>
          <w:color w:val="969698"/>
          <w:sz w:val="16"/>
          <w:u w:val="none"/>
        </w:rPr>
        <w:t xml:space="preserve"> RSUs; (b) Mr. Becker </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430</w:t>
      </w:r>
      <w:r>
        <w:rPr>
          <w:rFonts w:ascii="Arial" w:eastAsia="Arial" w:hAnsi="Arial" w:cs="Arial"/>
          <w:b w:val="0"/>
          <w:i w:val="0"/>
          <w:color w:val="969698"/>
          <w:sz w:val="16"/>
          <w:u w:val="none"/>
        </w:rPr>
        <w:t xml:space="preserve"> restricted ordinary shares; (c) Ms. Beesley </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430</w:t>
      </w:r>
      <w:r>
        <w:rPr>
          <w:rFonts w:ascii="Arial" w:eastAsia="Arial" w:hAnsi="Arial" w:cs="Arial"/>
          <w:b w:val="0"/>
          <w:i w:val="0"/>
          <w:color w:val="969698"/>
          <w:sz w:val="16"/>
          <w:u w:val="none"/>
        </w:rPr>
        <w:t xml:space="preserve"> restricted ordinary shares; (d) Mr. Carey </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430</w:t>
      </w:r>
      <w:r>
        <w:rPr>
          <w:rFonts w:ascii="Arial" w:eastAsia="Arial" w:hAnsi="Arial" w:cs="Arial"/>
          <w:b w:val="0"/>
          <w:i w:val="0"/>
          <w:color w:val="969698"/>
          <w:sz w:val="16"/>
          <w:u w:val="none"/>
        </w:rPr>
        <w:t xml:space="preserve"> RSUs; (e) Ms. Cross </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430</w:t>
      </w:r>
      <w:r>
        <w:rPr>
          <w:rFonts w:ascii="Arial" w:eastAsia="Arial" w:hAnsi="Arial" w:cs="Arial"/>
          <w:b w:val="0"/>
          <w:i w:val="0"/>
          <w:color w:val="969698"/>
          <w:sz w:val="16"/>
          <w:u w:val="none"/>
        </w:rPr>
        <w:t xml:space="preserve"> restricted ordinary shares; (f) Mr. Gerhardt </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430</w:t>
      </w:r>
      <w:r>
        <w:rPr>
          <w:rFonts w:ascii="Arial" w:eastAsia="Arial" w:hAnsi="Arial" w:cs="Arial"/>
          <w:b w:val="0"/>
          <w:i w:val="0"/>
          <w:color w:val="969698"/>
          <w:sz w:val="16"/>
          <w:u w:val="none"/>
        </w:rPr>
        <w:t xml:space="preserve"> restricted ordinary shares; (g) Mr. Hendry </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430</w:t>
      </w:r>
      <w:r>
        <w:rPr>
          <w:rFonts w:ascii="Arial" w:eastAsia="Arial" w:hAnsi="Arial" w:cs="Arial"/>
          <w:b w:val="0"/>
          <w:i w:val="0"/>
          <w:color w:val="969698"/>
          <w:sz w:val="16"/>
          <w:u w:val="none"/>
        </w:rPr>
        <w:t xml:space="preserve"> RSUs; (h) </w:t>
      </w:r>
      <w:r>
        <w:rPr>
          <w:rFonts w:ascii="Arial" w:eastAsia="Arial" w:hAnsi="Arial" w:cs="Arial"/>
          <w:b w:val="0"/>
          <w:i w:val="0"/>
          <w:color w:val="969698"/>
          <w:sz w:val="16"/>
          <w:u w:val="none"/>
        </w:rPr>
        <w:t xml:space="preserve">Mr. O'Shea </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466</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r</w:t>
      </w:r>
      <w:r>
        <w:rPr>
          <w:rFonts w:ascii="Arial" w:eastAsia="Arial" w:hAnsi="Arial" w:cs="Arial"/>
          <w:b w:val="0"/>
          <w:i w:val="0"/>
          <w:color w:val="969698"/>
          <w:sz w:val="16"/>
          <w:u w:val="none"/>
        </w:rPr>
        <w:t>estricted ordinary shares</w:t>
      </w:r>
      <w:r>
        <w:rPr>
          <w:rFonts w:ascii="Arial" w:eastAsia="Arial" w:hAnsi="Arial" w:cs="Arial"/>
          <w:b w:val="0"/>
          <w:i w:val="0"/>
          <w:color w:val="969698"/>
          <w:sz w:val="16"/>
          <w:u w:val="none"/>
        </w:rPr>
        <w:t xml:space="preserve">; (i) </w:t>
      </w:r>
      <w:r>
        <w:rPr>
          <w:rFonts w:ascii="Arial" w:eastAsia="Arial" w:hAnsi="Arial" w:cs="Arial"/>
          <w:b w:val="0"/>
          <w:i w:val="0"/>
          <w:color w:val="969698"/>
          <w:sz w:val="16"/>
          <w:u w:val="none"/>
        </w:rPr>
        <w:t xml:space="preserve">Mr. Patel </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430</w:t>
      </w:r>
      <w:r>
        <w:rPr>
          <w:rFonts w:ascii="Arial" w:eastAsia="Arial" w:hAnsi="Arial" w:cs="Arial"/>
          <w:b w:val="0"/>
          <w:i w:val="0"/>
          <w:color w:val="969698"/>
          <w:sz w:val="16"/>
          <w:u w:val="none"/>
        </w:rPr>
        <w:t xml:space="preserve"> RSUs; and (</w:t>
      </w:r>
      <w:r>
        <w:rPr>
          <w:rFonts w:ascii="Arial" w:eastAsia="Arial" w:hAnsi="Arial" w:cs="Arial"/>
          <w:b w:val="0"/>
          <w:i w:val="0"/>
          <w:color w:val="969698"/>
          <w:sz w:val="16"/>
          <w:u w:val="none"/>
        </w:rPr>
        <w:t>j</w:t>
      </w:r>
      <w:r>
        <w:rPr>
          <w:rFonts w:ascii="Arial" w:eastAsia="Arial" w:hAnsi="Arial" w:cs="Arial"/>
          <w:b w:val="0"/>
          <w:i w:val="0"/>
          <w:color w:val="969698"/>
          <w:sz w:val="16"/>
          <w:u w:val="none"/>
        </w:rPr>
        <w:t xml:space="preserve">) Mr. Winslow </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430</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RSUs</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Fractional amounts are payable in cash at the time of vesting. Total restricted ordinary shares and RSUs held by directors as of the record date are described in the footnotes to the Principal Shareholders and Management Ownership table.</w:t>
      </w:r>
    </w:p>
    <w:p>
      <w:pPr>
        <w:keepNext w:val="0"/>
        <w:keepLines w:val="0"/>
        <w:pageBreakBefore w:val="0"/>
        <w:widowControl/>
        <w:numPr>
          <w:ilvl w:val="0"/>
          <w:numId w:val="210"/>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Mr. Carey holds fees accrued for his service as a director solely for the benefit of Stone Point Capital, of which he is </w:t>
      </w:r>
      <w:r>
        <w:rPr>
          <w:rFonts w:ascii="Arial" w:eastAsia="Arial" w:hAnsi="Arial" w:cs="Arial"/>
          <w:b w:val="0"/>
          <w:i w:val="0"/>
          <w:color w:val="969698"/>
          <w:sz w:val="16"/>
          <w:u w:val="none"/>
        </w:rPr>
        <w:t>President</w:t>
      </w:r>
      <w:r>
        <w:rPr>
          <w:rFonts w:ascii="Arial" w:eastAsia="Arial" w:hAnsi="Arial" w:cs="Arial"/>
          <w:b w:val="0"/>
          <w:i w:val="0"/>
          <w:color w:val="969698"/>
          <w:sz w:val="16"/>
          <w:u w:val="none"/>
        </w:rPr>
        <w:t xml:space="preserve">. </w:t>
      </w:r>
    </w:p>
    <w:p>
      <w:pPr>
        <w:keepNext w:val="0"/>
        <w:keepLines w:val="0"/>
        <w:pageBreakBefore w:val="0"/>
        <w:widowControl/>
        <w:numPr>
          <w:ilvl w:val="0"/>
          <w:numId w:val="210"/>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Mr. O'Shea ret</w:t>
      </w:r>
      <w:r>
        <w:rPr>
          <w:rFonts w:ascii="Arial" w:eastAsia="Arial" w:hAnsi="Arial" w:cs="Arial"/>
          <w:b w:val="0"/>
          <w:i w:val="0"/>
          <w:color w:val="969698"/>
          <w:sz w:val="16"/>
          <w:u w:val="none"/>
        </w:rPr>
        <w:t xml:space="preserve">ired from his role as President of the Company effective </w:t>
      </w:r>
      <w:r>
        <w:rPr>
          <w:rFonts w:ascii="Arial" w:eastAsia="Arial" w:hAnsi="Arial" w:cs="Arial"/>
          <w:b w:val="0"/>
          <w:i w:val="0"/>
          <w:color w:val="969698"/>
          <w:sz w:val="16"/>
          <w:u w:val="none"/>
        </w:rPr>
        <w:t xml:space="preserve">March </w:t>
      </w:r>
      <w:r>
        <w:rPr>
          <w:rFonts w:ascii="Arial" w:eastAsia="Arial" w:hAnsi="Arial" w:cs="Arial"/>
          <w:b w:val="0"/>
          <w:i w:val="0"/>
          <w:color w:val="969698"/>
          <w:sz w:val="16"/>
          <w:u w:val="none"/>
        </w:rPr>
        <w:t>1</w:t>
      </w:r>
      <w:r>
        <w:rPr>
          <w:rFonts w:ascii="Arial" w:eastAsia="Arial" w:hAnsi="Arial" w:cs="Arial"/>
          <w:b w:val="0"/>
          <w:i w:val="0"/>
          <w:color w:val="969698"/>
          <w:sz w:val="16"/>
          <w:u w:val="none"/>
        </w:rPr>
        <w:t>, 2023</w:t>
      </w:r>
      <w:r>
        <w:rPr>
          <w:rFonts w:ascii="Arial" w:eastAsia="Arial" w:hAnsi="Arial" w:cs="Arial"/>
          <w:b w:val="0"/>
          <w:i w:val="0"/>
          <w:color w:val="969698"/>
          <w:sz w:val="16"/>
          <w:u w:val="none"/>
        </w:rPr>
        <w:t xml:space="preserve">. Mr. O'Shea was compensated as a </w:t>
      </w:r>
      <w:r>
        <w:rPr>
          <w:rFonts w:ascii="Arial" w:eastAsia="Arial" w:hAnsi="Arial" w:cs="Arial"/>
          <w:b w:val="0"/>
          <w:i w:val="0"/>
          <w:color w:val="969698"/>
          <w:sz w:val="16"/>
          <w:u w:val="none"/>
        </w:rPr>
        <w:t>n</w:t>
      </w:r>
      <w:r>
        <w:rPr>
          <w:rFonts w:ascii="Arial" w:eastAsia="Arial" w:hAnsi="Arial" w:cs="Arial"/>
          <w:b w:val="0"/>
          <w:i w:val="0"/>
          <w:color w:val="969698"/>
          <w:sz w:val="16"/>
          <w:u w:val="none"/>
        </w:rPr>
        <w:t xml:space="preserve">on-employee director </w:t>
      </w:r>
      <w:r>
        <w:rPr>
          <w:rFonts w:ascii="Arial" w:eastAsia="Arial" w:hAnsi="Arial" w:cs="Arial"/>
          <w:b w:val="0"/>
          <w:i w:val="0"/>
          <w:color w:val="969698"/>
          <w:sz w:val="16"/>
          <w:u w:val="none"/>
        </w:rPr>
        <w:t>commen</w:t>
      </w:r>
      <w:r>
        <w:rPr>
          <w:rFonts w:ascii="Arial" w:eastAsia="Arial" w:hAnsi="Arial" w:cs="Arial"/>
          <w:b w:val="0"/>
          <w:i w:val="0"/>
          <w:color w:val="969698"/>
          <w:sz w:val="16"/>
          <w:u w:val="none"/>
        </w:rPr>
        <w:t>cing on equal date</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w:t>
      </w:r>
    </w:p>
    <w:p>
      <w:pPr>
        <w:keepNext w:val="0"/>
        <w:keepLines w:val="0"/>
        <w:pageBreakBefore w:val="0"/>
        <w:widowControl/>
        <w:numPr>
          <w:ilvl w:val="0"/>
          <w:numId w:val="0"/>
        </w:numPr>
        <w:spacing w:before="0" w:after="60" w:line="288" w:lineRule="auto"/>
        <w:ind w:left="-720" w:right="0" w:hanging="360"/>
        <w:jc w:val="both"/>
        <w:outlineLvl w:val="9"/>
        <w:rPr>
          <w:rFonts w:ascii="Arial" w:eastAsia="Arial" w:hAnsi="Arial" w:cs="Arial"/>
          <w:b w:val="0"/>
          <w:i w:val="0"/>
          <w:color w:val="969698"/>
          <w:sz w:val="16"/>
          <w:u w:val="none"/>
        </w:rPr>
      </w:pPr>
    </w:p>
    <w:p>
      <w:pPr>
        <w:keepNext w:val="0"/>
        <w:keepLines w:val="0"/>
        <w:pageBreakBefore w:val="0"/>
        <w:widowControl/>
        <w:numPr>
          <w:ilvl w:val="0"/>
          <w:numId w:val="0"/>
        </w:numPr>
        <w:spacing w:before="0" w:after="60" w:line="288" w:lineRule="auto"/>
        <w:ind w:left="-720" w:right="0" w:hanging="360"/>
        <w:jc w:val="both"/>
        <w:outlineLvl w:val="9"/>
        <w:rPr>
          <w:rFonts w:ascii="Arial" w:eastAsia="Arial" w:hAnsi="Arial" w:cs="Arial"/>
          <w:b w:val="0"/>
          <w:i w:val="0"/>
          <w:color w:val="969698"/>
          <w:sz w:val="16"/>
          <w:u w:val="none"/>
        </w:rPr>
        <w:sectPr>
          <w:headerReference w:type="default" r:id="rId185"/>
          <w:footerReference w:type="default" r:id="rId186"/>
          <w:pgSz w:w="12240" w:h="15840"/>
          <w:pgMar w:top="855" w:right="990" w:bottom="855" w:left="990" w:header="270" w:footer="270"/>
          <w:cols w:space="708"/>
        </w:sect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80"/>
          <w:u w:val="none"/>
        </w:rPr>
      </w:pPr>
      <w:bookmarkStart w:id="59" w:name="Section62"/>
      <w:bookmarkEnd w:id="59"/>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80" w:line="252" w:lineRule="auto"/>
        <w:ind w:left="0" w:right="0" w:firstLine="0"/>
        <w:jc w:val="left"/>
        <w:outlineLvl w:val="0"/>
        <w:rPr>
          <w:rFonts w:ascii="Arial" w:eastAsia="Arial" w:hAnsi="Arial" w:cs="Arial"/>
          <w:b/>
          <w:i w:val="0"/>
          <w:color w:val="171449"/>
          <w:sz w:val="80"/>
          <w:u w:val="none"/>
        </w:rPr>
      </w:pPr>
      <w:r>
        <w:rPr>
          <w:rFonts w:ascii="Arial" w:eastAsia="Arial" w:hAnsi="Arial" w:cs="Arial"/>
          <w:b/>
          <w:i w:val="0"/>
          <w:color w:val="171449"/>
          <w:sz w:val="80"/>
          <w:u w:val="none"/>
        </w:rPr>
        <w:t>Executive</w:t>
      </w: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80"/>
          <w:u w:val="none"/>
        </w:rPr>
      </w:pPr>
      <w:r>
        <w:rPr>
          <w:rFonts w:ascii="Arial" w:eastAsia="Arial" w:hAnsi="Arial" w:cs="Arial"/>
          <w:b/>
          <w:i w:val="0"/>
          <w:color w:val="171449"/>
          <w:sz w:val="80"/>
          <w:u w:val="none"/>
        </w:rPr>
        <w:t>Compensation</w:t>
      </w: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4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0"/>
          <w:u w:val="none"/>
        </w:rPr>
      </w:pPr>
    </w:p>
    <w:tbl>
      <w:tblPr>
        <w:tblW w:w="858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7995"/>
        <w:gridCol w:w="585"/>
      </w:tblGrid>
      <w:tr>
        <w:tblPrEx>
          <w:tblW w:w="858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15"/>
          <w:jc w:val="left"/>
        </w:trPr>
        <w:tc>
          <w:tcPr>
            <w:tcW w:w="7995" w:type="dxa"/>
            <w:tcBorders>
              <w:top w:val="single" w:sz="8" w:space="0" w:color="929292"/>
              <w:left w:val="nil"/>
              <w:bottom w:val="nil"/>
              <w:right w:val="nil"/>
            </w:tcBorders>
            <w:tcMar>
              <w:top w:w="0" w:type="dxa"/>
              <w:left w:w="0" w:type="dxa"/>
              <w:bottom w:w="0" w:type="dxa"/>
              <w:right w:w="0" w:type="dxa"/>
            </w:tcMar>
            <w:vAlign w:val="bottom"/>
          </w:tcPr>
          <w:p>
            <w:pPr>
              <w:keepNext/>
              <w:pageBreakBefore w:val="0"/>
              <w:spacing w:before="0" w:after="0"/>
            </w:pPr>
          </w:p>
        </w:tc>
        <w:tc>
          <w:tcPr>
            <w:tcW w:w="585" w:type="dxa"/>
            <w:tcBorders>
              <w:top w:val="single" w:sz="8" w:space="0" w:color="929292"/>
              <w:left w:val="nil"/>
              <w:bottom w:val="nil"/>
              <w:right w:val="nil"/>
            </w:tcBorders>
            <w:tcMar>
              <w:top w:w="0" w:type="dxa"/>
              <w:left w:w="0" w:type="dxa"/>
              <w:bottom w:w="0" w:type="dxa"/>
              <w:right w:w="0" w:type="dxa"/>
            </w:tcMar>
            <w:vAlign w:val="bottom"/>
          </w:tcPr>
          <w:p>
            <w:pPr>
              <w:keepNext/>
              <w:pageBreakBefore w:val="0"/>
              <w:spacing w:before="0" w:after="0"/>
            </w:pPr>
          </w:p>
        </w:tc>
      </w:tr>
      <w:tr>
        <w:tblPrEx>
          <w:tblW w:w="8580" w:type="dxa"/>
          <w:jc w:val="left"/>
          <w:tblInd w:w="0" w:type="dxa"/>
          <w:tblLayout w:type="fixed"/>
          <w:tblCellMar>
            <w:left w:w="108" w:type="dxa"/>
            <w:right w:w="108" w:type="dxa"/>
          </w:tblCellMar>
        </w:tblPrEx>
        <w:trPr>
          <w:cantSplit/>
          <w:trHeight w:hRule="exact" w:val="315"/>
          <w:jc w:val="left"/>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63" w:history="1">
              <w:r>
                <w:rPr>
                  <w:rFonts w:ascii="Arial" w:eastAsia="Arial" w:hAnsi="Arial" w:cs="Arial"/>
                  <w:b w:val="0"/>
                  <w:i w:val="0"/>
                  <w:color w:val="000000"/>
                  <w:sz w:val="18"/>
                  <w:u w:val="none"/>
                  <w:shd w:val="clear" w:color="auto" w:fill="auto"/>
                </w:rPr>
                <w:t>Proposal No. 2 – Advisory Vote to Approve Executive Compensation</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Section63</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43</w:t>
            </w:r>
            <w:r>
              <w:rPr>
                <w:rFonts w:ascii="Arial" w:eastAsia="Arial" w:hAnsi="Arial" w:cs="Arial"/>
                <w:b w:val="0"/>
                <w:i w:val="0"/>
                <w:color w:val="000000"/>
                <w:sz w:val="18"/>
                <w:u w:val="none"/>
              </w:rPr>
              <w:fldChar w:fldCharType="end"/>
            </w:r>
          </w:p>
        </w:tc>
      </w:tr>
      <w:tr>
        <w:tblPrEx>
          <w:tblW w:w="8580" w:type="dxa"/>
          <w:jc w:val="left"/>
          <w:tblInd w:w="0" w:type="dxa"/>
          <w:tblLayout w:type="fixed"/>
          <w:tblCellMar>
            <w:left w:w="108" w:type="dxa"/>
            <w:right w:w="108" w:type="dxa"/>
          </w:tblCellMar>
        </w:tblPrEx>
        <w:trPr>
          <w:cantSplit/>
          <w:trHeight w:hRule="exact" w:val="315"/>
          <w:jc w:val="left"/>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64" w:history="1">
              <w:r>
                <w:rPr>
                  <w:rFonts w:ascii="Arial" w:eastAsia="Arial" w:hAnsi="Arial" w:cs="Arial"/>
                  <w:b w:val="0"/>
                  <w:i w:val="0"/>
                  <w:color w:val="000000"/>
                  <w:sz w:val="18"/>
                  <w:u w:val="none"/>
                  <w:shd w:val="clear" w:color="auto" w:fill="auto"/>
                </w:rPr>
                <w:t>Compensation Discussion and Analysis</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Section64</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44</w:t>
            </w:r>
            <w:r>
              <w:rPr>
                <w:rFonts w:ascii="Arial" w:eastAsia="Arial" w:hAnsi="Arial" w:cs="Arial"/>
                <w:b w:val="0"/>
                <w:i w:val="0"/>
                <w:color w:val="000000"/>
                <w:sz w:val="18"/>
                <w:u w:val="none"/>
              </w:rPr>
              <w:fldChar w:fldCharType="end"/>
            </w:r>
          </w:p>
        </w:tc>
      </w:tr>
      <w:tr>
        <w:tblPrEx>
          <w:tblW w:w="8580" w:type="dxa"/>
          <w:jc w:val="left"/>
          <w:tblInd w:w="0" w:type="dxa"/>
          <w:tblLayout w:type="fixed"/>
          <w:tblCellMar>
            <w:left w:w="108" w:type="dxa"/>
            <w:right w:w="108" w:type="dxa"/>
          </w:tblCellMar>
        </w:tblPrEx>
        <w:trPr>
          <w:cantSplit/>
          <w:trHeight w:hRule="exact" w:val="315"/>
          <w:jc w:val="left"/>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04" w:history="1">
              <w:r>
                <w:rPr>
                  <w:rFonts w:ascii="Arial" w:eastAsia="Arial" w:hAnsi="Arial" w:cs="Arial"/>
                  <w:b w:val="0"/>
                  <w:i w:val="0"/>
                  <w:color w:val="000000"/>
                  <w:sz w:val="18"/>
                  <w:u w:val="none"/>
                  <w:shd w:val="clear" w:color="auto" w:fill="auto"/>
                </w:rPr>
                <w:t>Executive Compensation Tables</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Section104</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77</w:t>
            </w:r>
            <w:r>
              <w:rPr>
                <w:rFonts w:ascii="Arial" w:eastAsia="Arial" w:hAnsi="Arial" w:cs="Arial"/>
                <w:b w:val="0"/>
                <w:i w:val="0"/>
                <w:color w:val="000000"/>
                <w:sz w:val="18"/>
                <w:u w:val="none"/>
              </w:rPr>
              <w:fldChar w:fldCharType="end"/>
            </w:r>
          </w:p>
        </w:tc>
      </w:tr>
      <w:tr>
        <w:tblPrEx>
          <w:tblW w:w="8580" w:type="dxa"/>
          <w:jc w:val="left"/>
          <w:tblInd w:w="0" w:type="dxa"/>
          <w:tblLayout w:type="fixed"/>
          <w:tblCellMar>
            <w:left w:w="108" w:type="dxa"/>
            <w:right w:w="108" w:type="dxa"/>
          </w:tblCellMar>
        </w:tblPrEx>
        <w:trPr>
          <w:cantSplit/>
          <w:trHeight w:hRule="exact" w:val="315"/>
          <w:jc w:val="left"/>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16" w:history="1">
              <w:r>
                <w:rPr>
                  <w:rFonts w:ascii="Arial" w:eastAsia="Arial" w:hAnsi="Arial" w:cs="Arial"/>
                  <w:b w:val="0"/>
                  <w:i w:val="0"/>
                  <w:color w:val="000000"/>
                  <w:sz w:val="18"/>
                  <w:u w:val="none"/>
                  <w:shd w:val="clear" w:color="auto" w:fill="auto"/>
                </w:rPr>
                <w:t>Equity Compensation Plan Information</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Section116</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90</w:t>
            </w:r>
            <w:r>
              <w:rPr>
                <w:rFonts w:ascii="Arial" w:eastAsia="Arial" w:hAnsi="Arial" w:cs="Arial"/>
                <w:b w:val="0"/>
                <w:i w:val="0"/>
                <w:color w:val="000000"/>
                <w:sz w:val="18"/>
                <w:u w:val="none"/>
              </w:rPr>
              <w:fldChar w:fldCharType="end"/>
            </w:r>
          </w:p>
        </w:tc>
      </w:tr>
      <w:tr>
        <w:tblPrEx>
          <w:tblW w:w="8580" w:type="dxa"/>
          <w:jc w:val="left"/>
          <w:tblInd w:w="0" w:type="dxa"/>
          <w:tblLayout w:type="fixed"/>
          <w:tblCellMar>
            <w:left w:w="108" w:type="dxa"/>
            <w:right w:w="108" w:type="dxa"/>
          </w:tblCellMar>
        </w:tblPrEx>
        <w:trPr>
          <w:cantSplit/>
          <w:trHeight w:hRule="exact" w:val="315"/>
          <w:jc w:val="left"/>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17" w:history="1">
              <w:r>
                <w:rPr>
                  <w:rFonts w:ascii="Arial" w:eastAsia="Arial" w:hAnsi="Arial" w:cs="Arial"/>
                  <w:b w:val="0"/>
                  <w:i w:val="0"/>
                  <w:color w:val="000000"/>
                  <w:sz w:val="18"/>
                  <w:u w:val="none"/>
                  <w:shd w:val="clear" w:color="auto" w:fill="auto"/>
                </w:rPr>
                <w:t>Pay Versus Performance</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Section117</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90</w:t>
            </w:r>
            <w:r>
              <w:rPr>
                <w:rFonts w:ascii="Arial" w:eastAsia="Arial" w:hAnsi="Arial" w:cs="Arial"/>
                <w:b w:val="0"/>
                <w:i w:val="0"/>
                <w:color w:val="000000"/>
                <w:sz w:val="18"/>
                <w:u w:val="none"/>
              </w:rPr>
              <w:fldChar w:fldCharType="end"/>
            </w:r>
          </w:p>
        </w:tc>
      </w:tr>
      <w:tr>
        <w:tblPrEx>
          <w:tblW w:w="8580" w:type="dxa"/>
          <w:jc w:val="left"/>
          <w:tblInd w:w="0" w:type="dxa"/>
          <w:tblLayout w:type="fixed"/>
          <w:tblCellMar>
            <w:left w:w="108" w:type="dxa"/>
            <w:right w:w="108" w:type="dxa"/>
          </w:tblCellMar>
        </w:tblPrEx>
        <w:trPr>
          <w:cantSplit/>
          <w:trHeight w:hRule="exact" w:val="315"/>
          <w:jc w:val="left"/>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21" w:history="1">
              <w:r>
                <w:rPr>
                  <w:rFonts w:ascii="Arial" w:eastAsia="Arial" w:hAnsi="Arial" w:cs="Arial"/>
                  <w:b w:val="0"/>
                  <w:i w:val="0"/>
                  <w:color w:val="000000"/>
                  <w:sz w:val="18"/>
                  <w:u w:val="none"/>
                  <w:shd w:val="clear" w:color="auto" w:fill="auto"/>
                </w:rPr>
                <w:t>CEO Pay Ratio</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Section121</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95</w:t>
            </w:r>
            <w:r>
              <w:rPr>
                <w:rFonts w:ascii="Arial" w:eastAsia="Arial" w:hAnsi="Arial" w:cs="Arial"/>
                <w:b w:val="0"/>
                <w:i w:val="0"/>
                <w:color w:val="000000"/>
                <w:sz w:val="18"/>
                <w:u w:val="none"/>
              </w:rPr>
              <w:fldChar w:fldCharType="end"/>
            </w:r>
          </w:p>
        </w:tc>
      </w:tr>
    </w:tbl>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
          <w:u w:val="none"/>
        </w:r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2"/>
          <w:u w:val="none"/>
        </w:rPr>
        <w:sectPr>
          <w:headerReference w:type="default" r:id="rId187"/>
          <w:footerReference w:type="default" r:id="rId188"/>
          <w:pgSz w:w="12240" w:h="15840"/>
          <w:pgMar w:top="855" w:right="990" w:bottom="855" w:left="990" w:header="180" w:footer="270"/>
          <w:cols w:space="708"/>
        </w:sect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bookmarkStart w:id="60" w:name="Section63"/>
      <w:bookmarkEnd w:id="60"/>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15"/>
        <w:gridCol w:w="195"/>
        <w:gridCol w:w="1140"/>
        <w:gridCol w:w="1905"/>
        <w:gridCol w:w="2685"/>
        <w:gridCol w:w="3495"/>
        <w:gridCol w:w="52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45" w:type="dxa"/>
            <w:gridSpan w:val="2"/>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2060"/>
                <w:sz w:val="24"/>
                <w:u w:val="none"/>
              </w:rPr>
              <w:t>Proposal 2:</w:t>
            </w:r>
          </w:p>
        </w:tc>
        <w:tc>
          <w:tcPr>
            <w:tcW w:w="2685" w:type="dxa"/>
            <w:tcBorders>
              <w:top w:val="nil"/>
              <w:left w:val="nil"/>
              <w:bottom w:val="single" w:sz="4" w:space="0" w:color="4494D1"/>
              <w:right w:val="nil"/>
            </w:tcBorders>
            <w:tcMar>
              <w:top w:w="0" w:type="dxa"/>
              <w:left w:w="0" w:type="dxa"/>
              <w:bottom w:w="0" w:type="dxa"/>
              <w:right w:w="0" w:type="dxa"/>
            </w:tcMar>
            <w:vAlign w:val="bottom"/>
          </w:tcPr>
          <w:p>
            <w:pPr>
              <w:keepNext/>
              <w:pageBreakBefore w:val="0"/>
              <w:spacing w:before="0" w:after="0"/>
            </w:pPr>
          </w:p>
        </w:tc>
        <w:tc>
          <w:tcPr>
            <w:tcW w:w="3495" w:type="dxa"/>
            <w:tcBorders>
              <w:top w:val="nil"/>
              <w:left w:val="nil"/>
              <w:bottom w:val="single" w:sz="4" w:space="0" w:color="4494D1"/>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single" w:sz="4" w:space="0" w:color="4494D1"/>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9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225" w:type="dxa"/>
            <w:gridSpan w:val="4"/>
            <w:tcBorders>
              <w:top w:val="nil"/>
              <w:left w:val="nil"/>
              <w:bottom w:val="nil"/>
              <w:right w:val="nil"/>
            </w:tcBorders>
            <w:tcMar>
              <w:top w:w="0" w:type="dxa"/>
              <w:left w:w="53" w:type="dxa"/>
              <w:bottom w:w="0" w:type="dxa"/>
              <w:right w:w="53" w:type="dxa"/>
            </w:tcMar>
            <w:vAlign w:val="bottom"/>
          </w:tcPr>
          <w:p>
            <w:pPr>
              <w:keepNext/>
              <w:pageBreakBefore w:val="0"/>
              <w:spacing w:before="43" w:line="240" w:lineRule="auto"/>
              <w:jc w:val="left"/>
            </w:pPr>
            <w:r>
              <w:rPr>
                <w:rFonts w:ascii="Arial" w:eastAsia="Arial" w:hAnsi="Arial" w:cs="Arial"/>
                <w:b/>
                <w:i w:val="0"/>
                <w:color w:val="4494D1"/>
                <w:sz w:val="40"/>
                <w:u w:val="none"/>
              </w:rPr>
              <w:t xml:space="preserve">Advisory Vote to Approve </w:t>
            </w:r>
          </w:p>
          <w:p>
            <w:pPr>
              <w:spacing w:after="30" w:line="240" w:lineRule="auto"/>
              <w:jc w:val="left"/>
            </w:pPr>
            <w:r>
              <w:rPr>
                <w:rFonts w:ascii="Arial" w:eastAsia="Arial" w:hAnsi="Arial" w:cs="Arial"/>
                <w:b/>
                <w:i w:val="0"/>
                <w:color w:val="4494D1"/>
                <w:sz w:val="40"/>
                <w:u w:val="none"/>
              </w:rPr>
              <w:t>Executive Compensation</w:t>
            </w:r>
          </w:p>
        </w:tc>
        <w:tc>
          <w:tcPr>
            <w:tcW w:w="525" w:type="dxa"/>
            <w:tcBorders>
              <w:top w:val="single" w:sz="4" w:space="0" w:color="4494D1"/>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9945" w:type="dxa"/>
            <w:gridSpan w:val="6"/>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45" w:type="dxa"/>
            <w:gridSpan w:val="2"/>
            <w:tcBorders>
              <w:top w:val="nil"/>
              <w:left w:val="nil"/>
              <w:bottom w:val="nil"/>
              <w:right w:val="nil"/>
            </w:tcBorders>
            <w:shd w:val="clear" w:color="auto" w:fill="4494D1"/>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i w:val="0"/>
                <w:color w:val="FFFFFF"/>
                <w:sz w:val="20"/>
                <w:u w:val="none"/>
              </w:rPr>
              <w:t>WHAT AM I VOTING ON?</w:t>
            </w:r>
          </w:p>
        </w:tc>
        <w:tc>
          <w:tcPr>
            <w:tcW w:w="26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4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6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4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94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225" w:type="dxa"/>
            <w:gridSpan w:val="4"/>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336" w:lineRule="auto"/>
              <w:ind w:left="0" w:right="0" w:firstLine="0"/>
              <w:jc w:val="both"/>
              <w:outlineLvl w:val="9"/>
              <w:rPr>
                <w:rFonts w:ascii="Arial" w:eastAsia="Arial" w:hAnsi="Arial" w:cs="Arial"/>
                <w:b/>
                <w:i w:val="0"/>
                <w:sz w:val="20"/>
                <w:shd w:val="clear" w:color="auto" w:fill="auto"/>
              </w:rPr>
            </w:pPr>
            <w:r>
              <w:rPr>
                <w:rFonts w:ascii="Arial" w:eastAsia="Arial" w:hAnsi="Arial" w:cs="Arial"/>
                <w:b/>
                <w:i w:val="0"/>
                <w:sz w:val="20"/>
              </w:rPr>
              <w:t xml:space="preserve">Shareholders are being asked to approve, on an advisory basis, the compensation of the Named Executive Officers as described in the </w:t>
            </w:r>
            <w:hyperlink w:anchor="Section64" w:history="1">
              <w:r>
                <w:rPr>
                  <w:rFonts w:ascii="Arial" w:eastAsia="Arial" w:hAnsi="Arial" w:cs="Arial"/>
                  <w:b/>
                  <w:i w:val="0"/>
                  <w:color w:val="0000FF"/>
                  <w:sz w:val="20"/>
                  <w:u w:val="single"/>
                  <w:shd w:val="clear" w:color="auto" w:fill="auto"/>
                </w:rPr>
                <w:t>Compensation Discussion and Analysis</w:t>
              </w:r>
            </w:hyperlink>
            <w:r>
              <w:rPr>
                <w:rFonts w:ascii="Arial" w:eastAsia="Arial" w:hAnsi="Arial" w:cs="Arial"/>
                <w:b/>
                <w:i w:val="0"/>
                <w:sz w:val="20"/>
              </w:rPr>
              <w:t xml:space="preserve"> beginning on page </w:t>
            </w:r>
            <w:r>
              <w:rPr>
                <w:rFonts w:ascii="Arial" w:eastAsia="Arial" w:hAnsi="Arial" w:cs="Arial"/>
                <w:b/>
                <w:i w:val="0"/>
                <w:color w:val="0000FF"/>
                <w:sz w:val="20"/>
                <w:u w:val="single"/>
              </w:rPr>
              <w:fldChar w:fldCharType="begin"/>
            </w:r>
            <w:r>
              <w:rPr>
                <w:rFonts w:ascii="Arial" w:eastAsia="Arial" w:hAnsi="Arial" w:cs="Arial"/>
                <w:b/>
                <w:i w:val="0"/>
                <w:color w:val="0000FF"/>
                <w:sz w:val="20"/>
                <w:u w:val="single"/>
              </w:rPr>
              <w:instrText xml:space="preserve"> PAGEREF </w:instrText>
            </w:r>
            <w:r>
              <w:rPr>
                <w:rFonts w:ascii="Arial" w:eastAsia="Arial" w:hAnsi="Arial" w:cs="Arial"/>
                <w:b/>
                <w:i w:val="0"/>
                <w:color w:val="0000FF"/>
                <w:sz w:val="20"/>
                <w:u w:val="single"/>
              </w:rPr>
              <w:instrText xml:space="preserve"> </w:instrText>
            </w:r>
            <w:r>
              <w:rPr>
                <w:rFonts w:ascii="Arial" w:eastAsia="Arial" w:hAnsi="Arial" w:cs="Arial"/>
                <w:b/>
                <w:i w:val="0"/>
                <w:color w:val="0000FF"/>
                <w:sz w:val="20"/>
                <w:u w:val="single"/>
              </w:rPr>
              <w:instrText>Section64</w:instrText>
            </w:r>
            <w:r>
              <w:rPr>
                <w:rFonts w:ascii="Arial" w:eastAsia="Arial" w:hAnsi="Arial" w:cs="Arial"/>
                <w:b/>
                <w:i w:val="0"/>
                <w:color w:val="0000FF"/>
                <w:sz w:val="20"/>
                <w:u w:val="single"/>
              </w:rPr>
              <w:instrText xml:space="preserve"> \h</w:instrText>
            </w:r>
            <w:r>
              <w:rPr>
                <w:rFonts w:ascii="Arial" w:eastAsia="Arial" w:hAnsi="Arial" w:cs="Arial"/>
                <w:b/>
                <w:i w:val="0"/>
                <w:color w:val="0000FF"/>
                <w:sz w:val="20"/>
                <w:u w:val="single"/>
              </w:rPr>
              <w:fldChar w:fldCharType="separate"/>
            </w:r>
            <w:r>
              <w:rPr>
                <w:rFonts w:ascii="Arial" w:eastAsia="Arial" w:hAnsi="Arial" w:cs="Arial"/>
                <w:b/>
                <w:i w:val="0"/>
                <w:color w:val="0000FF"/>
                <w:sz w:val="20"/>
                <w:u w:val="single"/>
              </w:rPr>
              <w:t>44</w:t>
            </w:r>
            <w:r>
              <w:rPr>
                <w:rFonts w:ascii="Arial" w:eastAsia="Arial" w:hAnsi="Arial" w:cs="Arial"/>
                <w:b/>
                <w:i w:val="0"/>
                <w:color w:val="0000FF"/>
                <w:sz w:val="20"/>
                <w:u w:val="single"/>
              </w:rPr>
              <w:fldChar w:fldCharType="end"/>
            </w:r>
            <w:r>
              <w:rPr>
                <w:rFonts w:ascii="Arial" w:eastAsia="Arial" w:hAnsi="Arial" w:cs="Arial"/>
                <w:b/>
                <w:i w:val="0"/>
                <w:sz w:val="20"/>
              </w:rPr>
              <w:t xml:space="preserve"> and the </w:t>
            </w:r>
            <w:hyperlink w:anchor="Section104" w:history="1">
              <w:r>
                <w:rPr>
                  <w:rFonts w:ascii="Arial" w:eastAsia="Arial" w:hAnsi="Arial" w:cs="Arial"/>
                  <w:b/>
                  <w:i w:val="0"/>
                  <w:color w:val="0000FF"/>
                  <w:sz w:val="20"/>
                  <w:u w:val="single"/>
                  <w:shd w:val="clear" w:color="auto" w:fill="auto"/>
                </w:rPr>
                <w:t>Executive Compensation Tables</w:t>
              </w:r>
            </w:hyperlink>
            <w:r>
              <w:rPr>
                <w:rFonts w:ascii="Arial" w:eastAsia="Arial" w:hAnsi="Arial" w:cs="Arial"/>
                <w:b/>
                <w:i w:val="0"/>
                <w:sz w:val="20"/>
              </w:rPr>
              <w:t xml:space="preserve"> beginning on page </w:t>
            </w:r>
            <w:r>
              <w:rPr>
                <w:rFonts w:ascii="Arial" w:eastAsia="Arial" w:hAnsi="Arial" w:cs="Arial"/>
                <w:b/>
                <w:i w:val="0"/>
                <w:color w:val="0000FF"/>
                <w:sz w:val="20"/>
                <w:u w:val="single"/>
              </w:rPr>
              <w:fldChar w:fldCharType="begin"/>
            </w:r>
            <w:r>
              <w:rPr>
                <w:rFonts w:ascii="Arial" w:eastAsia="Arial" w:hAnsi="Arial" w:cs="Arial"/>
                <w:b/>
                <w:i w:val="0"/>
                <w:color w:val="0000FF"/>
                <w:sz w:val="20"/>
                <w:u w:val="single"/>
              </w:rPr>
              <w:instrText xml:space="preserve"> PAGEREF </w:instrText>
            </w:r>
            <w:r>
              <w:rPr>
                <w:rFonts w:ascii="Arial" w:eastAsia="Arial" w:hAnsi="Arial" w:cs="Arial"/>
                <w:b/>
                <w:i w:val="0"/>
                <w:color w:val="0000FF"/>
                <w:sz w:val="20"/>
                <w:u w:val="single"/>
              </w:rPr>
              <w:instrText xml:space="preserve"> </w:instrText>
            </w:r>
            <w:r>
              <w:rPr>
                <w:rFonts w:ascii="Arial" w:eastAsia="Arial" w:hAnsi="Arial" w:cs="Arial"/>
                <w:b/>
                <w:i w:val="0"/>
                <w:color w:val="0000FF"/>
                <w:sz w:val="20"/>
                <w:u w:val="single"/>
              </w:rPr>
              <w:instrText>Section104</w:instrText>
            </w:r>
            <w:r>
              <w:rPr>
                <w:rFonts w:ascii="Arial" w:eastAsia="Arial" w:hAnsi="Arial" w:cs="Arial"/>
                <w:b/>
                <w:i w:val="0"/>
                <w:color w:val="0000FF"/>
                <w:sz w:val="20"/>
                <w:u w:val="single"/>
              </w:rPr>
              <w:instrText xml:space="preserve"> \h</w:instrText>
            </w:r>
            <w:r>
              <w:rPr>
                <w:rFonts w:ascii="Arial" w:eastAsia="Arial" w:hAnsi="Arial" w:cs="Arial"/>
                <w:b/>
                <w:i w:val="0"/>
                <w:color w:val="0000FF"/>
                <w:sz w:val="20"/>
                <w:u w:val="single"/>
              </w:rPr>
              <w:fldChar w:fldCharType="separate"/>
            </w:r>
            <w:r>
              <w:rPr>
                <w:rFonts w:ascii="Arial" w:eastAsia="Arial" w:hAnsi="Arial" w:cs="Arial"/>
                <w:b/>
                <w:i w:val="0"/>
                <w:color w:val="0000FF"/>
                <w:sz w:val="20"/>
                <w:u w:val="single"/>
              </w:rPr>
              <w:t>77</w:t>
            </w:r>
            <w:r>
              <w:rPr>
                <w:rFonts w:ascii="Arial" w:eastAsia="Arial" w:hAnsi="Arial" w:cs="Arial"/>
                <w:b/>
                <w:i w:val="0"/>
                <w:color w:val="0000FF"/>
                <w:sz w:val="20"/>
                <w:u w:val="single"/>
              </w:rPr>
              <w:fldChar w:fldCharType="end"/>
            </w:r>
            <w:r>
              <w:rPr>
                <w:rFonts w:ascii="Arial" w:eastAsia="Arial" w:hAnsi="Arial" w:cs="Arial"/>
                <w:b/>
                <w:i w:val="0"/>
                <w:sz w:val="20"/>
              </w:rPr>
              <w:t>.</w:t>
            </w: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6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4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45" w:type="dxa"/>
            <w:gridSpan w:val="2"/>
            <w:tcBorders>
              <w:top w:val="nil"/>
              <w:left w:val="nil"/>
              <w:bottom w:val="nil"/>
              <w:right w:val="nil"/>
            </w:tcBorders>
            <w:shd w:val="clear" w:color="auto" w:fill="4494D1"/>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i w:val="0"/>
                <w:color w:val="FFFFFF"/>
                <w:sz w:val="20"/>
                <w:u w:val="none"/>
              </w:rPr>
              <w:t>RECOMMENDATION</w:t>
            </w:r>
          </w:p>
        </w:tc>
        <w:tc>
          <w:tcPr>
            <w:tcW w:w="26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4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6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4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103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center"/>
              <w:outlineLvl w:val="9"/>
              <w:rPr>
                <w:rFonts w:ascii="Wingdings" w:eastAsia="Wingdings" w:hAnsi="Wingdings" w:cs="Wingdings"/>
                <w:b/>
                <w:i w:val="0"/>
                <w:color w:val="4494D1"/>
                <w:sz w:val="90"/>
                <w:u w:val="none"/>
              </w:rPr>
            </w:pPr>
            <w:r>
              <w:pict>
                <v:shape id="_x0000_s1229" type="#_x0000_t75" style="width:50.4pt;height:50.4pt;margin-top:0;margin-left:0;mso-position-horizontal:center;position:absolute;z-index:251785216">
                  <v:imagedata r:id="rId43" o:title=""/>
                  <o:lock v:ext="edit" aspectratio="t"/>
                  <w10:wrap type="square"/>
                </v:shape>
              </w:pict>
            </w:r>
          </w:p>
        </w:tc>
        <w:tc>
          <w:tcPr>
            <w:tcW w:w="8085" w:type="dxa"/>
            <w:gridSpan w:val="3"/>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both"/>
              <w:outlineLvl w:val="9"/>
              <w:rPr>
                <w:rFonts w:ascii="Arial" w:eastAsia="Arial" w:hAnsi="Arial" w:cs="Arial"/>
                <w:b/>
                <w:i w:val="0"/>
                <w:color w:val="171449"/>
                <w:sz w:val="28"/>
                <w:u w:val="none"/>
              </w:rPr>
            </w:pPr>
            <w:r>
              <w:rPr>
                <w:rFonts w:ascii="Arial" w:eastAsia="Arial" w:hAnsi="Arial" w:cs="Arial"/>
                <w:b/>
                <w:i w:val="0"/>
                <w:sz w:val="28"/>
              </w:rPr>
              <w:t xml:space="preserve">The Board recommends a vote </w:t>
            </w:r>
            <w:r>
              <w:rPr>
                <w:rFonts w:ascii="Arial" w:eastAsia="Arial" w:hAnsi="Arial" w:cs="Arial"/>
                <w:b/>
                <w:i w:val="0"/>
                <w:color w:val="4494D1"/>
                <w:sz w:val="28"/>
                <w:u w:val="none"/>
              </w:rPr>
              <w:t>FOR</w:t>
            </w:r>
            <w:r>
              <w:rPr>
                <w:rFonts w:ascii="Arial" w:eastAsia="Arial" w:hAnsi="Arial" w:cs="Arial"/>
                <w:b/>
                <w:i w:val="0"/>
                <w:sz w:val="28"/>
              </w:rPr>
              <w:t xml:space="preserve"> </w:t>
            </w:r>
            <w:r>
              <w:rPr>
                <w:rFonts w:ascii="Arial" w:eastAsia="Arial" w:hAnsi="Arial" w:cs="Arial"/>
                <w:b/>
                <w:i w:val="0"/>
                <w:sz w:val="28"/>
              </w:rPr>
              <w:t>the advisory vote to approve executive compensation</w:t>
            </w: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6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4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45" w:type="dxa"/>
            <w:gridSpan w:val="2"/>
            <w:tcBorders>
              <w:top w:val="nil"/>
              <w:left w:val="nil"/>
              <w:bottom w:val="nil"/>
              <w:right w:val="nil"/>
            </w:tcBorders>
            <w:shd w:val="clear" w:color="auto" w:fill="4494D1"/>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i w:val="0"/>
                <w:color w:val="FFFFFF"/>
                <w:sz w:val="20"/>
                <w:u w:val="none"/>
              </w:rPr>
              <w:t>ADDITIONAL INFORMATION</w:t>
            </w:r>
          </w:p>
        </w:tc>
        <w:tc>
          <w:tcPr>
            <w:tcW w:w="26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4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6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4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508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225" w:type="dxa"/>
            <w:gridSpan w:val="4"/>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120" w:line="300" w:lineRule="auto"/>
              <w:ind w:left="0" w:right="0" w:firstLine="0"/>
              <w:jc w:val="both"/>
              <w:outlineLvl w:val="1"/>
              <w:rPr>
                <w:rFonts w:ascii="Arial" w:eastAsia="Arial" w:hAnsi="Arial" w:cs="Arial"/>
                <w:b w:val="0"/>
                <w:i w:val="0"/>
                <w:sz w:val="20"/>
              </w:rPr>
            </w:pPr>
            <w:r>
              <w:rPr>
                <w:rFonts w:ascii="Arial" w:eastAsia="Arial" w:hAnsi="Arial" w:cs="Arial"/>
                <w:b w:val="0"/>
                <w:i w:val="0"/>
                <w:sz w:val="20"/>
              </w:rPr>
              <w:t>We hold an advisory vote on our executive compensation each year. Accordingly, we are asking our shareholders to cast an advisory vote to approve the compensation of our executive officers as disclosed in this proxy statement.</w:t>
            </w:r>
          </w:p>
          <w:p>
            <w:pPr>
              <w:pageBreakBefore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Before you vote, we urge you to read the Compensation Discussion and Analysis and the Executive Compensation Tables sections of this proxy statement for additional details on our executive compensation, including its governance, framework, components, and the compensation decisions for our named executive officers for </w:t>
            </w:r>
            <w:r>
              <w:rPr>
                <w:rFonts w:ascii="Arial" w:eastAsia="Arial" w:hAnsi="Arial" w:cs="Arial"/>
                <w:b w:val="0"/>
                <w:i w:val="0"/>
                <w:color w:val="000000"/>
                <w:sz w:val="20"/>
                <w:u w:val="none"/>
              </w:rPr>
              <w:t>2023</w:t>
            </w:r>
            <w:r>
              <w:rPr>
                <w:rFonts w:ascii="Arial" w:eastAsia="Arial" w:hAnsi="Arial" w:cs="Arial"/>
                <w:b w:val="0"/>
                <w:i w:val="0"/>
                <w:sz w:val="20"/>
              </w:rPr>
              <w:t>.</w:t>
            </w:r>
          </w:p>
          <w:p>
            <w:pPr>
              <w:pageBreakBefore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As an advisory vote, the results of this vote will not be binding on the Board or the Company. However, the Board values the opinions of our shareholders, and will carefully consider the outcome of the vote when making future decisions on the compensation of our executive officers and our executive compensation principles, policies and procedures.</w:t>
            </w:r>
          </w:p>
          <w:p>
            <w:pPr>
              <w:pageBreakBefore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We ask our shareholders to approve the compensation of our executive officers by voting "FOR" the following resolution:</w:t>
            </w:r>
          </w:p>
          <w:p>
            <w:pPr>
              <w:pageBreakBefore w:val="0"/>
              <w:numPr>
                <w:ilvl w:val="0"/>
                <w:numId w:val="0"/>
              </w:numPr>
              <w:spacing w:before="0" w:after="0" w:line="300" w:lineRule="auto"/>
              <w:ind w:left="0" w:right="0" w:firstLine="0"/>
              <w:jc w:val="both"/>
              <w:outlineLvl w:val="9"/>
              <w:rPr>
                <w:rFonts w:ascii="Arial" w:eastAsia="Arial" w:hAnsi="Arial" w:cs="Arial"/>
                <w:b w:val="0"/>
                <w:i/>
                <w:sz w:val="20"/>
              </w:rPr>
            </w:pPr>
            <w:r>
              <w:rPr>
                <w:rFonts w:ascii="Arial" w:eastAsia="Arial" w:hAnsi="Arial" w:cs="Arial"/>
                <w:b w:val="0"/>
                <w:i/>
                <w:sz w:val="20"/>
              </w:rPr>
              <w:t xml:space="preserve">"RESOLVED, that the Company’s shareholders approve, on an advisory basis, the compensation of the executive officers, as disclosed in the Company’s proxy statement for the </w:t>
            </w:r>
            <w:r>
              <w:rPr>
                <w:rFonts w:ascii="Arial" w:eastAsia="Arial" w:hAnsi="Arial" w:cs="Arial"/>
                <w:b w:val="0"/>
                <w:i/>
                <w:color w:val="000000"/>
                <w:sz w:val="20"/>
                <w:u w:val="none"/>
              </w:rPr>
              <w:t>2024</w:t>
            </w:r>
            <w:r>
              <w:rPr>
                <w:rFonts w:ascii="Arial" w:eastAsia="Arial" w:hAnsi="Arial" w:cs="Arial"/>
                <w:b w:val="0"/>
                <w:i/>
                <w:sz w:val="20"/>
              </w:rPr>
              <w:t xml:space="preserve"> Annual General Meeting of Shareholders pursuant to the compensation disclosure rules of the Securities and Exchange Commission, including the Compensation Discussion and Analysis, the Summary Compensation Table and the other related tables and disclosure."</w:t>
            </w: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single" w:sz="20" w:space="0" w:color="4494D1"/>
              <w:right w:val="nil"/>
            </w:tcBorders>
            <w:tcMar>
              <w:top w:w="0" w:type="dxa"/>
              <w:left w:w="0" w:type="dxa"/>
              <w:bottom w:w="0" w:type="dxa"/>
              <w:right w:w="0" w:type="dxa"/>
            </w:tcMar>
            <w:vAlign w:val="bottom"/>
          </w:tcPr>
          <w:p>
            <w:pPr>
              <w:pageBreakBefore w:val="0"/>
              <w:spacing w:before="0" w:after="0"/>
            </w:pPr>
          </w:p>
        </w:tc>
        <w:tc>
          <w:tcPr>
            <w:tcW w:w="195" w:type="dxa"/>
            <w:tcBorders>
              <w:top w:val="nil"/>
              <w:left w:val="nil"/>
              <w:bottom w:val="single" w:sz="20" w:space="0" w:color="4494D1"/>
              <w:right w:val="nil"/>
            </w:tcBorders>
            <w:tcMar>
              <w:top w:w="0" w:type="dxa"/>
              <w:left w:w="0" w:type="dxa"/>
              <w:bottom w:w="0" w:type="dxa"/>
              <w:right w:w="0" w:type="dxa"/>
            </w:tcMar>
            <w:vAlign w:val="bottom"/>
          </w:tcPr>
          <w:p>
            <w:pPr>
              <w:pageBreakBefore w:val="0"/>
              <w:spacing w:before="0" w:after="0"/>
            </w:pPr>
          </w:p>
        </w:tc>
        <w:tc>
          <w:tcPr>
            <w:tcW w:w="1140" w:type="dxa"/>
            <w:tcBorders>
              <w:top w:val="nil"/>
              <w:left w:val="nil"/>
              <w:bottom w:val="single" w:sz="20" w:space="0" w:color="4494D1"/>
              <w:right w:val="nil"/>
            </w:tcBorders>
            <w:tcMar>
              <w:top w:w="0" w:type="dxa"/>
              <w:left w:w="0" w:type="dxa"/>
              <w:bottom w:w="0" w:type="dxa"/>
              <w:right w:w="0" w:type="dxa"/>
            </w:tcMar>
            <w:vAlign w:val="bottom"/>
          </w:tcPr>
          <w:p>
            <w:pPr>
              <w:pageBreakBefore w:val="0"/>
              <w:spacing w:before="0" w:after="0"/>
            </w:pPr>
          </w:p>
        </w:tc>
        <w:tc>
          <w:tcPr>
            <w:tcW w:w="1905" w:type="dxa"/>
            <w:tcBorders>
              <w:top w:val="nil"/>
              <w:left w:val="nil"/>
              <w:bottom w:val="single" w:sz="20" w:space="0" w:color="4494D1"/>
              <w:right w:val="nil"/>
            </w:tcBorders>
            <w:tcMar>
              <w:top w:w="0" w:type="dxa"/>
              <w:left w:w="0" w:type="dxa"/>
              <w:bottom w:w="0" w:type="dxa"/>
              <w:right w:w="0" w:type="dxa"/>
            </w:tcMar>
            <w:vAlign w:val="bottom"/>
          </w:tcPr>
          <w:p>
            <w:pPr>
              <w:pageBreakBefore w:val="0"/>
              <w:spacing w:before="0" w:after="0"/>
            </w:pPr>
          </w:p>
        </w:tc>
        <w:tc>
          <w:tcPr>
            <w:tcW w:w="2685" w:type="dxa"/>
            <w:tcBorders>
              <w:top w:val="nil"/>
              <w:left w:val="nil"/>
              <w:bottom w:val="single" w:sz="20" w:space="0" w:color="4494D1"/>
              <w:right w:val="nil"/>
            </w:tcBorders>
            <w:tcMar>
              <w:top w:w="0" w:type="dxa"/>
              <w:left w:w="0" w:type="dxa"/>
              <w:bottom w:w="0" w:type="dxa"/>
              <w:right w:w="0" w:type="dxa"/>
            </w:tcMar>
            <w:vAlign w:val="bottom"/>
          </w:tcPr>
          <w:p>
            <w:pPr>
              <w:pageBreakBefore w:val="0"/>
              <w:spacing w:before="0" w:after="0"/>
            </w:pPr>
          </w:p>
        </w:tc>
        <w:tc>
          <w:tcPr>
            <w:tcW w:w="3495" w:type="dxa"/>
            <w:tcBorders>
              <w:top w:val="nil"/>
              <w:left w:val="nil"/>
              <w:bottom w:val="single" w:sz="20" w:space="0" w:color="4494D1"/>
              <w:right w:val="nil"/>
            </w:tcBorders>
            <w:tcMar>
              <w:top w:w="0" w:type="dxa"/>
              <w:left w:w="0" w:type="dxa"/>
              <w:bottom w:w="0" w:type="dxa"/>
              <w:right w:w="0" w:type="dxa"/>
            </w:tcMar>
            <w:vAlign w:val="bottom"/>
          </w:tcPr>
          <w:p>
            <w:pPr>
              <w:pageBreakBefore w:val="0"/>
              <w:spacing w:before="0" w:after="0"/>
            </w:pPr>
          </w:p>
        </w:tc>
        <w:tc>
          <w:tcPr>
            <w:tcW w:w="525" w:type="dxa"/>
            <w:tcBorders>
              <w:top w:val="nil"/>
              <w:left w:val="nil"/>
              <w:bottom w:val="single" w:sz="20" w:space="0" w:color="4494D1"/>
              <w:right w:val="single" w:sz="4" w:space="0" w:color="4494D1"/>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0" w:line="288"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sectPr>
          <w:headerReference w:type="default" r:id="rId189"/>
          <w:footerReference w:type="default" r:id="rId190"/>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4"/>
          <w:u w:val="none"/>
        </w:rPr>
      </w:pPr>
      <w:bookmarkStart w:id="61" w:name="Section64"/>
      <w:bookmarkEnd w:id="61"/>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COMPENSATION DISCUSSION AND ANALYSIS</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This Compensation Discussion and </w:t>
      </w:r>
      <w:r>
        <w:rPr>
          <w:rFonts w:ascii="Arial" w:eastAsia="Arial" w:hAnsi="Arial" w:cs="Arial"/>
          <w:b w:val="0"/>
          <w:i w:val="0"/>
          <w:sz w:val="20"/>
        </w:rPr>
        <w:t xml:space="preserve">Analysis ("CD&amp;A") provides a summary of our executive compensation philosophy and programs and describes the compensation decisions we have made under these programs and the factors considered in making those decisions. Our executive compensation programs support the Company's growth strategy and are aligned to create long-term shareholder value. This CD&amp;A and the Executive Compensation Tables focus on compensation of our Named Executive Officers ("NEOs") for 2023. Contributions by each of our NEOs in </w:t>
      </w:r>
      <w:r>
        <w:rPr>
          <w:rFonts w:ascii="Arial" w:eastAsia="Arial" w:hAnsi="Arial" w:cs="Arial"/>
          <w:b w:val="0"/>
          <w:i w:val="0"/>
          <w:color w:val="000000"/>
          <w:sz w:val="20"/>
          <w:u w:val="none"/>
        </w:rPr>
        <w:t>2023</w:t>
      </w:r>
      <w:r>
        <w:rPr>
          <w:rFonts w:ascii="Arial" w:eastAsia="Arial" w:hAnsi="Arial" w:cs="Arial"/>
          <w:b w:val="0"/>
          <w:i w:val="0"/>
          <w:sz w:val="20"/>
        </w:rPr>
        <w:t xml:space="preserve"> are described more fully in this CD&amp;A.</w:t>
      </w:r>
    </w:p>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sectPr>
          <w:headerReference w:type="default" r:id="rId191"/>
          <w:footerReference w:type="default" r:id="rId192"/>
          <w:pgSz w:w="12240" w:h="15840"/>
          <w:pgMar w:top="855" w:right="990" w:bottom="855" w:left="990" w:header="180" w:footer="270"/>
          <w:cols w:space="708"/>
        </w:sect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bookmarkStart w:id="62" w:name="Section65"/>
      <w:bookmarkEnd w:id="62"/>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Our NEOs</w:t>
      </w:r>
    </w:p>
    <w:tbl>
      <w:tblPr>
        <w:tblW w:w="993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125"/>
        <w:gridCol w:w="120"/>
        <w:gridCol w:w="120"/>
        <w:gridCol w:w="8565"/>
      </w:tblGrid>
      <w:tr>
        <w:tblPrEx>
          <w:tblW w:w="993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75"/>
        </w:trPr>
        <w:tc>
          <w:tcPr>
            <w:tcW w:w="1125"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8565"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930" w:type="dxa"/>
          <w:tblInd w:w="0" w:type="dxa"/>
          <w:tblLayout w:type="fixed"/>
          <w:tblCellMar>
            <w:left w:w="108" w:type="dxa"/>
            <w:right w:w="108" w:type="dxa"/>
          </w:tblCellMar>
        </w:tblPrEx>
        <w:trPr>
          <w:cantSplit/>
          <w:trHeight w:hRule="exact" w:val="1005"/>
        </w:trPr>
        <w:tc>
          <w:tcPr>
            <w:tcW w:w="112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center"/>
              <w:outlineLvl w:val="9"/>
              <w:rPr>
                <w:rFonts w:ascii="Arial" w:eastAsia="Arial" w:hAnsi="Arial" w:cs="Arial"/>
                <w:b w:val="0"/>
                <w:i w:val="0"/>
                <w:sz w:val="20"/>
              </w:rPr>
            </w:pPr>
            <w:r>
              <w:pict>
                <v:shape id="_x0000_s1230" type="#_x0000_t75" style="width:45.36pt;height:48.96pt;margin-top:0;margin-left:0;mso-position-horizontal:center;position:absolute;z-index:251786240">
                  <v:imagedata r:id="rId169" o:title=""/>
                  <o:lock v:ext="edit" aspectratio="t"/>
                  <w10:wrap type="square"/>
                </v:shape>
              </w:pict>
            </w:r>
          </w:p>
        </w:tc>
        <w:tc>
          <w:tcPr>
            <w:tcW w:w="1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856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i w:val="0"/>
                <w:sz w:val="22"/>
              </w:rPr>
            </w:pPr>
            <w:r>
              <w:rPr>
                <w:rFonts w:ascii="Arial" w:eastAsia="Arial" w:hAnsi="Arial" w:cs="Arial"/>
                <w:b/>
                <w:i w:val="0"/>
                <w:sz w:val="22"/>
              </w:rPr>
              <w:t>Dominic Silvester</w:t>
            </w:r>
          </w:p>
          <w:p>
            <w:pPr>
              <w:pageBreakBefore w:val="0"/>
              <w:numPr>
                <w:ilvl w:val="0"/>
                <w:numId w:val="0"/>
              </w:numPr>
              <w:spacing w:before="0" w:after="0" w:line="288" w:lineRule="auto"/>
              <w:ind w:left="0" w:right="0" w:firstLine="0"/>
              <w:jc w:val="left"/>
              <w:outlineLvl w:val="9"/>
              <w:rPr>
                <w:rFonts w:ascii="Arial" w:eastAsia="Arial" w:hAnsi="Arial" w:cs="Arial"/>
                <w:b w:val="0"/>
                <w:i w:val="0"/>
                <w:sz w:val="20"/>
              </w:rPr>
            </w:pPr>
            <w:r>
              <w:rPr>
                <w:rFonts w:ascii="Arial" w:eastAsia="Arial" w:hAnsi="Arial" w:cs="Arial"/>
                <w:b w:val="0"/>
                <w:i w:val="0"/>
                <w:sz w:val="20"/>
              </w:rPr>
              <w:t>Chief Executive Officer ("CEO") and co-founder</w:t>
            </w:r>
          </w:p>
        </w:tc>
      </w:tr>
      <w:tr>
        <w:tblPrEx>
          <w:tblW w:w="9930" w:type="dxa"/>
          <w:tblInd w:w="0" w:type="dxa"/>
          <w:tblLayout w:type="fixed"/>
          <w:tblCellMar>
            <w:left w:w="108" w:type="dxa"/>
            <w:right w:w="108" w:type="dxa"/>
          </w:tblCellMar>
        </w:tblPrEx>
        <w:trPr>
          <w:cantSplit/>
          <w:trHeight w:hRule="exact" w:val="75"/>
        </w:trPr>
        <w:tc>
          <w:tcPr>
            <w:tcW w:w="1125"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c>
          <w:tcPr>
            <w:tcW w:w="120"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c>
          <w:tcPr>
            <w:tcW w:w="120"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c>
          <w:tcPr>
            <w:tcW w:w="8565"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r>
      <w:tr>
        <w:tblPrEx>
          <w:tblW w:w="9930" w:type="dxa"/>
          <w:tblInd w:w="0" w:type="dxa"/>
          <w:tblLayout w:type="fixed"/>
          <w:tblCellMar>
            <w:left w:w="108" w:type="dxa"/>
            <w:right w:w="108" w:type="dxa"/>
          </w:tblCellMar>
        </w:tblPrEx>
        <w:trPr>
          <w:cantSplit/>
          <w:trHeight w:hRule="exact" w:val="75"/>
        </w:trPr>
        <w:tc>
          <w:tcPr>
            <w:tcW w:w="1125"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8565"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930" w:type="dxa"/>
          <w:tblInd w:w="0" w:type="dxa"/>
          <w:tblLayout w:type="fixed"/>
          <w:tblCellMar>
            <w:left w:w="108" w:type="dxa"/>
            <w:right w:w="108" w:type="dxa"/>
          </w:tblCellMar>
        </w:tblPrEx>
        <w:trPr>
          <w:cantSplit/>
          <w:trHeight w:hRule="exact" w:val="1005"/>
        </w:trPr>
        <w:tc>
          <w:tcPr>
            <w:tcW w:w="112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center"/>
              <w:outlineLvl w:val="9"/>
              <w:rPr>
                <w:rFonts w:ascii="Arial" w:eastAsia="Arial" w:hAnsi="Arial" w:cs="Arial"/>
                <w:b w:val="0"/>
                <w:i w:val="0"/>
                <w:sz w:val="20"/>
              </w:rPr>
            </w:pPr>
            <w:r>
              <w:pict>
                <v:shape id="_x0000_s1231" type="#_x0000_t75" style="width:46.8pt;height:46.8pt;margin-top:0;margin-left:0;mso-position-horizontal:center;position:absolute;z-index:251787264">
                  <v:imagedata r:id="rId173" o:title=""/>
                  <o:lock v:ext="edit" aspectratio="t"/>
                  <w10:wrap type="square"/>
                </v:shape>
              </w:pict>
            </w:r>
          </w:p>
        </w:tc>
        <w:tc>
          <w:tcPr>
            <w:tcW w:w="1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856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i w:val="0"/>
                <w:sz w:val="22"/>
              </w:rPr>
            </w:pPr>
            <w:r>
              <w:rPr>
                <w:rFonts w:ascii="Arial" w:eastAsia="Arial" w:hAnsi="Arial" w:cs="Arial"/>
                <w:b/>
                <w:i w:val="0"/>
                <w:sz w:val="22"/>
              </w:rPr>
              <w:t>Matthew Kirk</w:t>
            </w:r>
            <w:r>
              <w:rPr>
                <w:rFonts w:ascii="Arial" w:eastAsia="Arial" w:hAnsi="Arial" w:cs="Arial"/>
                <w:b/>
                <w:i w:val="0"/>
                <w:sz w:val="22"/>
                <w:vertAlign w:val="superscript"/>
              </w:rPr>
              <w:t>(1)</w:t>
            </w:r>
          </w:p>
          <w:p>
            <w:pPr>
              <w:pageBreakBefore w:val="0"/>
              <w:numPr>
                <w:ilvl w:val="0"/>
                <w:numId w:val="0"/>
              </w:numPr>
              <w:spacing w:before="0" w:after="0" w:line="288" w:lineRule="auto"/>
              <w:ind w:left="0" w:right="0" w:firstLine="0"/>
              <w:jc w:val="left"/>
              <w:outlineLvl w:val="9"/>
              <w:rPr>
                <w:rFonts w:ascii="Arial" w:eastAsia="Arial" w:hAnsi="Arial" w:cs="Arial"/>
                <w:b w:val="0"/>
                <w:i w:val="0"/>
                <w:sz w:val="20"/>
              </w:rPr>
            </w:pPr>
            <w:r>
              <w:rPr>
                <w:rFonts w:ascii="Arial" w:eastAsia="Arial" w:hAnsi="Arial" w:cs="Arial"/>
                <w:b w:val="0"/>
                <w:i w:val="0"/>
                <w:sz w:val="20"/>
              </w:rPr>
              <w:t>Chief Financial Officer</w:t>
            </w:r>
            <w:r>
              <w:rPr>
                <w:rFonts w:ascii="Arial" w:eastAsia="Arial" w:hAnsi="Arial" w:cs="Arial"/>
                <w:b w:val="0"/>
                <w:i w:val="0"/>
                <w:sz w:val="20"/>
              </w:rPr>
              <w:t xml:space="preserve"> ("CFO")</w:t>
            </w:r>
          </w:p>
        </w:tc>
      </w:tr>
      <w:tr>
        <w:tblPrEx>
          <w:tblW w:w="9930" w:type="dxa"/>
          <w:tblInd w:w="0" w:type="dxa"/>
          <w:tblLayout w:type="fixed"/>
          <w:tblCellMar>
            <w:left w:w="108" w:type="dxa"/>
            <w:right w:w="108" w:type="dxa"/>
          </w:tblCellMar>
        </w:tblPrEx>
        <w:trPr>
          <w:cantSplit/>
          <w:trHeight w:hRule="exact" w:val="75"/>
        </w:trPr>
        <w:tc>
          <w:tcPr>
            <w:tcW w:w="1125"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c>
          <w:tcPr>
            <w:tcW w:w="120"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c>
          <w:tcPr>
            <w:tcW w:w="120"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c>
          <w:tcPr>
            <w:tcW w:w="8565"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r>
      <w:tr>
        <w:tblPrEx>
          <w:tblW w:w="9930" w:type="dxa"/>
          <w:tblInd w:w="0" w:type="dxa"/>
          <w:tblLayout w:type="fixed"/>
          <w:tblCellMar>
            <w:left w:w="108" w:type="dxa"/>
            <w:right w:w="108" w:type="dxa"/>
          </w:tblCellMar>
        </w:tblPrEx>
        <w:trPr>
          <w:cantSplit/>
          <w:trHeight w:hRule="exact" w:val="75"/>
        </w:trPr>
        <w:tc>
          <w:tcPr>
            <w:tcW w:w="1125"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8565"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930" w:type="dxa"/>
          <w:tblInd w:w="0" w:type="dxa"/>
          <w:tblLayout w:type="fixed"/>
          <w:tblCellMar>
            <w:left w:w="108" w:type="dxa"/>
            <w:right w:w="108" w:type="dxa"/>
          </w:tblCellMar>
        </w:tblPrEx>
        <w:trPr>
          <w:cantSplit/>
          <w:trHeight w:hRule="exact" w:val="1005"/>
        </w:trPr>
        <w:tc>
          <w:tcPr>
            <w:tcW w:w="112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center"/>
              <w:outlineLvl w:val="9"/>
              <w:rPr>
                <w:rFonts w:ascii="Arial" w:eastAsia="Arial" w:hAnsi="Arial" w:cs="Arial"/>
                <w:b w:val="0"/>
                <w:i w:val="0"/>
                <w:sz w:val="20"/>
              </w:rPr>
            </w:pPr>
            <w:r>
              <w:pict>
                <v:shape id="_x0000_s1232" type="#_x0000_t75" style="width:49.5pt;height:46.8pt;margin-top:0;margin-left:0;mso-position-horizontal:center;position:absolute;z-index:251788288">
                  <v:imagedata r:id="rId52" o:title=""/>
                  <o:lock v:ext="edit" aspectratio="t"/>
                  <w10:wrap type="square"/>
                </v:shape>
              </w:pict>
            </w:r>
          </w:p>
        </w:tc>
        <w:tc>
          <w:tcPr>
            <w:tcW w:w="1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856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i w:val="0"/>
                <w:sz w:val="22"/>
              </w:rPr>
            </w:pPr>
            <w:r>
              <w:rPr>
                <w:rFonts w:ascii="Arial" w:eastAsia="Arial" w:hAnsi="Arial" w:cs="Arial"/>
                <w:b/>
                <w:i w:val="0"/>
                <w:sz w:val="22"/>
              </w:rPr>
              <w:t>Orla Gregory</w:t>
            </w:r>
            <w:r>
              <w:rPr>
                <w:rFonts w:ascii="Arial" w:eastAsia="Arial" w:hAnsi="Arial" w:cs="Arial"/>
                <w:b/>
                <w:i w:val="0"/>
                <w:sz w:val="22"/>
                <w:vertAlign w:val="superscript"/>
              </w:rPr>
              <w:t>(2)</w:t>
            </w:r>
          </w:p>
          <w:p>
            <w:pPr>
              <w:pageBreakBefore w:val="0"/>
              <w:numPr>
                <w:ilvl w:val="0"/>
                <w:numId w:val="0"/>
              </w:numPr>
              <w:spacing w:before="0" w:after="0" w:line="288" w:lineRule="auto"/>
              <w:ind w:left="0" w:right="0" w:firstLine="0"/>
              <w:jc w:val="left"/>
              <w:outlineLvl w:val="9"/>
              <w:rPr>
                <w:rFonts w:ascii="Arial" w:eastAsia="Arial" w:hAnsi="Arial" w:cs="Arial"/>
                <w:b w:val="0"/>
                <w:i w:val="0"/>
                <w:sz w:val="20"/>
              </w:rPr>
            </w:pPr>
            <w:r>
              <w:rPr>
                <w:rFonts w:ascii="Arial" w:eastAsia="Arial" w:hAnsi="Arial" w:cs="Arial"/>
                <w:b w:val="0"/>
                <w:i w:val="0"/>
                <w:sz w:val="20"/>
              </w:rPr>
              <w:t>President</w:t>
            </w:r>
            <w:r>
              <w:rPr>
                <w:rFonts w:ascii="Arial" w:eastAsia="Arial" w:hAnsi="Arial" w:cs="Arial"/>
                <w:b w:val="0"/>
                <w:i w:val="0"/>
                <w:sz w:val="20"/>
              </w:rPr>
              <w:t xml:space="preserve"> (also served as CFO during 2023)</w:t>
            </w:r>
          </w:p>
        </w:tc>
      </w:tr>
      <w:tr>
        <w:tblPrEx>
          <w:tblW w:w="9930" w:type="dxa"/>
          <w:tblInd w:w="0" w:type="dxa"/>
          <w:tblLayout w:type="fixed"/>
          <w:tblCellMar>
            <w:left w:w="108" w:type="dxa"/>
            <w:right w:w="108" w:type="dxa"/>
          </w:tblCellMar>
        </w:tblPrEx>
        <w:trPr>
          <w:cantSplit/>
          <w:trHeight w:hRule="exact" w:val="75"/>
        </w:trPr>
        <w:tc>
          <w:tcPr>
            <w:tcW w:w="1125"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c>
          <w:tcPr>
            <w:tcW w:w="120"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c>
          <w:tcPr>
            <w:tcW w:w="120"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c>
          <w:tcPr>
            <w:tcW w:w="8565"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r>
      <w:tr>
        <w:tblPrEx>
          <w:tblW w:w="9930" w:type="dxa"/>
          <w:tblInd w:w="0" w:type="dxa"/>
          <w:tblLayout w:type="fixed"/>
          <w:tblCellMar>
            <w:left w:w="108" w:type="dxa"/>
            <w:right w:w="108" w:type="dxa"/>
          </w:tblCellMar>
        </w:tblPrEx>
        <w:trPr>
          <w:cantSplit/>
          <w:trHeight w:hRule="exact" w:val="75"/>
        </w:trPr>
        <w:tc>
          <w:tcPr>
            <w:tcW w:w="1125"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8565"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930" w:type="dxa"/>
          <w:tblInd w:w="0" w:type="dxa"/>
          <w:tblLayout w:type="fixed"/>
          <w:tblCellMar>
            <w:left w:w="108" w:type="dxa"/>
            <w:right w:w="108" w:type="dxa"/>
          </w:tblCellMar>
        </w:tblPrEx>
        <w:trPr>
          <w:cantSplit/>
          <w:trHeight w:hRule="exact" w:val="1005"/>
        </w:trPr>
        <w:tc>
          <w:tcPr>
            <w:tcW w:w="112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center"/>
              <w:outlineLvl w:val="9"/>
              <w:rPr>
                <w:rFonts w:ascii="Arial" w:eastAsia="Arial" w:hAnsi="Arial" w:cs="Arial"/>
                <w:b w:val="0"/>
                <w:i w:val="0"/>
                <w:sz w:val="20"/>
              </w:rPr>
            </w:pPr>
            <w:r>
              <w:pict>
                <v:shape id="_x0000_s1233" type="#_x0000_t75" style="width:46.8pt;height:46.8pt;margin-top:0;margin-left:0;mso-position-horizontal:center;position:absolute;z-index:251789312">
                  <v:imagedata r:id="rId174" o:title=""/>
                  <o:lock v:ext="edit" aspectratio="t"/>
                  <w10:wrap type="square"/>
                </v:shape>
              </w:pict>
            </w:r>
          </w:p>
        </w:tc>
        <w:tc>
          <w:tcPr>
            <w:tcW w:w="1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856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i w:val="0"/>
                <w:sz w:val="22"/>
              </w:rPr>
            </w:pPr>
            <w:r>
              <w:rPr>
                <w:rFonts w:ascii="Arial" w:eastAsia="Arial" w:hAnsi="Arial" w:cs="Arial"/>
                <w:b/>
                <w:i w:val="0"/>
                <w:sz w:val="22"/>
              </w:rPr>
              <w:t>David Ni</w:t>
            </w:r>
          </w:p>
          <w:p>
            <w:pPr>
              <w:pageBreakBefore w:val="0"/>
              <w:numPr>
                <w:ilvl w:val="0"/>
                <w:numId w:val="0"/>
              </w:numPr>
              <w:spacing w:before="0" w:after="0" w:line="288" w:lineRule="auto"/>
              <w:ind w:left="0" w:right="0" w:firstLine="0"/>
              <w:jc w:val="left"/>
              <w:outlineLvl w:val="9"/>
              <w:rPr>
                <w:rFonts w:ascii="Arial" w:eastAsia="Arial" w:hAnsi="Arial" w:cs="Arial"/>
                <w:b w:val="0"/>
                <w:i w:val="0"/>
                <w:sz w:val="20"/>
              </w:rPr>
            </w:pPr>
            <w:r>
              <w:rPr>
                <w:rFonts w:ascii="Arial" w:eastAsia="Arial" w:hAnsi="Arial" w:cs="Arial"/>
                <w:b w:val="0"/>
                <w:i w:val="0"/>
                <w:sz w:val="20"/>
              </w:rPr>
              <w:t>Chief Strategy Officer ("CSO")</w:t>
            </w:r>
          </w:p>
        </w:tc>
      </w:tr>
      <w:tr>
        <w:tblPrEx>
          <w:tblW w:w="9930" w:type="dxa"/>
          <w:tblInd w:w="0" w:type="dxa"/>
          <w:tblLayout w:type="fixed"/>
          <w:tblCellMar>
            <w:left w:w="108" w:type="dxa"/>
            <w:right w:w="108" w:type="dxa"/>
          </w:tblCellMar>
        </w:tblPrEx>
        <w:trPr>
          <w:cantSplit/>
          <w:trHeight w:hRule="exact" w:val="75"/>
        </w:trPr>
        <w:tc>
          <w:tcPr>
            <w:tcW w:w="1125"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c>
          <w:tcPr>
            <w:tcW w:w="120"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c>
          <w:tcPr>
            <w:tcW w:w="120"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c>
          <w:tcPr>
            <w:tcW w:w="8565"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r>
      <w:tr>
        <w:tblPrEx>
          <w:tblW w:w="9930" w:type="dxa"/>
          <w:tblInd w:w="0" w:type="dxa"/>
          <w:tblLayout w:type="fixed"/>
          <w:tblCellMar>
            <w:left w:w="108" w:type="dxa"/>
            <w:right w:w="108" w:type="dxa"/>
          </w:tblCellMar>
        </w:tblPrEx>
        <w:trPr>
          <w:cantSplit/>
          <w:trHeight w:hRule="exact" w:val="75"/>
        </w:trPr>
        <w:tc>
          <w:tcPr>
            <w:tcW w:w="1125"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8565"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930" w:type="dxa"/>
          <w:tblInd w:w="0" w:type="dxa"/>
          <w:tblLayout w:type="fixed"/>
          <w:tblCellMar>
            <w:left w:w="108" w:type="dxa"/>
            <w:right w:w="108" w:type="dxa"/>
          </w:tblCellMar>
        </w:tblPrEx>
        <w:trPr>
          <w:cantSplit/>
          <w:trHeight w:hRule="exact" w:val="1005"/>
        </w:trPr>
        <w:tc>
          <w:tcPr>
            <w:tcW w:w="112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center"/>
              <w:outlineLvl w:val="9"/>
              <w:rPr>
                <w:rFonts w:ascii="Arial" w:eastAsia="Arial" w:hAnsi="Arial" w:cs="Arial"/>
                <w:b w:val="0"/>
                <w:i w:val="0"/>
                <w:sz w:val="20"/>
              </w:rPr>
            </w:pPr>
            <w:r>
              <w:pict>
                <v:shape id="_x0000_s1234" type="#_x0000_t75" style="width:39.99pt;height:46.8pt;margin-top:0;margin-left:0;mso-position-horizontal:center;position:absolute;z-index:251790336">
                  <v:imagedata r:id="rId171" o:title=""/>
                  <o:lock v:ext="edit" aspectratio="t"/>
                  <w10:wrap type="square"/>
                </v:shape>
              </w:pict>
            </w:r>
          </w:p>
        </w:tc>
        <w:tc>
          <w:tcPr>
            <w:tcW w:w="1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856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i w:val="0"/>
                <w:sz w:val="22"/>
              </w:rPr>
            </w:pPr>
            <w:r>
              <w:rPr>
                <w:rFonts w:ascii="Arial" w:eastAsia="Arial" w:hAnsi="Arial" w:cs="Arial"/>
                <w:b/>
                <w:i w:val="0"/>
                <w:sz w:val="22"/>
              </w:rPr>
              <w:t>Paul Brockman</w:t>
            </w:r>
            <w:r>
              <w:rPr>
                <w:rFonts w:ascii="Arial" w:eastAsia="Arial" w:hAnsi="Arial" w:cs="Arial"/>
                <w:b/>
                <w:i w:val="0"/>
                <w:sz w:val="22"/>
                <w:vertAlign w:val="superscript"/>
              </w:rPr>
              <w:t>(3)</w:t>
            </w:r>
          </w:p>
          <w:p>
            <w:pPr>
              <w:pageBreakBefore w:val="0"/>
              <w:numPr>
                <w:ilvl w:val="0"/>
                <w:numId w:val="0"/>
              </w:numPr>
              <w:spacing w:before="0" w:after="0" w:line="288" w:lineRule="auto"/>
              <w:ind w:left="0" w:right="0" w:firstLine="0"/>
              <w:jc w:val="left"/>
              <w:outlineLvl w:val="9"/>
              <w:rPr>
                <w:rFonts w:ascii="Arial" w:eastAsia="Arial" w:hAnsi="Arial" w:cs="Arial"/>
                <w:b w:val="0"/>
                <w:i w:val="0"/>
                <w:sz w:val="20"/>
              </w:rPr>
            </w:pPr>
            <w:r>
              <w:rPr>
                <w:rFonts w:ascii="Arial" w:eastAsia="Arial" w:hAnsi="Arial" w:cs="Arial"/>
                <w:b w:val="0"/>
                <w:i w:val="0"/>
                <w:sz w:val="20"/>
              </w:rPr>
              <w:t>Chief Operating Office</w:t>
            </w:r>
            <w:r>
              <w:rPr>
                <w:rFonts w:ascii="Arial" w:eastAsia="Arial" w:hAnsi="Arial" w:cs="Arial"/>
                <w:b w:val="0"/>
                <w:i w:val="0"/>
                <w:sz w:val="20"/>
              </w:rPr>
              <w:t>r</w:t>
            </w:r>
            <w:r>
              <w:rPr>
                <w:rFonts w:ascii="Arial" w:eastAsia="Arial" w:hAnsi="Arial" w:cs="Arial"/>
                <w:b w:val="0"/>
                <w:i w:val="0"/>
                <w:sz w:val="20"/>
              </w:rPr>
              <w:t xml:space="preserve"> </w:t>
            </w:r>
            <w:r>
              <w:rPr>
                <w:rFonts w:ascii="Arial" w:eastAsia="Arial" w:hAnsi="Arial" w:cs="Arial"/>
                <w:b w:val="0"/>
                <w:i w:val="0"/>
                <w:sz w:val="20"/>
              </w:rPr>
              <w:t>&amp;</w:t>
            </w:r>
            <w:r>
              <w:rPr>
                <w:rFonts w:ascii="Arial" w:eastAsia="Arial" w:hAnsi="Arial" w:cs="Arial"/>
                <w:b w:val="0"/>
                <w:i w:val="0"/>
                <w:sz w:val="20"/>
              </w:rPr>
              <w:t xml:space="preserve"> Interim CEO of Enstar (EU) Limited</w:t>
            </w:r>
            <w:r>
              <w:rPr>
                <w:rFonts w:ascii="Arial" w:eastAsia="Arial" w:hAnsi="Arial" w:cs="Arial"/>
                <w:b w:val="0"/>
                <w:i w:val="0"/>
                <w:sz w:val="20"/>
              </w:rPr>
              <w:t xml:space="preserve"> </w:t>
            </w:r>
            <w:r>
              <w:rPr>
                <w:rFonts w:ascii="Arial" w:eastAsia="Arial" w:hAnsi="Arial" w:cs="Arial"/>
                <w:b w:val="0"/>
                <w:i w:val="0"/>
                <w:sz w:val="20"/>
              </w:rPr>
              <w:t>("COO</w:t>
            </w:r>
            <w:r>
              <w:rPr>
                <w:rFonts w:ascii="Arial" w:eastAsia="Arial" w:hAnsi="Arial" w:cs="Arial"/>
                <w:b w:val="0"/>
                <w:i w:val="0"/>
                <w:sz w:val="20"/>
              </w:rPr>
              <w:t>")</w:t>
            </w:r>
          </w:p>
        </w:tc>
      </w:tr>
      <w:tr>
        <w:tblPrEx>
          <w:tblW w:w="9930" w:type="dxa"/>
          <w:tblInd w:w="0" w:type="dxa"/>
          <w:tblLayout w:type="fixed"/>
          <w:tblCellMar>
            <w:left w:w="108" w:type="dxa"/>
            <w:right w:w="108" w:type="dxa"/>
          </w:tblCellMar>
        </w:tblPrEx>
        <w:trPr>
          <w:cantSplit/>
          <w:trHeight w:hRule="exact" w:val="75"/>
        </w:trPr>
        <w:tc>
          <w:tcPr>
            <w:tcW w:w="1125"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c>
          <w:tcPr>
            <w:tcW w:w="120"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c>
          <w:tcPr>
            <w:tcW w:w="120"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c>
          <w:tcPr>
            <w:tcW w:w="8565" w:type="dxa"/>
            <w:tcBorders>
              <w:top w:val="nil"/>
              <w:left w:val="nil"/>
              <w:bottom w:val="single" w:sz="4" w:space="0" w:color="000000"/>
              <w:right w:val="nil"/>
            </w:tcBorders>
            <w:tcMar>
              <w:top w:w="0" w:type="dxa"/>
              <w:left w:w="0" w:type="dxa"/>
              <w:bottom w:w="0" w:type="dxa"/>
              <w:right w:w="0" w:type="dxa"/>
            </w:tcMar>
            <w:vAlign w:val="bottom"/>
          </w:tcPr>
          <w:p>
            <w:pPr>
              <w:keepNext/>
              <w:pageBreakBefore w:val="0"/>
              <w:spacing w:before="0" w:after="0"/>
            </w:pPr>
          </w:p>
        </w:tc>
      </w:tr>
      <w:tr>
        <w:tblPrEx>
          <w:tblW w:w="9930" w:type="dxa"/>
          <w:tblInd w:w="0" w:type="dxa"/>
          <w:tblLayout w:type="fixed"/>
          <w:tblCellMar>
            <w:left w:w="108" w:type="dxa"/>
            <w:right w:w="108" w:type="dxa"/>
          </w:tblCellMar>
        </w:tblPrEx>
        <w:trPr>
          <w:cantSplit/>
          <w:trHeight w:hRule="exact" w:val="75"/>
        </w:trPr>
        <w:tc>
          <w:tcPr>
            <w:tcW w:w="1125"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120"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c>
          <w:tcPr>
            <w:tcW w:w="8565" w:type="dxa"/>
            <w:tcBorders>
              <w:top w:val="single" w:sz="4" w:space="0" w:color="000000"/>
              <w:left w:val="nil"/>
              <w:bottom w:val="nil"/>
              <w:right w:val="nil"/>
            </w:tcBorders>
            <w:tcMar>
              <w:top w:w="0" w:type="dxa"/>
              <w:left w:w="0" w:type="dxa"/>
              <w:bottom w:w="0" w:type="dxa"/>
              <w:right w:w="0" w:type="dxa"/>
            </w:tcMar>
            <w:vAlign w:val="bottom"/>
          </w:tcPr>
          <w:p>
            <w:pPr>
              <w:keepNext/>
              <w:pageBreakBefore w:val="0"/>
              <w:spacing w:before="0" w:after="0"/>
            </w:pPr>
          </w:p>
        </w:tc>
      </w:tr>
      <w:tr>
        <w:tblPrEx>
          <w:tblW w:w="9930" w:type="dxa"/>
          <w:tblInd w:w="0" w:type="dxa"/>
          <w:tblLayout w:type="fixed"/>
          <w:tblCellMar>
            <w:left w:w="108" w:type="dxa"/>
            <w:right w:w="108" w:type="dxa"/>
          </w:tblCellMar>
        </w:tblPrEx>
        <w:trPr>
          <w:cantSplit/>
          <w:trHeight w:hRule="exact" w:val="1005"/>
        </w:trPr>
        <w:tc>
          <w:tcPr>
            <w:tcW w:w="112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center"/>
              <w:outlineLvl w:val="9"/>
              <w:rPr>
                <w:rFonts w:ascii="Arial" w:eastAsia="Arial" w:hAnsi="Arial" w:cs="Arial"/>
                <w:b w:val="0"/>
                <w:i w:val="0"/>
                <w:sz w:val="20"/>
              </w:rPr>
            </w:pPr>
            <w:r>
              <w:pict>
                <v:shape id="_x0000_s1235" type="#_x0000_t75" style="width:39.99pt;height:46.8pt;margin-top:0;margin-left:0;mso-position-horizontal:center;position:absolute;z-index:251791360">
                  <v:imagedata r:id="rId193" o:title=""/>
                  <o:lock v:ext="edit" aspectratio="t"/>
                  <w10:wrap type="square"/>
                </v:shape>
              </w:pict>
            </w:r>
          </w:p>
        </w:tc>
        <w:tc>
          <w:tcPr>
            <w:tcW w:w="1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 w:type="dxa"/>
            <w:tcBorders>
              <w:top w:val="nil"/>
              <w:left w:val="single" w:sz="12" w:space="0" w:color="4494D1"/>
              <w:bottom w:val="nil"/>
              <w:right w:val="nil"/>
            </w:tcBorders>
            <w:tcMar>
              <w:top w:w="0" w:type="dxa"/>
              <w:left w:w="0" w:type="dxa"/>
              <w:bottom w:w="0" w:type="dxa"/>
              <w:right w:w="0" w:type="dxa"/>
            </w:tcMar>
            <w:vAlign w:val="bottom"/>
          </w:tcPr>
          <w:p>
            <w:pPr>
              <w:keepNext/>
              <w:pageBreakBefore w:val="0"/>
              <w:spacing w:before="0" w:after="0"/>
            </w:pPr>
          </w:p>
        </w:tc>
        <w:tc>
          <w:tcPr>
            <w:tcW w:w="856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i w:val="0"/>
                <w:sz w:val="22"/>
              </w:rPr>
            </w:pPr>
            <w:r>
              <w:rPr>
                <w:rFonts w:ascii="Arial" w:eastAsia="Arial" w:hAnsi="Arial" w:cs="Arial"/>
                <w:b/>
                <w:i w:val="0"/>
                <w:sz w:val="22"/>
              </w:rPr>
              <w:t>Nazar Alobaidat</w:t>
            </w:r>
          </w:p>
          <w:p>
            <w:pPr>
              <w:pageBreakBefore w:val="0"/>
              <w:numPr>
                <w:ilvl w:val="0"/>
                <w:numId w:val="0"/>
              </w:numPr>
              <w:spacing w:before="0" w:after="0" w:line="288" w:lineRule="auto"/>
              <w:ind w:left="0" w:right="0" w:firstLine="0"/>
              <w:jc w:val="left"/>
              <w:outlineLvl w:val="9"/>
              <w:rPr>
                <w:rFonts w:ascii="Arial" w:eastAsia="Arial" w:hAnsi="Arial" w:cs="Arial"/>
                <w:b w:val="0"/>
                <w:i w:val="0"/>
                <w:sz w:val="20"/>
              </w:rPr>
            </w:pPr>
            <w:r>
              <w:rPr>
                <w:rFonts w:ascii="Arial" w:eastAsia="Arial" w:hAnsi="Arial" w:cs="Arial"/>
                <w:b w:val="0"/>
                <w:i w:val="0"/>
                <w:sz w:val="20"/>
              </w:rPr>
              <w:t>Chief Investment Officer ("CIO")</w:t>
            </w:r>
          </w:p>
        </w:tc>
      </w:tr>
      <w:tr>
        <w:tblPrEx>
          <w:tblW w:w="9930" w:type="dxa"/>
          <w:tblInd w:w="0" w:type="dxa"/>
          <w:tblLayout w:type="fixed"/>
          <w:tblCellMar>
            <w:left w:w="108" w:type="dxa"/>
            <w:right w:w="108" w:type="dxa"/>
          </w:tblCellMar>
        </w:tblPrEx>
        <w:trPr>
          <w:cantSplit/>
          <w:trHeight w:hRule="exact" w:val="75"/>
        </w:trPr>
        <w:tc>
          <w:tcPr>
            <w:tcW w:w="1125" w:type="dxa"/>
            <w:tcBorders>
              <w:top w:val="nil"/>
              <w:left w:val="nil"/>
              <w:bottom w:val="single" w:sz="4" w:space="0" w:color="000000"/>
              <w:right w:val="nil"/>
            </w:tcBorders>
            <w:tcMar>
              <w:top w:w="0" w:type="dxa"/>
              <w:left w:w="0" w:type="dxa"/>
              <w:bottom w:w="0" w:type="dxa"/>
              <w:right w:w="0" w:type="dxa"/>
            </w:tcMar>
            <w:vAlign w:val="bottom"/>
          </w:tcPr>
          <w:p>
            <w:pPr>
              <w:pageBreakBefore w:val="0"/>
              <w:spacing w:before="0" w:after="0"/>
            </w:pPr>
          </w:p>
        </w:tc>
        <w:tc>
          <w:tcPr>
            <w:tcW w:w="120" w:type="dxa"/>
            <w:tcBorders>
              <w:top w:val="nil"/>
              <w:left w:val="nil"/>
              <w:bottom w:val="single" w:sz="4" w:space="0" w:color="000000"/>
              <w:right w:val="nil"/>
            </w:tcBorders>
            <w:tcMar>
              <w:top w:w="0" w:type="dxa"/>
              <w:left w:w="0" w:type="dxa"/>
              <w:bottom w:w="0" w:type="dxa"/>
              <w:right w:w="0" w:type="dxa"/>
            </w:tcMar>
            <w:vAlign w:val="bottom"/>
          </w:tcPr>
          <w:p>
            <w:pPr>
              <w:pageBreakBefore w:val="0"/>
              <w:spacing w:before="0" w:after="0"/>
            </w:pPr>
          </w:p>
        </w:tc>
        <w:tc>
          <w:tcPr>
            <w:tcW w:w="120" w:type="dxa"/>
            <w:tcBorders>
              <w:top w:val="nil"/>
              <w:left w:val="nil"/>
              <w:bottom w:val="single" w:sz="4" w:space="0" w:color="000000"/>
              <w:right w:val="nil"/>
            </w:tcBorders>
            <w:tcMar>
              <w:top w:w="0" w:type="dxa"/>
              <w:left w:w="0" w:type="dxa"/>
              <w:bottom w:w="0" w:type="dxa"/>
              <w:right w:w="0" w:type="dxa"/>
            </w:tcMar>
            <w:vAlign w:val="bottom"/>
          </w:tcPr>
          <w:p>
            <w:pPr>
              <w:pageBreakBefore w:val="0"/>
              <w:spacing w:before="0" w:after="0"/>
            </w:pPr>
          </w:p>
        </w:tc>
        <w:tc>
          <w:tcPr>
            <w:tcW w:w="8565" w:type="dxa"/>
            <w:tcBorders>
              <w:top w:val="nil"/>
              <w:left w:val="nil"/>
              <w:bottom w:val="single" w:sz="4" w:space="0" w:color="000000"/>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60" w:line="288" w:lineRule="auto"/>
        <w:ind w:left="360" w:right="0" w:hanging="360"/>
        <w:jc w:val="left"/>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(1) </w:t>
      </w:r>
      <w:r>
        <w:rPr>
          <w:rFonts w:ascii="Arial" w:eastAsia="Arial" w:hAnsi="Arial" w:cs="Arial"/>
          <w:b w:val="0"/>
          <w:i w:val="0"/>
          <w:color w:val="969698"/>
          <w:sz w:val="16"/>
          <w:u w:val="none"/>
        </w:rPr>
        <w:tab/>
      </w:r>
      <w:r>
        <w:rPr>
          <w:rFonts w:ascii="Arial" w:eastAsia="Arial" w:hAnsi="Arial" w:cs="Arial"/>
          <w:b w:val="0"/>
          <w:i w:val="0"/>
          <w:color w:val="969698"/>
          <w:sz w:val="16"/>
          <w:u w:val="none"/>
        </w:rPr>
        <w:t xml:space="preserve">Matthew Kirk, previously the Company's Treasurer, was appointed </w:t>
      </w:r>
      <w:r>
        <w:rPr>
          <w:rFonts w:ascii="Arial" w:eastAsia="Arial" w:hAnsi="Arial" w:cs="Arial"/>
          <w:b w:val="0"/>
          <w:i w:val="0"/>
          <w:color w:val="969698"/>
          <w:sz w:val="16"/>
          <w:u w:val="none"/>
        </w:rPr>
        <w:t>a</w:t>
      </w:r>
      <w:r>
        <w:rPr>
          <w:rFonts w:ascii="Arial" w:eastAsia="Arial" w:hAnsi="Arial" w:cs="Arial"/>
          <w:b w:val="0"/>
          <w:i w:val="0"/>
          <w:color w:val="969698"/>
          <w:sz w:val="16"/>
          <w:u w:val="none"/>
        </w:rPr>
        <w:t>s</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CFO effective March 2, 2023.</w:t>
      </w: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rPr>
      </w:pPr>
      <w:r>
        <w:rPr>
          <w:rFonts w:ascii="Arial" w:eastAsia="Arial" w:hAnsi="Arial" w:cs="Arial"/>
          <w:b w:val="0"/>
          <w:i w:val="0"/>
          <w:color w:val="969698"/>
          <w:sz w:val="16"/>
          <w:u w:val="none"/>
        </w:rPr>
        <w:t>(2</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ab/>
      </w:r>
      <w:r>
        <w:rPr>
          <w:rFonts w:ascii="Arial" w:eastAsia="Arial" w:hAnsi="Arial" w:cs="Arial"/>
          <w:b w:val="0"/>
          <w:i w:val="0"/>
          <w:color w:val="969698"/>
          <w:sz w:val="16"/>
          <w:u w:val="none"/>
        </w:rPr>
        <w:t xml:space="preserve">Orla Gregory, previously CFO, was appointed </w:t>
      </w:r>
      <w:r>
        <w:rPr>
          <w:rFonts w:ascii="Arial" w:eastAsia="Arial" w:hAnsi="Arial" w:cs="Arial"/>
          <w:b w:val="0"/>
          <w:i w:val="0"/>
          <w:color w:val="969698"/>
          <w:sz w:val="16"/>
          <w:u w:val="none"/>
        </w:rPr>
        <w:t>a</w:t>
      </w:r>
      <w:r>
        <w:rPr>
          <w:rFonts w:ascii="Arial" w:eastAsia="Arial" w:hAnsi="Arial" w:cs="Arial"/>
          <w:b w:val="0"/>
          <w:i w:val="0"/>
          <w:color w:val="969698"/>
          <w:sz w:val="16"/>
          <w:u w:val="none"/>
        </w:rPr>
        <w:t>s</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President effective March 2, 2023</w:t>
      </w:r>
      <w:r>
        <w:rPr>
          <w:rFonts w:ascii="Arial" w:eastAsia="Arial" w:hAnsi="Arial" w:cs="Arial"/>
          <w:b w:val="0"/>
          <w:i w:val="0"/>
          <w:color w:val="969698"/>
          <w:sz w:val="16"/>
          <w:u w:val="none"/>
        </w:rPr>
        <w:t>.</w:t>
      </w: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(3) </w:t>
      </w:r>
      <w:r>
        <w:rPr>
          <w:rFonts w:ascii="Arial" w:eastAsia="Arial" w:hAnsi="Arial" w:cs="Arial"/>
          <w:b w:val="0"/>
          <w:i w:val="0"/>
          <w:color w:val="969698"/>
          <w:sz w:val="16"/>
          <w:u w:val="none"/>
        </w:rPr>
        <w:tab/>
      </w:r>
      <w:r>
        <w:rPr>
          <w:rFonts w:ascii="Arial" w:eastAsia="Arial" w:hAnsi="Arial" w:cs="Arial"/>
          <w:b w:val="0"/>
          <w:i w:val="0"/>
          <w:color w:val="969698"/>
          <w:sz w:val="16"/>
          <w:u w:val="none"/>
        </w:rPr>
        <w:t xml:space="preserve">Paul Brockman was appointed </w:t>
      </w:r>
      <w:r>
        <w:rPr>
          <w:rFonts w:ascii="Arial" w:eastAsia="Arial" w:hAnsi="Arial" w:cs="Arial"/>
          <w:b w:val="0"/>
          <w:i w:val="0"/>
          <w:color w:val="969698"/>
          <w:sz w:val="16"/>
          <w:u w:val="none"/>
        </w:rPr>
        <w:t>a</w:t>
      </w:r>
      <w:r>
        <w:rPr>
          <w:rFonts w:ascii="Arial" w:eastAsia="Arial" w:hAnsi="Arial" w:cs="Arial"/>
          <w:b w:val="0"/>
          <w:i w:val="0"/>
          <w:color w:val="969698"/>
          <w:sz w:val="16"/>
          <w:u w:val="none"/>
        </w:rPr>
        <w:t>s</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o</w:t>
      </w:r>
      <w:r>
        <w:rPr>
          <w:rFonts w:ascii="Arial" w:eastAsia="Arial" w:hAnsi="Arial" w:cs="Arial"/>
          <w:b w:val="0"/>
          <w:i w:val="0"/>
          <w:color w:val="969698"/>
          <w:sz w:val="16"/>
          <w:u w:val="none"/>
        </w:rPr>
        <w:t>u</w:t>
      </w:r>
      <w:r>
        <w:rPr>
          <w:rFonts w:ascii="Arial" w:eastAsia="Arial" w:hAnsi="Arial" w:cs="Arial"/>
          <w:b w:val="0"/>
          <w:i w:val="0"/>
          <w:color w:val="969698"/>
          <w:sz w:val="16"/>
          <w:u w:val="none"/>
        </w:rPr>
        <w:t>r</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COO</w:t>
      </w:r>
      <w:r>
        <w:rPr>
          <w:rFonts w:ascii="Arial" w:eastAsia="Arial" w:hAnsi="Arial" w:cs="Arial"/>
          <w:b w:val="0"/>
          <w:i w:val="0"/>
          <w:color w:val="969698"/>
          <w:sz w:val="16"/>
          <w:u w:val="none"/>
        </w:rPr>
        <w:t xml:space="preserve"> effective March 2, 2023</w:t>
      </w:r>
      <w:r>
        <w:rPr>
          <w:rFonts w:ascii="Arial" w:eastAsia="Arial" w:hAnsi="Arial" w:cs="Arial"/>
          <w:b w:val="0"/>
          <w:i w:val="0"/>
          <w:color w:val="969698"/>
          <w:sz w:val="16"/>
          <w:u w:val="none"/>
        </w:rPr>
        <w:t xml:space="preserve">. He </w:t>
      </w:r>
      <w:r>
        <w:rPr>
          <w:rFonts w:ascii="Arial" w:eastAsia="Arial" w:hAnsi="Arial" w:cs="Arial"/>
          <w:b w:val="0"/>
          <w:i w:val="0"/>
          <w:color w:val="969698"/>
          <w:sz w:val="16"/>
          <w:u w:val="none"/>
        </w:rPr>
        <w:t xml:space="preserve">also served as </w:t>
      </w:r>
      <w:r>
        <w:rPr>
          <w:rFonts w:ascii="Arial" w:eastAsia="Arial" w:hAnsi="Arial" w:cs="Arial"/>
          <w:b w:val="0"/>
          <w:i w:val="0"/>
          <w:color w:val="969698"/>
          <w:sz w:val="16"/>
          <w:u w:val="none"/>
        </w:rPr>
        <w:t>Chief Claims Officer</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through</w:t>
      </w:r>
      <w:r>
        <w:rPr>
          <w:rFonts w:ascii="Arial" w:eastAsia="Arial" w:hAnsi="Arial" w:cs="Arial"/>
          <w:b w:val="0"/>
          <w:i w:val="0"/>
          <w:color w:val="969698"/>
          <w:sz w:val="16"/>
          <w:u w:val="none"/>
        </w:rPr>
        <w:t xml:space="preserve"> 2023</w:t>
      </w:r>
      <w:r>
        <w:rPr>
          <w:rFonts w:ascii="Arial" w:eastAsia="Arial" w:hAnsi="Arial" w:cs="Arial"/>
          <w:b w:val="0"/>
          <w:i w:val="0"/>
          <w:color w:val="969698"/>
          <w:sz w:val="16"/>
          <w:u w:val="none"/>
        </w:rPr>
        <w:t xml:space="preserve">, a </w:t>
      </w:r>
      <w:r>
        <w:rPr>
          <w:rFonts w:ascii="Arial" w:eastAsia="Arial" w:hAnsi="Arial" w:cs="Arial"/>
          <w:b w:val="0"/>
          <w:i w:val="0"/>
          <w:color w:val="969698"/>
          <w:sz w:val="16"/>
          <w:u w:val="none"/>
        </w:rPr>
        <w:t>position he has held since September 2020</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969698"/>
          <w:sz w:val="20"/>
          <w:u w:val="none"/>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969698"/>
          <w:sz w:val="16"/>
          <w:u w:val="none"/>
        </w:rPr>
        <w:sectPr>
          <w:headerReference w:type="default" r:id="rId194"/>
          <w:footerReference w:type="default" r:id="rId195"/>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63" w:name="Section66"/>
      <w:bookmarkEnd w:id="63"/>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Company</w:t>
      </w:r>
      <w:r>
        <w:rPr>
          <w:rFonts w:ascii="Arial" w:eastAsia="Arial" w:hAnsi="Arial" w:cs="Arial"/>
          <w:b/>
          <w:i w:val="0"/>
          <w:color w:val="171449"/>
          <w:sz w:val="24"/>
          <w:u w:val="none"/>
        </w:rPr>
        <w:t xml:space="preserve"> Performance</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In </w:t>
      </w:r>
      <w:r>
        <w:rPr>
          <w:rFonts w:ascii="Arial" w:eastAsia="Arial" w:hAnsi="Arial" w:cs="Arial"/>
          <w:b w:val="0"/>
          <w:i w:val="0"/>
          <w:color w:val="000000"/>
          <w:sz w:val="20"/>
          <w:u w:val="none"/>
        </w:rPr>
        <w:t>2023</w:t>
      </w:r>
      <w:r>
        <w:rPr>
          <w:rFonts w:ascii="Arial" w:eastAsia="Arial" w:hAnsi="Arial" w:cs="Arial"/>
          <w:b w:val="0"/>
          <w:i w:val="0"/>
          <w:sz w:val="20"/>
        </w:rPr>
        <w:t xml:space="preserve">, the Company </w:t>
      </w:r>
      <w:r>
        <w:rPr>
          <w:rFonts w:ascii="Arial" w:eastAsia="Arial" w:hAnsi="Arial" w:cs="Arial"/>
          <w:b w:val="0"/>
          <w:i w:val="0"/>
          <w:sz w:val="20"/>
        </w:rPr>
        <w:t xml:space="preserve">delivered </w:t>
      </w:r>
      <w:r>
        <w:rPr>
          <w:rFonts w:ascii="Arial" w:eastAsia="Arial" w:hAnsi="Arial" w:cs="Arial"/>
          <w:b w:val="0"/>
          <w:i w:val="0"/>
          <w:sz w:val="20"/>
        </w:rPr>
        <w:t>net income attributable to</w:t>
      </w:r>
      <w:r>
        <w:rPr>
          <w:rFonts w:ascii="Arial" w:eastAsia="Arial" w:hAnsi="Arial" w:cs="Arial"/>
          <w:b w:val="0"/>
          <w:i w:val="0"/>
          <w:sz w:val="20"/>
        </w:rPr>
        <w:t xml:space="preserve"> ordinary </w:t>
      </w:r>
      <w:r>
        <w:rPr>
          <w:rFonts w:ascii="Arial" w:eastAsia="Arial" w:hAnsi="Arial" w:cs="Arial"/>
          <w:b w:val="0"/>
          <w:i w:val="0"/>
          <w:sz w:val="20"/>
        </w:rPr>
        <w:t>shareholders</w:t>
      </w:r>
      <w:r>
        <w:rPr>
          <w:rFonts w:ascii="Arial" w:eastAsia="Arial" w:hAnsi="Arial" w:cs="Arial"/>
          <w:b w:val="0"/>
          <w:i w:val="0"/>
          <w:sz w:val="20"/>
        </w:rPr>
        <w:t xml:space="preserve"> of </w:t>
      </w:r>
      <w:r>
        <w:rPr>
          <w:rFonts w:ascii="Arial" w:eastAsia="Arial" w:hAnsi="Arial" w:cs="Arial"/>
          <w:b w:val="0"/>
          <w:i w:val="0"/>
          <w:sz w:val="20"/>
        </w:rPr>
        <w:t>$1.1 billion</w:t>
      </w:r>
      <w:r>
        <w:rPr>
          <w:rFonts w:ascii="Arial" w:eastAsia="Arial" w:hAnsi="Arial" w:cs="Arial"/>
          <w:b w:val="0"/>
          <w:i w:val="0"/>
          <w:sz w:val="20"/>
        </w:rPr>
        <w:t xml:space="preserve">, </w:t>
      </w:r>
      <w:r>
        <w:rPr>
          <w:rFonts w:ascii="Arial" w:eastAsia="Arial" w:hAnsi="Arial" w:cs="Arial"/>
          <w:b w:val="0"/>
          <w:i w:val="0"/>
          <w:sz w:val="20"/>
        </w:rPr>
        <w:t>return on equity</w:t>
      </w:r>
      <w:r>
        <w:rPr>
          <w:rFonts w:ascii="Arial" w:eastAsia="Arial" w:hAnsi="Arial" w:cs="Arial"/>
          <w:b w:val="0"/>
          <w:i w:val="0"/>
          <w:sz w:val="20"/>
        </w:rPr>
        <w:t xml:space="preserve"> of 24.2%</w:t>
      </w:r>
      <w:r>
        <w:rPr>
          <w:rFonts w:ascii="Arial" w:eastAsia="Arial" w:hAnsi="Arial" w:cs="Arial"/>
          <w:b w:val="0"/>
          <w:i w:val="0"/>
          <w:sz w:val="20"/>
        </w:rPr>
        <w:t xml:space="preserve">, and growth in </w:t>
      </w:r>
      <w:r>
        <w:rPr>
          <w:rFonts w:ascii="Arial" w:eastAsia="Arial" w:hAnsi="Arial" w:cs="Arial"/>
          <w:b w:val="0"/>
          <w:i w:val="0"/>
          <w:sz w:val="20"/>
        </w:rPr>
        <w:t>book</w:t>
      </w:r>
      <w:r>
        <w:rPr>
          <w:rFonts w:ascii="Arial" w:eastAsia="Arial" w:hAnsi="Arial" w:cs="Arial"/>
          <w:b w:val="0"/>
          <w:i w:val="0"/>
          <w:sz w:val="20"/>
        </w:rPr>
        <w:t xml:space="preserve"> </w:t>
      </w:r>
      <w:r>
        <w:rPr>
          <w:rFonts w:ascii="Arial" w:eastAsia="Arial" w:hAnsi="Arial" w:cs="Arial"/>
          <w:b w:val="0"/>
          <w:i w:val="0"/>
          <w:sz w:val="20"/>
        </w:rPr>
        <w:t>value</w:t>
      </w:r>
      <w:r>
        <w:rPr>
          <w:rFonts w:ascii="Arial" w:eastAsia="Arial" w:hAnsi="Arial" w:cs="Arial"/>
          <w:b w:val="0"/>
          <w:i w:val="0"/>
          <w:sz w:val="20"/>
        </w:rPr>
        <w:t xml:space="preserve"> per share</w:t>
      </w:r>
      <w:r>
        <w:rPr>
          <w:rFonts w:ascii="Arial" w:eastAsia="Arial" w:hAnsi="Arial" w:cs="Arial"/>
          <w:b w:val="0"/>
          <w:i w:val="0"/>
          <w:sz w:val="20"/>
        </w:rPr>
        <w:t xml:space="preserve"> of 3</w:t>
      </w:r>
      <w:r>
        <w:rPr>
          <w:rFonts w:ascii="Arial" w:eastAsia="Arial" w:hAnsi="Arial" w:cs="Arial"/>
          <w:b w:val="0"/>
          <w:i w:val="0"/>
          <w:sz w:val="20"/>
        </w:rPr>
        <w:t>1</w:t>
      </w:r>
      <w:r>
        <w:rPr>
          <w:rFonts w:ascii="Arial" w:eastAsia="Arial" w:hAnsi="Arial" w:cs="Arial"/>
          <w:b w:val="0"/>
          <w:i w:val="0"/>
          <w:sz w:val="20"/>
        </w:rPr>
        <w:t>.0%</w:t>
      </w:r>
      <w:r>
        <w:rPr>
          <w:rFonts w:ascii="Arial" w:eastAsia="Arial" w:hAnsi="Arial" w:cs="Arial"/>
          <w:b w:val="0"/>
          <w:i w:val="0"/>
          <w:sz w:val="20"/>
        </w:rPr>
        <w:t>.</w:t>
      </w:r>
      <w:r>
        <w:rPr>
          <w:rFonts w:ascii="Arial" w:eastAsia="Arial" w:hAnsi="Arial" w:cs="Arial"/>
          <w:b w:val="0"/>
          <w:i w:val="0"/>
          <w:sz w:val="20"/>
        </w:rPr>
        <w:t xml:space="preserve"> </w:t>
      </w:r>
      <w:r>
        <w:rPr>
          <w:rFonts w:ascii="Arial" w:eastAsia="Arial" w:hAnsi="Arial" w:cs="Arial"/>
          <w:b w:val="0"/>
          <w:i w:val="0"/>
          <w:sz w:val="20"/>
        </w:rPr>
        <w:t xml:space="preserve">This </w:t>
      </w:r>
      <w:r>
        <w:rPr>
          <w:rFonts w:ascii="Arial" w:eastAsia="Arial" w:hAnsi="Arial" w:cs="Arial"/>
          <w:b w:val="0"/>
          <w:i w:val="0"/>
          <w:sz w:val="20"/>
        </w:rPr>
        <w:t>result</w:t>
      </w:r>
      <w:r>
        <w:rPr>
          <w:rFonts w:ascii="Arial" w:eastAsia="Arial" w:hAnsi="Arial" w:cs="Arial"/>
          <w:b w:val="0"/>
          <w:i w:val="0"/>
          <w:sz w:val="20"/>
        </w:rPr>
        <w:t xml:space="preserve"> was </w:t>
      </w:r>
      <w:r>
        <w:rPr>
          <w:rFonts w:ascii="Arial" w:eastAsia="Arial" w:hAnsi="Arial" w:cs="Arial"/>
          <w:b w:val="0"/>
          <w:i w:val="0"/>
          <w:sz w:val="20"/>
        </w:rPr>
        <w:t xml:space="preserve">driven by </w:t>
      </w:r>
      <w:r>
        <w:rPr>
          <w:rFonts w:ascii="Arial" w:eastAsia="Arial" w:hAnsi="Arial" w:cs="Arial"/>
          <w:b w:val="0"/>
          <w:i w:val="0"/>
          <w:sz w:val="20"/>
        </w:rPr>
        <w:t>total investment return of $1.3 billion</w:t>
      </w:r>
      <w:r>
        <w:rPr>
          <w:rFonts w:ascii="Arial" w:eastAsia="Arial" w:hAnsi="Arial" w:cs="Arial"/>
          <w:b w:val="0"/>
          <w:i w:val="0"/>
          <w:sz w:val="20"/>
        </w:rPr>
        <w:t xml:space="preserve">, net </w:t>
      </w:r>
      <w:r>
        <w:rPr>
          <w:rFonts w:ascii="Arial" w:eastAsia="Arial" w:hAnsi="Arial" w:cs="Arial"/>
          <w:b w:val="0"/>
          <w:i w:val="0"/>
          <w:sz w:val="20"/>
        </w:rPr>
        <w:t>investment</w:t>
      </w:r>
      <w:r>
        <w:rPr>
          <w:rFonts w:ascii="Arial" w:eastAsia="Arial" w:hAnsi="Arial" w:cs="Arial"/>
          <w:b w:val="0"/>
          <w:i w:val="0"/>
          <w:sz w:val="20"/>
        </w:rPr>
        <w:t xml:space="preserve"> income of $647 million,</w:t>
      </w:r>
      <w:r>
        <w:rPr>
          <w:rFonts w:ascii="Arial" w:eastAsia="Arial" w:hAnsi="Arial" w:cs="Arial"/>
          <w:b w:val="0"/>
          <w:i w:val="0"/>
          <w:sz w:val="20"/>
        </w:rPr>
        <w:t xml:space="preserve"> and favorable run-off liab</w:t>
      </w:r>
      <w:r>
        <w:rPr>
          <w:rFonts w:ascii="Arial" w:eastAsia="Arial" w:hAnsi="Arial" w:cs="Arial"/>
          <w:b w:val="0"/>
          <w:i w:val="0"/>
          <w:sz w:val="20"/>
        </w:rPr>
        <w:t>ility earnings of $131 million</w:t>
      </w:r>
      <w:r>
        <w:rPr>
          <w:rFonts w:ascii="Arial" w:eastAsia="Arial" w:hAnsi="Arial" w:cs="Arial"/>
          <w:b w:val="0"/>
          <w:i w:val="0"/>
          <w:sz w:val="20"/>
        </w:rPr>
        <w:t xml:space="preserve">. </w:t>
      </w:r>
      <w:r>
        <w:rPr>
          <w:rFonts w:ascii="Arial" w:eastAsia="Arial" w:hAnsi="Arial" w:cs="Arial"/>
          <w:b w:val="0"/>
          <w:i w:val="0"/>
          <w:sz w:val="20"/>
        </w:rPr>
        <w:t>T</w:t>
      </w:r>
      <w:r>
        <w:rPr>
          <w:rFonts w:ascii="Arial" w:eastAsia="Arial" w:hAnsi="Arial" w:cs="Arial"/>
          <w:b w:val="0"/>
          <w:i w:val="0"/>
          <w:sz w:val="20"/>
        </w:rPr>
        <w:t xml:space="preserve">he </w:t>
      </w:r>
      <w:r>
        <w:rPr>
          <w:rFonts w:ascii="Arial" w:eastAsia="Arial" w:hAnsi="Arial" w:cs="Arial"/>
          <w:b w:val="0"/>
          <w:i w:val="0"/>
          <w:sz w:val="20"/>
        </w:rPr>
        <w:t>C</w:t>
      </w:r>
      <w:r>
        <w:rPr>
          <w:rFonts w:ascii="Arial" w:eastAsia="Arial" w:hAnsi="Arial" w:cs="Arial"/>
          <w:b w:val="0"/>
          <w:i w:val="0"/>
          <w:sz w:val="20"/>
        </w:rPr>
        <w:t xml:space="preserve">ompany </w:t>
      </w:r>
      <w:r>
        <w:rPr>
          <w:rFonts w:ascii="Arial" w:eastAsia="Arial" w:hAnsi="Arial" w:cs="Arial"/>
          <w:b w:val="0"/>
          <w:i w:val="0"/>
          <w:sz w:val="20"/>
        </w:rPr>
        <w:t xml:space="preserve">also achieved </w:t>
      </w:r>
      <w:r>
        <w:rPr>
          <w:rFonts w:ascii="Arial" w:eastAsia="Arial" w:hAnsi="Arial" w:cs="Arial"/>
          <w:b w:val="0"/>
          <w:i w:val="0"/>
          <w:sz w:val="20"/>
        </w:rPr>
        <w:t>strateg</w:t>
      </w:r>
      <w:r>
        <w:rPr>
          <w:rFonts w:ascii="Arial" w:eastAsia="Arial" w:hAnsi="Arial" w:cs="Arial"/>
          <w:b w:val="0"/>
          <w:i w:val="0"/>
          <w:sz w:val="20"/>
        </w:rPr>
        <w:t xml:space="preserve">ic and </w:t>
      </w:r>
      <w:r>
        <w:rPr>
          <w:rFonts w:ascii="Arial" w:eastAsia="Arial" w:hAnsi="Arial" w:cs="Arial"/>
          <w:b w:val="0"/>
          <w:i w:val="0"/>
          <w:sz w:val="20"/>
        </w:rPr>
        <w:t>operational successes,</w:t>
      </w:r>
      <w:r>
        <w:rPr>
          <w:rFonts w:ascii="Arial" w:eastAsia="Arial" w:hAnsi="Arial" w:cs="Arial"/>
          <w:b w:val="0"/>
          <w:i w:val="0"/>
          <w:sz w:val="20"/>
        </w:rPr>
        <w:t xml:space="preserve"> </w:t>
      </w:r>
      <w:r>
        <w:rPr>
          <w:rFonts w:ascii="Arial" w:eastAsia="Arial" w:hAnsi="Arial" w:cs="Arial"/>
          <w:b w:val="0"/>
          <w:i w:val="0"/>
          <w:sz w:val="20"/>
        </w:rPr>
        <w:t>complet</w:t>
      </w:r>
      <w:r>
        <w:rPr>
          <w:rFonts w:ascii="Arial" w:eastAsia="Arial" w:hAnsi="Arial" w:cs="Arial"/>
          <w:b w:val="0"/>
          <w:i w:val="0"/>
          <w:sz w:val="20"/>
        </w:rPr>
        <w:t>ing</w:t>
      </w:r>
      <w:r>
        <w:rPr>
          <w:rFonts w:ascii="Arial" w:eastAsia="Arial" w:hAnsi="Arial" w:cs="Arial"/>
          <w:b w:val="0"/>
          <w:i w:val="0"/>
          <w:sz w:val="20"/>
        </w:rPr>
        <w:t xml:space="preserve"> </w:t>
      </w:r>
      <w:r>
        <w:rPr>
          <w:rFonts w:ascii="Arial" w:eastAsia="Arial" w:hAnsi="Arial" w:cs="Arial"/>
          <w:b w:val="0"/>
          <w:i w:val="0"/>
          <w:sz w:val="20"/>
        </w:rPr>
        <w:t xml:space="preserve">several </w:t>
      </w:r>
      <w:r>
        <w:rPr>
          <w:rFonts w:ascii="Arial" w:eastAsia="Arial" w:hAnsi="Arial" w:cs="Arial"/>
          <w:b w:val="0"/>
          <w:i w:val="0"/>
          <w:sz w:val="20"/>
        </w:rPr>
        <w:t>significant</w:t>
      </w:r>
      <w:r>
        <w:rPr>
          <w:rFonts w:ascii="Arial" w:eastAsia="Arial" w:hAnsi="Arial" w:cs="Arial"/>
          <w:b w:val="0"/>
          <w:i w:val="0"/>
          <w:sz w:val="20"/>
        </w:rPr>
        <w:t xml:space="preserve"> t</w:t>
      </w:r>
      <w:r>
        <w:rPr>
          <w:rFonts w:ascii="Arial" w:eastAsia="Arial" w:hAnsi="Arial" w:cs="Arial"/>
          <w:b w:val="0"/>
          <w:i w:val="0"/>
          <w:sz w:val="20"/>
        </w:rPr>
        <w:t>ransactions, including a $2 billion loss p</w:t>
      </w:r>
      <w:r>
        <w:rPr>
          <w:rFonts w:ascii="Arial" w:eastAsia="Arial" w:hAnsi="Arial" w:cs="Arial"/>
          <w:b w:val="0"/>
          <w:i w:val="0"/>
          <w:sz w:val="20"/>
        </w:rPr>
        <w:t xml:space="preserve">ortfolio </w:t>
      </w:r>
      <w:r>
        <w:rPr>
          <w:rFonts w:ascii="Arial" w:eastAsia="Arial" w:hAnsi="Arial" w:cs="Arial"/>
          <w:b w:val="0"/>
          <w:i w:val="0"/>
          <w:sz w:val="20"/>
        </w:rPr>
        <w:t>transfer</w:t>
      </w:r>
      <w:r>
        <w:rPr>
          <w:rFonts w:ascii="Arial" w:eastAsia="Arial" w:hAnsi="Arial" w:cs="Arial"/>
          <w:b w:val="0"/>
          <w:i w:val="0"/>
          <w:sz w:val="20"/>
        </w:rPr>
        <w:t xml:space="preserve"> with </w:t>
      </w:r>
      <w:r>
        <w:rPr>
          <w:rFonts w:ascii="Arial" w:eastAsia="Arial" w:hAnsi="Arial" w:cs="Arial"/>
          <w:b w:val="0"/>
          <w:i w:val="0"/>
          <w:sz w:val="20"/>
        </w:rPr>
        <w:t>lon</w:t>
      </w:r>
      <w:r>
        <w:rPr>
          <w:rFonts w:ascii="Arial" w:eastAsia="Arial" w:hAnsi="Arial" w:cs="Arial"/>
          <w:b w:val="0"/>
          <w:i w:val="0"/>
          <w:sz w:val="20"/>
        </w:rPr>
        <w:t xml:space="preserve">gstanding partner </w:t>
      </w:r>
      <w:r>
        <w:rPr>
          <w:rFonts w:ascii="Arial" w:eastAsia="Arial" w:hAnsi="Arial" w:cs="Arial"/>
          <w:b w:val="0"/>
          <w:i w:val="0"/>
          <w:sz w:val="20"/>
        </w:rPr>
        <w:t>Q</w:t>
      </w:r>
      <w:r>
        <w:rPr>
          <w:rFonts w:ascii="Arial" w:eastAsia="Arial" w:hAnsi="Arial" w:cs="Arial"/>
          <w:b w:val="0"/>
          <w:i w:val="0"/>
          <w:sz w:val="20"/>
        </w:rPr>
        <w:t>BE</w:t>
      </w:r>
      <w:r>
        <w:rPr>
          <w:rFonts w:ascii="Arial" w:eastAsia="Arial" w:hAnsi="Arial" w:cs="Arial"/>
          <w:b w:val="0"/>
          <w:i w:val="0"/>
          <w:sz w:val="20"/>
        </w:rPr>
        <w:t xml:space="preserve"> </w:t>
      </w:r>
      <w:r>
        <w:rPr>
          <w:rFonts w:ascii="Arial" w:eastAsia="Arial" w:hAnsi="Arial" w:cs="Arial"/>
          <w:b w:val="0"/>
          <w:i w:val="0"/>
          <w:sz w:val="20"/>
        </w:rPr>
        <w:t xml:space="preserve">and </w:t>
      </w:r>
      <w:r>
        <w:rPr>
          <w:rFonts w:ascii="Arial" w:eastAsia="Arial" w:hAnsi="Arial" w:cs="Arial"/>
          <w:b w:val="0"/>
          <w:i w:val="0"/>
          <w:sz w:val="20"/>
        </w:rPr>
        <w:t>a bespoke transaction with AIG</w:t>
      </w:r>
      <w:r>
        <w:rPr>
          <w:rFonts w:ascii="Arial" w:eastAsia="Arial" w:hAnsi="Arial" w:cs="Arial"/>
          <w:b w:val="0"/>
          <w:i w:val="0"/>
          <w:sz w:val="20"/>
        </w:rPr>
        <w:t xml:space="preserve"> to</w:t>
      </w:r>
      <w:r>
        <w:rPr>
          <w:rFonts w:ascii="Arial" w:eastAsia="Arial" w:hAnsi="Arial" w:cs="Arial"/>
          <w:b w:val="0"/>
          <w:i w:val="0"/>
          <w:sz w:val="20"/>
        </w:rPr>
        <w:t xml:space="preserve"> provid</w:t>
      </w:r>
      <w:r>
        <w:rPr>
          <w:rFonts w:ascii="Arial" w:eastAsia="Arial" w:hAnsi="Arial" w:cs="Arial"/>
          <w:b w:val="0"/>
          <w:i w:val="0"/>
          <w:sz w:val="20"/>
        </w:rPr>
        <w:t>e</w:t>
      </w:r>
      <w:r>
        <w:rPr>
          <w:rFonts w:ascii="Arial" w:eastAsia="Arial" w:hAnsi="Arial" w:cs="Arial"/>
          <w:b w:val="0"/>
          <w:i w:val="0"/>
          <w:sz w:val="20"/>
        </w:rPr>
        <w:t xml:space="preserve"> protection on </w:t>
      </w:r>
      <w:r>
        <w:rPr>
          <w:rFonts w:ascii="Arial" w:eastAsia="Arial" w:hAnsi="Arial" w:cs="Arial"/>
          <w:b w:val="0"/>
          <w:i w:val="0"/>
          <w:sz w:val="20"/>
        </w:rPr>
        <w:t>its</w:t>
      </w:r>
      <w:r>
        <w:rPr>
          <w:rFonts w:ascii="Arial" w:eastAsia="Arial" w:hAnsi="Arial" w:cs="Arial"/>
          <w:b w:val="0"/>
          <w:i w:val="0"/>
          <w:sz w:val="20"/>
        </w:rPr>
        <w:t xml:space="preserve"> </w:t>
      </w:r>
      <w:r>
        <w:rPr>
          <w:rFonts w:ascii="Arial" w:eastAsia="Arial" w:hAnsi="Arial" w:cs="Arial"/>
          <w:b w:val="0"/>
          <w:i w:val="0"/>
          <w:sz w:val="20"/>
        </w:rPr>
        <w:t xml:space="preserve">retained exposure to adverse development on </w:t>
      </w:r>
      <w:r>
        <w:rPr>
          <w:rFonts w:ascii="Arial" w:eastAsia="Arial" w:hAnsi="Arial" w:cs="Arial"/>
          <w:b w:val="0"/>
          <w:i w:val="0"/>
          <w:sz w:val="20"/>
        </w:rPr>
        <w:t>loss reserves</w:t>
      </w:r>
      <w:r>
        <w:rPr>
          <w:rFonts w:ascii="Arial" w:eastAsia="Arial" w:hAnsi="Arial" w:cs="Arial"/>
          <w:b w:val="0"/>
          <w:i w:val="0"/>
          <w:sz w:val="20"/>
        </w:rPr>
        <w:t xml:space="preserve"> </w:t>
      </w:r>
      <w:r>
        <w:rPr>
          <w:rFonts w:ascii="Arial" w:eastAsia="Arial" w:hAnsi="Arial" w:cs="Arial"/>
          <w:b w:val="0"/>
          <w:i w:val="0"/>
          <w:sz w:val="20"/>
        </w:rPr>
        <w:t xml:space="preserve">following the sale of </w:t>
      </w:r>
      <w:r>
        <w:rPr>
          <w:rFonts w:ascii="Arial" w:eastAsia="Arial" w:hAnsi="Arial" w:cs="Arial"/>
          <w:b w:val="0"/>
          <w:i w:val="0"/>
          <w:sz w:val="20"/>
        </w:rPr>
        <w:t xml:space="preserve">an </w:t>
      </w:r>
      <w:r>
        <w:rPr>
          <w:rFonts w:ascii="Arial" w:eastAsia="Arial" w:hAnsi="Arial" w:cs="Arial"/>
          <w:b w:val="0"/>
          <w:i w:val="0"/>
          <w:sz w:val="20"/>
        </w:rPr>
        <w:t>operating</w:t>
      </w:r>
      <w:r>
        <w:rPr>
          <w:rFonts w:ascii="Arial" w:eastAsia="Arial" w:hAnsi="Arial" w:cs="Arial"/>
          <w:b w:val="0"/>
          <w:i w:val="0"/>
          <w:sz w:val="20"/>
        </w:rPr>
        <w:t xml:space="preserve"> subsidiary</w:t>
      </w:r>
      <w:r>
        <w:rPr>
          <w:rFonts w:ascii="Arial" w:eastAsia="Arial" w:hAnsi="Arial" w:cs="Arial"/>
          <w:b w:val="0"/>
          <w:i w:val="0"/>
          <w:sz w:val="20"/>
        </w:rPr>
        <w:t>.</w:t>
      </w:r>
      <w:r>
        <w:rPr>
          <w:rFonts w:ascii="Arial" w:eastAsia="Arial" w:hAnsi="Arial" w:cs="Arial"/>
          <w:b w:val="0"/>
          <w:i w:val="0"/>
          <w:sz w:val="20"/>
        </w:rPr>
        <w:t xml:space="preserve"> </w:t>
      </w:r>
      <w:r>
        <w:rPr>
          <w:rFonts w:ascii="Arial" w:eastAsia="Arial" w:hAnsi="Arial" w:cs="Arial"/>
          <w:b w:val="0"/>
          <w:i w:val="0"/>
          <w:color w:val="000000"/>
          <w:sz w:val="20"/>
          <w:u w:val="none"/>
        </w:rPr>
        <w:t xml:space="preserve">We </w:t>
      </w:r>
      <w:r>
        <w:rPr>
          <w:rFonts w:ascii="Arial" w:eastAsia="Arial" w:hAnsi="Arial" w:cs="Arial"/>
          <w:b w:val="0"/>
          <w:i w:val="0"/>
          <w:color w:val="000000"/>
          <w:sz w:val="20"/>
          <w:u w:val="none"/>
        </w:rPr>
        <w:t xml:space="preserve">also successfully </w:t>
      </w:r>
      <w:r>
        <w:rPr>
          <w:rFonts w:ascii="Arial" w:eastAsia="Arial" w:hAnsi="Arial" w:cs="Arial"/>
          <w:b w:val="0"/>
          <w:i w:val="0"/>
          <w:color w:val="000000"/>
          <w:sz w:val="20"/>
          <w:u w:val="none"/>
        </w:rPr>
        <w:t xml:space="preserve">generated and </w:t>
      </w:r>
      <w:r>
        <w:rPr>
          <w:rFonts w:ascii="Arial" w:eastAsia="Arial" w:hAnsi="Arial" w:cs="Arial"/>
          <w:b w:val="0"/>
          <w:i w:val="0"/>
          <w:color w:val="000000"/>
          <w:sz w:val="20"/>
          <w:u w:val="none"/>
        </w:rPr>
        <w:t>m</w:t>
      </w:r>
      <w:r>
        <w:rPr>
          <w:rFonts w:ascii="Arial" w:eastAsia="Arial" w:hAnsi="Arial" w:cs="Arial"/>
          <w:b w:val="0"/>
          <w:i w:val="0"/>
          <w:color w:val="000000"/>
          <w:sz w:val="20"/>
          <w:u w:val="none"/>
        </w:rPr>
        <w:t>anaged excess capital</w:t>
      </w:r>
      <w:r>
        <w:rPr>
          <w:rFonts w:ascii="Arial" w:eastAsia="Arial" w:hAnsi="Arial" w:cs="Arial"/>
          <w:b w:val="0"/>
          <w:i w:val="0"/>
          <w:color w:val="000000"/>
          <w:sz w:val="20"/>
          <w:u w:val="none"/>
        </w:rPr>
        <w:t>, rep</w:t>
      </w:r>
      <w:r>
        <w:rPr>
          <w:rFonts w:ascii="Arial" w:eastAsia="Arial" w:hAnsi="Arial" w:cs="Arial"/>
          <w:b w:val="0"/>
          <w:i w:val="0"/>
          <w:color w:val="000000"/>
          <w:sz w:val="20"/>
          <w:u w:val="none"/>
        </w:rPr>
        <w:t>ur</w:t>
      </w:r>
      <w:r>
        <w:rPr>
          <w:rFonts w:ascii="Arial" w:eastAsia="Arial" w:hAnsi="Arial" w:cs="Arial"/>
          <w:b w:val="0"/>
          <w:i w:val="0"/>
          <w:color w:val="000000"/>
          <w:sz w:val="20"/>
          <w:u w:val="none"/>
        </w:rPr>
        <w:t>chas</w:t>
      </w:r>
      <w:r>
        <w:rPr>
          <w:rFonts w:ascii="Arial" w:eastAsia="Arial" w:hAnsi="Arial" w:cs="Arial"/>
          <w:b w:val="0"/>
          <w:i w:val="0"/>
          <w:color w:val="000000"/>
          <w:sz w:val="20"/>
          <w:u w:val="none"/>
        </w:rPr>
        <w:t>ing a total $53</w:t>
      </w:r>
      <w:r>
        <w:rPr>
          <w:rFonts w:ascii="Arial" w:eastAsia="Arial" w:hAnsi="Arial" w:cs="Arial"/>
          <w:b w:val="0"/>
          <w:i w:val="0"/>
          <w:color w:val="000000"/>
          <w:sz w:val="20"/>
          <w:u w:val="none"/>
        </w:rPr>
        <w:t>2</w:t>
      </w:r>
      <w:r>
        <w:rPr>
          <w:rFonts w:ascii="Arial" w:eastAsia="Arial" w:hAnsi="Arial" w:cs="Arial"/>
          <w:b w:val="0"/>
          <w:i w:val="0"/>
          <w:color w:val="000000"/>
          <w:sz w:val="20"/>
          <w:u w:val="none"/>
        </w:rPr>
        <w:t xml:space="preserve"> million of </w:t>
      </w:r>
      <w:r>
        <w:rPr>
          <w:rFonts w:ascii="Arial" w:eastAsia="Arial" w:hAnsi="Arial" w:cs="Arial"/>
          <w:b w:val="0"/>
          <w:i w:val="0"/>
          <w:color w:val="000000"/>
          <w:sz w:val="20"/>
          <w:u w:val="none"/>
        </w:rPr>
        <w:t xml:space="preserve">shares in 2023 at </w:t>
      </w:r>
      <w:r>
        <w:rPr>
          <w:rFonts w:ascii="Arial" w:eastAsia="Arial" w:hAnsi="Arial" w:cs="Arial"/>
          <w:b w:val="0"/>
          <w:i w:val="0"/>
          <w:color w:val="000000"/>
          <w:sz w:val="20"/>
          <w:u w:val="none"/>
        </w:rPr>
        <w:t>price</w:t>
      </w:r>
      <w:r>
        <w:rPr>
          <w:rFonts w:ascii="Arial" w:eastAsia="Arial" w:hAnsi="Arial" w:cs="Arial"/>
          <w:b w:val="0"/>
          <w:i w:val="0"/>
          <w:color w:val="000000"/>
          <w:sz w:val="20"/>
          <w:u w:val="none"/>
        </w:rPr>
        <w:t>s</w:t>
      </w:r>
      <w:r>
        <w:rPr>
          <w:rFonts w:ascii="Arial" w:eastAsia="Arial" w:hAnsi="Arial" w:cs="Arial"/>
          <w:b w:val="0"/>
          <w:i w:val="0"/>
          <w:color w:val="000000"/>
          <w:sz w:val="20"/>
          <w:u w:val="none"/>
        </w:rPr>
        <w:t xml:space="preserve"> that w</w:t>
      </w:r>
      <w:r>
        <w:rPr>
          <w:rFonts w:ascii="Arial" w:eastAsia="Arial" w:hAnsi="Arial" w:cs="Arial"/>
          <w:b w:val="0"/>
          <w:i w:val="0"/>
          <w:color w:val="000000"/>
          <w:sz w:val="20"/>
          <w:u w:val="none"/>
        </w:rPr>
        <w:t>ere</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accretive to </w:t>
      </w:r>
      <w:r>
        <w:rPr>
          <w:rFonts w:ascii="Arial" w:eastAsia="Arial" w:hAnsi="Arial" w:cs="Arial"/>
          <w:b w:val="0"/>
          <w:i w:val="0"/>
          <w:color w:val="000000"/>
          <w:sz w:val="20"/>
          <w:u w:val="none"/>
        </w:rPr>
        <w:t xml:space="preserve">our </w:t>
      </w:r>
      <w:r>
        <w:rPr>
          <w:rFonts w:ascii="Arial" w:eastAsia="Arial" w:hAnsi="Arial" w:cs="Arial"/>
          <w:b w:val="0"/>
          <w:i w:val="0"/>
          <w:color w:val="000000"/>
          <w:sz w:val="20"/>
          <w:u w:val="none"/>
        </w:rPr>
        <w:t>book value</w:t>
      </w:r>
      <w:r>
        <w:rPr>
          <w:rFonts w:ascii="Arial" w:eastAsia="Arial" w:hAnsi="Arial" w:cs="Arial"/>
          <w:b w:val="0"/>
          <w:i w:val="0"/>
          <w:color w:val="000000"/>
          <w:sz w:val="20"/>
          <w:u w:val="none"/>
        </w:rPr>
        <w: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graphs below show our performance versus the peer median in growth in book value per common share (compounded annually) during the three- and one-year periods ended </w:t>
      </w:r>
      <w:r>
        <w:rPr>
          <w:rFonts w:ascii="Arial" w:eastAsia="Arial" w:hAnsi="Arial" w:cs="Arial"/>
          <w:b w:val="0"/>
          <w:i w:val="0"/>
          <w:color w:val="000000"/>
          <w:sz w:val="20"/>
          <w:u w:val="none"/>
        </w:rPr>
        <w:t>December 31, 2023</w:t>
      </w:r>
      <w:r>
        <w:rPr>
          <w:rFonts w:ascii="Arial" w:eastAsia="Arial" w:hAnsi="Arial" w:cs="Arial"/>
          <w:b w:val="0"/>
          <w:i w:val="0"/>
          <w:sz w:val="20"/>
        </w:rPr>
        <w:t xml:space="preserve"> and return on equity for the same time periods. Although relative performance metrics are not built into our incentive programs because of the unique nature of our business (as described in "- Peer Group" below), our Human Resources and Compensation Committee (the "Compensation Committee") monitors our performance versus our peers for background information </w:t>
      </w:r>
      <w:r>
        <w:rPr>
          <w:rFonts w:ascii="Arial" w:eastAsia="Arial" w:hAnsi="Arial" w:cs="Arial"/>
          <w:b w:val="0"/>
          <w:i w:val="0"/>
          <w:color w:val="000000"/>
          <w:sz w:val="20"/>
          <w:u w:val="none"/>
        </w:rPr>
        <w:t>purposes.</w:t>
      </w:r>
    </w:p>
    <w:p>
      <w:pPr>
        <w:keepNext/>
        <w:keepLines/>
        <w:pageBreakBefore w:val="0"/>
        <w:widowControl w:val="0"/>
        <w:numPr>
          <w:ilvl w:val="0"/>
          <w:numId w:val="0"/>
        </w:numPr>
        <w:spacing w:before="0" w:after="120" w:line="288" w:lineRule="auto"/>
        <w:ind w:left="0" w:right="0" w:firstLine="0"/>
        <w:jc w:val="center"/>
        <w:outlineLvl w:val="9"/>
        <w:rPr>
          <w:rFonts w:ascii="Times New Roman" w:eastAsia="Times New Roman" w:hAnsi="Times New Roman" w:cs="Times New Roman"/>
          <w:b w:val="0"/>
          <w:i w:val="0"/>
          <w:color w:val="FF0090"/>
          <w:sz w:val="20"/>
          <w:u w:val="none"/>
        </w:rPr>
      </w:pPr>
      <w:r>
        <w:drawing>
          <wp:inline>
            <wp:extent cx="3133725" cy="1619250"/>
            <wp:docPr id="1002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6" name=""/>
                    <pic:cNvPicPr>
                      <a:picLocks noChangeAspect="1"/>
                    </pic:cNvPicPr>
                  </pic:nvPicPr>
                  <pic:blipFill>
                    <a:blip xmlns:r="http://schemas.openxmlformats.org/officeDocument/2006/relationships" r:embed="rId196"/>
                    <a:stretch>
                      <a:fillRect/>
                    </a:stretch>
                  </pic:blipFill>
                  <pic:spPr>
                    <a:xfrm>
                      <a:off x="0" y="0"/>
                      <a:ext cx="3133725" cy="1619250"/>
                    </a:xfrm>
                    <a:prstGeom prst="rect">
                      <a:avLst/>
                    </a:prstGeom>
                  </pic:spPr>
                </pic:pic>
              </a:graphicData>
            </a:graphic>
          </wp:inline>
        </w:drawing>
      </w:r>
      <w:r>
        <w:rPr>
          <w:rFonts w:ascii="Times New Roman" w:eastAsia="Times New Roman" w:hAnsi="Times New Roman" w:cs="Times New Roman"/>
          <w:b w:val="0"/>
          <w:i w:val="0"/>
          <w:color w:val="FF0090"/>
          <w:sz w:val="20"/>
          <w:u w:val="none"/>
        </w:rPr>
        <w:t xml:space="preserve">       </w:t>
      </w:r>
      <w:r>
        <w:drawing>
          <wp:inline>
            <wp:extent cx="3133725" cy="1619250"/>
            <wp:docPr id="1002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8" name=""/>
                    <pic:cNvPicPr>
                      <a:picLocks noChangeAspect="1"/>
                    </pic:cNvPicPr>
                  </pic:nvPicPr>
                  <pic:blipFill>
                    <a:blip xmlns:r="http://schemas.openxmlformats.org/officeDocument/2006/relationships" r:embed="rId197"/>
                    <a:stretch>
                      <a:fillRect/>
                    </a:stretch>
                  </pic:blipFill>
                  <pic:spPr>
                    <a:xfrm>
                      <a:off x="0" y="0"/>
                      <a:ext cx="3133725" cy="1619250"/>
                    </a:xfrm>
                    <a:prstGeom prst="rect">
                      <a:avLst/>
                    </a:prstGeom>
                  </pic:spPr>
                </pic:pic>
              </a:graphicData>
            </a:graphic>
          </wp:inline>
        </w:drawing>
      </w:r>
      <w:r>
        <w:rPr>
          <w:rFonts w:ascii="Times New Roman" w:eastAsia="Times New Roman" w:hAnsi="Times New Roman" w:cs="Times New Roman"/>
          <w:b w:val="0"/>
          <w:i w:val="0"/>
          <w:color w:val="FF0090"/>
          <w:sz w:val="20"/>
          <w:u w:val="none"/>
        </w:rPr>
        <w:t xml:space="preserve"> </w:t>
      </w:r>
    </w:p>
    <w:p>
      <w:pPr>
        <w:keepNext w:val="0"/>
        <w:keepLines w:val="0"/>
        <w:pageBreakBefore w:val="0"/>
        <w:widowControl/>
        <w:numPr>
          <w:ilvl w:val="0"/>
          <w:numId w:val="0"/>
        </w:numPr>
        <w:spacing w:before="0" w:after="100" w:line="288" w:lineRule="auto"/>
        <w:ind w:left="0" w:right="0" w:firstLine="0"/>
        <w:jc w:val="left"/>
        <w:outlineLvl w:val="9"/>
        <w:rPr>
          <w:rFonts w:ascii="Arial" w:eastAsia="Arial" w:hAnsi="Arial" w:cs="Arial"/>
          <w:b w:val="0"/>
          <w:i w:val="0"/>
          <w:color w:val="969698"/>
          <w:sz w:val="16"/>
          <w:u w:val="none"/>
        </w:rPr>
      </w:pPr>
      <w:r>
        <w:rPr>
          <w:rFonts w:ascii="Arial" w:eastAsia="Arial" w:hAnsi="Arial" w:cs="Arial"/>
          <w:b w:val="0"/>
          <w:i w:val="0"/>
          <w:color w:val="969698"/>
          <w:sz w:val="16"/>
          <w:u w:val="none"/>
        </w:rPr>
        <w:t>*Source: Publicly filed financial information for peer company data. Peer group includes the companies selected as our peers by our Human Resources and Compensation Committee, as described  in "- Peer Group."</w:t>
      </w:r>
    </w:p>
    <w:p>
      <w:pPr>
        <w:keepNext w:val="0"/>
        <w:keepLines w:val="0"/>
        <w:pageBreakBefore w:val="0"/>
        <w:widowControl/>
        <w:numPr>
          <w:ilvl w:val="0"/>
          <w:numId w:val="0"/>
        </w:numPr>
        <w:spacing w:before="0" w:after="60" w:line="288" w:lineRule="auto"/>
        <w:ind w:left="0" w:right="0" w:firstLine="0"/>
        <w:jc w:val="left"/>
        <w:outlineLvl w:val="9"/>
        <w:sectPr>
          <w:headerReference w:type="default" r:id="rId198"/>
          <w:footerReference w:type="default" r:id="rId199"/>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64" w:name="Section67"/>
      <w:bookmarkEnd w:id="64"/>
    </w:p>
    <w:p>
      <w:pPr>
        <w:keepNext/>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Objectives of our Executive Compensation Program</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Our Compensation Committee is responsible for establishing the philosophy and objectives of our </w:t>
      </w:r>
      <w:r>
        <w:rPr>
          <w:rFonts w:ascii="Arial" w:eastAsia="Arial" w:hAnsi="Arial" w:cs="Arial"/>
          <w:b w:val="0"/>
          <w:i w:val="0"/>
          <w:sz w:val="20"/>
        </w:rPr>
        <w:t xml:space="preserve">executive </w:t>
      </w:r>
      <w:r>
        <w:rPr>
          <w:rFonts w:ascii="Arial" w:eastAsia="Arial" w:hAnsi="Arial" w:cs="Arial"/>
          <w:b w:val="0"/>
          <w:i w:val="0"/>
          <w:sz w:val="20"/>
        </w:rPr>
        <w:t xml:space="preserve">compensation program, designing and administering the various elements of our </w:t>
      </w:r>
      <w:r>
        <w:rPr>
          <w:rFonts w:ascii="Arial" w:eastAsia="Arial" w:hAnsi="Arial" w:cs="Arial"/>
          <w:b w:val="0"/>
          <w:i w:val="0"/>
          <w:sz w:val="20"/>
        </w:rPr>
        <w:t xml:space="preserve">executive </w:t>
      </w:r>
      <w:r>
        <w:rPr>
          <w:rFonts w:ascii="Arial" w:eastAsia="Arial" w:hAnsi="Arial" w:cs="Arial"/>
          <w:b w:val="0"/>
          <w:i w:val="0"/>
          <w:sz w:val="20"/>
        </w:rPr>
        <w:t>compensation program, and assessing the performance of our executive officers and the effectiveness of our compensation program.</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We operate in a</w:t>
      </w:r>
      <w:r>
        <w:rPr>
          <w:rFonts w:ascii="Arial" w:eastAsia="Arial" w:hAnsi="Arial" w:cs="Arial"/>
          <w:b w:val="0"/>
          <w:i w:val="0"/>
          <w:sz w:val="20"/>
        </w:rPr>
        <w:t xml:space="preserve"> competitive and rapidly evolving industry, and we believe that the skill, talent, judgment, and dedication of our executive officers are critical to increasing the long-term value of </w:t>
      </w:r>
      <w:r>
        <w:rPr>
          <w:rFonts w:ascii="Arial" w:eastAsia="Arial" w:hAnsi="Arial" w:cs="Arial"/>
          <w:b w:val="0"/>
          <w:i w:val="0"/>
          <w:sz w:val="20"/>
        </w:rPr>
        <w:t xml:space="preserve">the </w:t>
      </w:r>
      <w:r>
        <w:rPr>
          <w:rFonts w:ascii="Arial" w:eastAsia="Arial" w:hAnsi="Arial" w:cs="Arial"/>
          <w:b w:val="0"/>
          <w:i w:val="0"/>
          <w:sz w:val="20"/>
        </w:rPr>
        <w:t>C</w:t>
      </w:r>
      <w:r>
        <w:rPr>
          <w:rFonts w:ascii="Arial" w:eastAsia="Arial" w:hAnsi="Arial" w:cs="Arial"/>
          <w:b w:val="0"/>
          <w:i w:val="0"/>
          <w:sz w:val="20"/>
        </w:rPr>
        <w:t>ompany.</w:t>
      </w:r>
      <w:r>
        <w:rPr>
          <w:rFonts w:ascii="Arial" w:eastAsia="Arial" w:hAnsi="Arial" w:cs="Arial"/>
          <w:b w:val="0"/>
          <w:i w:val="0"/>
          <w:sz w:val="20"/>
        </w:rPr>
        <w:t xml:space="preserve"> </w:t>
      </w:r>
      <w:r>
        <w:rPr>
          <w:rFonts w:ascii="Arial" w:eastAsia="Arial" w:hAnsi="Arial" w:cs="Arial"/>
          <w:b w:val="0"/>
          <w:i w:val="0"/>
          <w:sz w:val="20"/>
        </w:rPr>
        <w:t xml:space="preserve">Despite the exit of </w:t>
      </w:r>
      <w:r>
        <w:rPr>
          <w:rFonts w:ascii="Arial" w:eastAsia="Arial" w:hAnsi="Arial" w:cs="Arial"/>
          <w:b w:val="0"/>
          <w:i w:val="0"/>
          <w:sz w:val="20"/>
        </w:rPr>
        <w:t xml:space="preserve">some </w:t>
      </w:r>
      <w:r>
        <w:rPr>
          <w:rFonts w:ascii="Arial" w:eastAsia="Arial" w:hAnsi="Arial" w:cs="Arial"/>
          <w:b w:val="0"/>
          <w:i w:val="0"/>
          <w:sz w:val="20"/>
        </w:rPr>
        <w:t>companies from the legacy market, the acquisition and management of companies and portfolios in run-off continues to be competitive</w:t>
      </w:r>
      <w:r>
        <w:rPr>
          <w:rFonts w:ascii="Arial" w:eastAsia="Arial" w:hAnsi="Arial" w:cs="Arial"/>
          <w:b w:val="0"/>
          <w:i w:val="0"/>
          <w:sz w:val="20"/>
        </w:rPr>
        <w:t>. A</w:t>
      </w:r>
      <w:r>
        <w:rPr>
          <w:rFonts w:ascii="Arial" w:eastAsia="Arial" w:hAnsi="Arial" w:cs="Arial"/>
          <w:b w:val="0"/>
          <w:i w:val="0"/>
          <w:sz w:val="20"/>
        </w:rPr>
        <w:t>ttracting</w:t>
      </w:r>
      <w:r>
        <w:rPr>
          <w:rFonts w:ascii="Arial" w:eastAsia="Arial" w:hAnsi="Arial" w:cs="Arial"/>
          <w:b w:val="0"/>
          <w:i w:val="0"/>
          <w:sz w:val="20"/>
        </w:rPr>
        <w:t>,</w:t>
      </w:r>
      <w:r>
        <w:rPr>
          <w:rFonts w:ascii="Arial" w:eastAsia="Arial" w:hAnsi="Arial" w:cs="Arial"/>
          <w:b w:val="0"/>
          <w:i w:val="0"/>
          <w:sz w:val="20"/>
        </w:rPr>
        <w:t xml:space="preserve"> retaining </w:t>
      </w:r>
      <w:r>
        <w:rPr>
          <w:rFonts w:ascii="Arial" w:eastAsia="Arial" w:hAnsi="Arial" w:cs="Arial"/>
          <w:b w:val="0"/>
          <w:i w:val="0"/>
          <w:sz w:val="20"/>
        </w:rPr>
        <w:t>and properly incentivizing</w:t>
      </w:r>
      <w:r>
        <w:rPr>
          <w:rFonts w:ascii="Arial" w:eastAsia="Arial" w:hAnsi="Arial" w:cs="Arial"/>
          <w:b w:val="0"/>
          <w:i w:val="0"/>
          <w:sz w:val="20"/>
        </w:rPr>
        <w:t xml:space="preserve"> key executives and employees in this competitive environment </w:t>
      </w:r>
      <w:r>
        <w:rPr>
          <w:rFonts w:ascii="Arial" w:eastAsia="Arial" w:hAnsi="Arial" w:cs="Arial"/>
          <w:b w:val="0"/>
          <w:i w:val="0"/>
          <w:sz w:val="20"/>
        </w:rPr>
        <w:t>remains</w:t>
      </w:r>
      <w:r>
        <w:rPr>
          <w:rFonts w:ascii="Arial" w:eastAsia="Arial" w:hAnsi="Arial" w:cs="Arial"/>
          <w:b w:val="0"/>
          <w:i w:val="0"/>
          <w:sz w:val="20"/>
        </w:rPr>
        <w:t xml:space="preserve"> a priority for the Board and the Compensation Committee.</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We therefore strive to maintain an executive compensation program that will:</w:t>
      </w:r>
    </w:p>
    <w:p>
      <w:pPr>
        <w:keepNext w:val="0"/>
        <w:keepLines w:val="0"/>
        <w:pageBreakBefore w:val="0"/>
        <w:widowControl/>
        <w:numPr>
          <w:ilvl w:val="0"/>
          <w:numId w:val="211"/>
        </w:numPr>
        <w:spacing w:before="0" w:after="60" w:line="300" w:lineRule="auto"/>
        <w:ind w:left="720" w:right="0" w:hanging="360"/>
        <w:jc w:val="both"/>
        <w:outlineLvl w:val="9"/>
        <w:rPr>
          <w:rFonts w:ascii="Arial" w:eastAsia="Arial" w:hAnsi="Arial" w:cs="Arial"/>
          <w:b w:val="0"/>
          <w:i w:val="0"/>
          <w:color w:val="4494D1"/>
          <w:sz w:val="20"/>
          <w:u w:val="none"/>
        </w:rPr>
      </w:pPr>
      <w:r>
        <w:rPr>
          <w:rFonts w:ascii="Arial" w:eastAsia="Arial" w:hAnsi="Arial" w:cs="Arial"/>
          <w:b w:val="0"/>
          <w:i w:val="0"/>
          <w:sz w:val="20"/>
        </w:rPr>
        <w:t>incentivize performance consistent with clearly defined corporate objectives;</w:t>
      </w:r>
    </w:p>
    <w:p>
      <w:pPr>
        <w:keepNext w:val="0"/>
        <w:keepLines w:val="0"/>
        <w:pageBreakBefore w:val="0"/>
        <w:widowControl/>
        <w:numPr>
          <w:ilvl w:val="0"/>
          <w:numId w:val="212"/>
        </w:numPr>
        <w:spacing w:before="0" w:after="60" w:line="300" w:lineRule="auto"/>
        <w:ind w:left="720" w:right="0" w:hanging="360"/>
        <w:jc w:val="both"/>
        <w:outlineLvl w:val="9"/>
        <w:rPr>
          <w:rFonts w:ascii="Arial" w:eastAsia="Arial" w:hAnsi="Arial" w:cs="Arial"/>
          <w:b w:val="0"/>
          <w:i w:val="0"/>
          <w:color w:val="4494D1"/>
          <w:sz w:val="20"/>
          <w:u w:val="none"/>
        </w:rPr>
      </w:pPr>
      <w:r>
        <w:rPr>
          <w:rFonts w:ascii="Arial" w:eastAsia="Arial" w:hAnsi="Arial" w:cs="Arial"/>
          <w:b w:val="0"/>
          <w:i w:val="0"/>
          <w:sz w:val="20"/>
        </w:rPr>
        <w:t>align our executives’ long-term interests with those of our shareholders;</w:t>
      </w:r>
    </w:p>
    <w:p>
      <w:pPr>
        <w:keepNext w:val="0"/>
        <w:keepLines w:val="0"/>
        <w:pageBreakBefore w:val="0"/>
        <w:widowControl/>
        <w:numPr>
          <w:ilvl w:val="0"/>
          <w:numId w:val="213"/>
        </w:numPr>
        <w:spacing w:before="0" w:after="60" w:line="300" w:lineRule="auto"/>
        <w:ind w:left="720" w:right="0" w:hanging="360"/>
        <w:jc w:val="both"/>
        <w:outlineLvl w:val="9"/>
        <w:rPr>
          <w:rFonts w:ascii="Arial" w:eastAsia="Arial" w:hAnsi="Arial" w:cs="Arial"/>
          <w:b w:val="0"/>
          <w:i w:val="0"/>
          <w:color w:val="4494D1"/>
          <w:sz w:val="20"/>
          <w:u w:val="none"/>
        </w:rPr>
      </w:pPr>
      <w:r>
        <w:rPr>
          <w:rFonts w:ascii="Arial" w:eastAsia="Arial" w:hAnsi="Arial" w:cs="Arial"/>
          <w:b w:val="0"/>
          <w:i w:val="0"/>
          <w:sz w:val="20"/>
        </w:rPr>
        <w:t>competitively compensate our executives; and</w:t>
      </w:r>
    </w:p>
    <w:p>
      <w:pPr>
        <w:keepNext w:val="0"/>
        <w:keepLines w:val="0"/>
        <w:pageBreakBefore w:val="0"/>
        <w:widowControl/>
        <w:numPr>
          <w:ilvl w:val="0"/>
          <w:numId w:val="214"/>
        </w:numPr>
        <w:spacing w:before="0" w:after="120" w:line="300" w:lineRule="auto"/>
        <w:ind w:left="720" w:right="0" w:hanging="360"/>
        <w:jc w:val="both"/>
        <w:outlineLvl w:val="9"/>
        <w:rPr>
          <w:rFonts w:ascii="Arial" w:eastAsia="Arial" w:hAnsi="Arial" w:cs="Arial"/>
          <w:b w:val="0"/>
          <w:i w:val="0"/>
          <w:color w:val="4494D1"/>
          <w:sz w:val="20"/>
          <w:u w:val="none"/>
        </w:rPr>
      </w:pPr>
      <w:r>
        <w:rPr>
          <w:rFonts w:ascii="Arial" w:eastAsia="Arial" w:hAnsi="Arial" w:cs="Arial"/>
          <w:b w:val="0"/>
          <w:i w:val="0"/>
          <w:sz w:val="20"/>
        </w:rPr>
        <w:t>retain and attract qualified executives to drive our long-term success.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We have long identified growing our book value per share and return on equity as our key corporate objectives, and we believe that long-term growth in book value and consistent returns on equity are important measures of our financial performance. Success in delivering on these measures is driven primarily by growth in our net earnings, which is in turn driven in large part by: (i) successfully pricing and completing new run-off transactions; (ii) effectively managing claims to generate run-off liability earnings; (iii) effectively managing our investments to deliver attractive risk-adjusted returns; and (iv) prudently managing our capital.  </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200"/>
          <w:footerReference w:type="default" r:id="rId201"/>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bookmarkStart w:id="65" w:name="Section68"/>
      <w:bookmarkEnd w:id="65"/>
    </w:p>
    <w:p>
      <w:pPr>
        <w:keepNext w:val="0"/>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2023</w:t>
      </w:r>
      <w:r>
        <w:rPr>
          <w:rFonts w:ascii="Arial" w:eastAsia="Arial" w:hAnsi="Arial" w:cs="Arial"/>
          <w:b/>
          <w:i w:val="0"/>
          <w:color w:val="4495D1"/>
          <w:sz w:val="20"/>
          <w:u w:val="none"/>
        </w:rPr>
        <w:t xml:space="preserve"> Financial Metrics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For </w:t>
      </w:r>
      <w:r>
        <w:rPr>
          <w:rFonts w:ascii="Arial" w:eastAsia="Arial" w:hAnsi="Arial" w:cs="Arial"/>
          <w:b w:val="0"/>
          <w:i w:val="0"/>
          <w:color w:val="000000"/>
          <w:sz w:val="20"/>
          <w:u w:val="none"/>
        </w:rPr>
        <w:t>2023</w:t>
      </w:r>
      <w:r>
        <w:rPr>
          <w:rFonts w:ascii="Arial" w:eastAsia="Arial" w:hAnsi="Arial" w:cs="Arial"/>
          <w:b w:val="0"/>
          <w:i w:val="0"/>
          <w:sz w:val="20"/>
        </w:rPr>
        <w:t xml:space="preserve">, we used several financial metrics in our annual and long-term incentive compensation programs, which include: (i) Adjusted Return on Equity ("Adjusted ROE"), (ii) three-year growth in </w:t>
      </w:r>
      <w:r>
        <w:rPr>
          <w:rFonts w:ascii="Arial" w:eastAsia="Arial" w:hAnsi="Arial" w:cs="Arial"/>
          <w:b w:val="0"/>
          <w:i w:val="0"/>
          <w:sz w:val="20"/>
        </w:rPr>
        <w:t>Fully Diluted</w:t>
      </w:r>
      <w:r>
        <w:rPr>
          <w:rFonts w:ascii="Arial" w:eastAsia="Arial" w:hAnsi="Arial" w:cs="Arial"/>
          <w:b w:val="0"/>
          <w:i w:val="0"/>
          <w:sz w:val="20"/>
        </w:rPr>
        <w:t xml:space="preserve"> Book Value per Share ("</w:t>
      </w:r>
      <w:r>
        <w:rPr>
          <w:rFonts w:ascii="Arial" w:eastAsia="Arial" w:hAnsi="Arial" w:cs="Arial"/>
          <w:b w:val="0"/>
          <w:i w:val="0"/>
          <w:sz w:val="20"/>
        </w:rPr>
        <w:t>FD</w:t>
      </w:r>
      <w:r>
        <w:rPr>
          <w:rFonts w:ascii="Arial" w:eastAsia="Arial" w:hAnsi="Arial" w:cs="Arial"/>
          <w:b w:val="0"/>
          <w:i w:val="0"/>
          <w:sz w:val="20"/>
        </w:rPr>
        <w:t xml:space="preserve">BVPS"), and (iii) three-year average Adjusted ROE. Adjusted ROE and </w:t>
      </w:r>
      <w:r>
        <w:rPr>
          <w:rFonts w:ascii="Arial" w:eastAsia="Arial" w:hAnsi="Arial" w:cs="Arial"/>
          <w:b w:val="0"/>
          <w:i w:val="0"/>
          <w:sz w:val="20"/>
        </w:rPr>
        <w:t>FD</w:t>
      </w:r>
      <w:r>
        <w:rPr>
          <w:rFonts w:ascii="Arial" w:eastAsia="Arial" w:hAnsi="Arial" w:cs="Arial"/>
          <w:b w:val="0"/>
          <w:i w:val="0"/>
          <w:sz w:val="20"/>
        </w:rPr>
        <w:t xml:space="preserve">BVPS are non-GAAP financial measures that we disclose for investors to use in evaluating the performance of our business. For a complete description of these financial measures </w:t>
      </w:r>
      <w:r>
        <w:rPr>
          <w:rFonts w:ascii="Arial" w:eastAsia="Arial" w:hAnsi="Arial" w:cs="Arial"/>
          <w:b w:val="0"/>
          <w:i w:val="0"/>
          <w:sz w:val="20"/>
        </w:rPr>
        <w:t xml:space="preserve">and a reconciliation to the related GAAP figure </w:t>
      </w:r>
      <w:r>
        <w:rPr>
          <w:rFonts w:ascii="Arial" w:eastAsia="Arial" w:hAnsi="Arial" w:cs="Arial"/>
          <w:b w:val="0"/>
          <w:i w:val="0"/>
          <w:sz w:val="20"/>
        </w:rPr>
        <w:t>refer to Appendix A - "Non-GAAP Financial Measures."</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202"/>
          <w:footerReference w:type="default" r:id="rId203"/>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66" w:name="Section69"/>
      <w:bookmarkEnd w:id="66"/>
    </w:p>
    <w:p>
      <w:pPr>
        <w:keepNext/>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Roles of Executive Officers</w:t>
      </w:r>
    </w:p>
    <w:p>
      <w:pPr>
        <w:keepNext w:val="0"/>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 Compensation Committee makes compensation determinations for all of our executive officers. As part of the determination process</w:t>
      </w:r>
      <w:r>
        <w:rPr>
          <w:rFonts w:ascii="Arial" w:eastAsia="Arial" w:hAnsi="Arial" w:cs="Arial"/>
          <w:b w:val="0"/>
          <w:i w:val="0"/>
          <w:sz w:val="20"/>
        </w:rPr>
        <w:t xml:space="preserve"> for 2023</w:t>
      </w:r>
      <w:r>
        <w:rPr>
          <w:rFonts w:ascii="Arial" w:eastAsia="Arial" w:hAnsi="Arial" w:cs="Arial"/>
          <w:b w:val="0"/>
          <w:i w:val="0"/>
          <w:sz w:val="20"/>
        </w:rPr>
        <w:t xml:space="preserve">, </w:t>
      </w:r>
      <w:r>
        <w:rPr>
          <w:rFonts w:ascii="Arial" w:eastAsia="Arial" w:hAnsi="Arial" w:cs="Arial"/>
          <w:b w:val="0"/>
          <w:i w:val="0"/>
          <w:color w:val="000000"/>
          <w:sz w:val="20"/>
          <w:u w:val="none"/>
        </w:rPr>
        <w:t>Mr. Silvester</w:t>
      </w:r>
      <w:r>
        <w:rPr>
          <w:rFonts w:ascii="Arial" w:eastAsia="Arial" w:hAnsi="Arial" w:cs="Arial"/>
          <w:b w:val="0"/>
          <w:i w:val="0"/>
          <w:color w:val="000000"/>
          <w:sz w:val="20"/>
          <w:u w:val="none"/>
        </w:rPr>
        <w:t>, our CEO</w:t>
      </w:r>
      <w:r>
        <w:rPr>
          <w:rFonts w:ascii="Arial" w:eastAsia="Arial" w:hAnsi="Arial" w:cs="Arial"/>
          <w:b w:val="0"/>
          <w:i w:val="0"/>
          <w:color w:val="000000"/>
          <w:sz w:val="20"/>
          <w:u w:val="none"/>
        </w:rPr>
        <w:t>, assess</w:t>
      </w:r>
      <w:r>
        <w:rPr>
          <w:rFonts w:ascii="Arial" w:eastAsia="Arial" w:hAnsi="Arial" w:cs="Arial"/>
          <w:b w:val="0"/>
          <w:i w:val="0"/>
          <w:color w:val="000000"/>
          <w:sz w:val="20"/>
          <w:u w:val="none"/>
        </w:rPr>
        <w:t>ed</w:t>
      </w:r>
      <w:r>
        <w:rPr>
          <w:rFonts w:ascii="Arial" w:eastAsia="Arial" w:hAnsi="Arial" w:cs="Arial"/>
          <w:b w:val="0"/>
          <w:i w:val="0"/>
          <w:color w:val="000000"/>
          <w:sz w:val="20"/>
          <w:u w:val="none"/>
        </w:rPr>
        <w:t xml:space="preserve"> our overall performance and the individual contribution of each member of the executive leadership team</w:t>
      </w:r>
      <w:r>
        <w:rPr>
          <w:rFonts w:ascii="Arial" w:eastAsia="Arial" w:hAnsi="Arial" w:cs="Arial"/>
          <w:b w:val="0"/>
          <w:i w:val="0"/>
          <w:color w:val="000000"/>
          <w:sz w:val="20"/>
          <w:u w:val="none"/>
        </w:rPr>
        <w:t xml:space="preserve">, providing commentary to the Compensation </w:t>
      </w:r>
      <w:r>
        <w:rPr>
          <w:rFonts w:ascii="Arial" w:eastAsia="Arial" w:hAnsi="Arial" w:cs="Arial"/>
          <w:b w:val="0"/>
          <w:i w:val="0"/>
          <w:color w:val="000000"/>
          <w:sz w:val="20"/>
          <w:u w:val="none"/>
        </w:rPr>
        <w:t>Committee</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Mr. Silvester </w:t>
      </w:r>
      <w:r>
        <w:rPr>
          <w:rFonts w:ascii="Arial" w:eastAsia="Arial" w:hAnsi="Arial" w:cs="Arial"/>
          <w:b w:val="0"/>
          <w:i w:val="0"/>
          <w:color w:val="000000"/>
          <w:sz w:val="20"/>
          <w:u w:val="none"/>
        </w:rPr>
        <w:t>also</w:t>
      </w:r>
      <w:r>
        <w:rPr>
          <w:rFonts w:ascii="Arial" w:eastAsia="Arial" w:hAnsi="Arial" w:cs="Arial"/>
          <w:b w:val="0"/>
          <w:i w:val="0"/>
          <w:sz w:val="20"/>
        </w:rPr>
        <w:t xml:space="preserve"> review</w:t>
      </w:r>
      <w:r>
        <w:rPr>
          <w:rFonts w:ascii="Arial" w:eastAsia="Arial" w:hAnsi="Arial" w:cs="Arial"/>
          <w:b w:val="0"/>
          <w:i w:val="0"/>
          <w:sz w:val="20"/>
        </w:rPr>
        <w:t>ed</w:t>
      </w:r>
      <w:r>
        <w:rPr>
          <w:rFonts w:ascii="Arial" w:eastAsia="Arial" w:hAnsi="Arial" w:cs="Arial"/>
          <w:b w:val="0"/>
          <w:i w:val="0"/>
          <w:sz w:val="20"/>
        </w:rPr>
        <w:t xml:space="preserve"> the prior year’s compensation and </w:t>
      </w:r>
      <w:r>
        <w:rPr>
          <w:rFonts w:ascii="Arial" w:eastAsia="Arial" w:hAnsi="Arial" w:cs="Arial"/>
          <w:b w:val="0"/>
          <w:i w:val="0"/>
          <w:sz w:val="20"/>
        </w:rPr>
        <w:t>made</w:t>
      </w:r>
      <w:r>
        <w:rPr>
          <w:rFonts w:ascii="Arial" w:eastAsia="Arial" w:hAnsi="Arial" w:cs="Arial"/>
          <w:b w:val="0"/>
          <w:i w:val="0"/>
          <w:sz w:val="20"/>
        </w:rPr>
        <w:t xml:space="preserve"> recommendations for salary adjustments and annual incentive awards for each </w:t>
      </w:r>
      <w:r>
        <w:rPr>
          <w:rFonts w:ascii="Arial" w:eastAsia="Arial" w:hAnsi="Arial" w:cs="Arial"/>
          <w:b w:val="0"/>
          <w:i w:val="0"/>
          <w:sz w:val="20"/>
        </w:rPr>
        <w:t xml:space="preserve">executive officer, taking into consideration each executive's achievement of his or her operational performance objectives. </w:t>
      </w:r>
      <w:r>
        <w:rPr>
          <w:rFonts w:ascii="Arial" w:eastAsia="Arial" w:hAnsi="Arial" w:cs="Arial"/>
          <w:b w:val="0"/>
          <w:i w:val="0"/>
          <w:color w:val="000000"/>
          <w:sz w:val="20"/>
          <w:u w:val="none"/>
        </w:rPr>
        <w:t xml:space="preserve">The Compensation Committee </w:t>
      </w:r>
      <w:r>
        <w:rPr>
          <w:rFonts w:ascii="Arial" w:eastAsia="Arial" w:hAnsi="Arial" w:cs="Arial"/>
          <w:b w:val="0"/>
          <w:i w:val="0"/>
          <w:color w:val="000000"/>
          <w:sz w:val="20"/>
          <w:u w:val="none"/>
        </w:rPr>
        <w:t>me</w:t>
      </w:r>
      <w:r>
        <w:rPr>
          <w:rFonts w:ascii="Arial" w:eastAsia="Arial" w:hAnsi="Arial" w:cs="Arial"/>
          <w:b w:val="0"/>
          <w:i w:val="0"/>
          <w:color w:val="000000"/>
          <w:sz w:val="20"/>
          <w:u w:val="none"/>
        </w:rPr>
        <w:t>e</w:t>
      </w:r>
      <w:r>
        <w:rPr>
          <w:rFonts w:ascii="Arial" w:eastAsia="Arial" w:hAnsi="Arial" w:cs="Arial"/>
          <w:b w:val="0"/>
          <w:i w:val="0"/>
          <w:color w:val="000000"/>
          <w:sz w:val="20"/>
          <w:u w:val="none"/>
        </w:rPr>
        <w:t>t</w:t>
      </w:r>
      <w:r>
        <w:rPr>
          <w:rFonts w:ascii="Arial" w:eastAsia="Arial" w:hAnsi="Arial" w:cs="Arial"/>
          <w:b w:val="0"/>
          <w:i w:val="0"/>
          <w:color w:val="000000"/>
          <w:sz w:val="20"/>
          <w:u w:val="none"/>
        </w:rPr>
        <w:t>s</w:t>
      </w:r>
      <w:r>
        <w:rPr>
          <w:rFonts w:ascii="Arial" w:eastAsia="Arial" w:hAnsi="Arial" w:cs="Arial"/>
          <w:b w:val="0"/>
          <w:i w:val="0"/>
          <w:color w:val="000000"/>
          <w:sz w:val="20"/>
          <w:u w:val="none"/>
        </w:rPr>
        <w:t xml:space="preserve"> in executive session without </w:t>
      </w:r>
      <w:r>
        <w:rPr>
          <w:rFonts w:ascii="Arial" w:eastAsia="Arial" w:hAnsi="Arial" w:cs="Arial"/>
          <w:b w:val="0"/>
          <w:i w:val="0"/>
          <w:color w:val="000000"/>
          <w:sz w:val="20"/>
          <w:u w:val="none"/>
        </w:rPr>
        <w:t>executive officers</w:t>
      </w:r>
      <w:r>
        <w:rPr>
          <w:rFonts w:ascii="Arial" w:eastAsia="Arial" w:hAnsi="Arial" w:cs="Arial"/>
          <w:b w:val="0"/>
          <w:i w:val="0"/>
          <w:sz w:val="20"/>
        </w:rPr>
        <w:t xml:space="preserve"> </w:t>
      </w:r>
      <w:r>
        <w:rPr>
          <w:rFonts w:ascii="Arial" w:eastAsia="Arial" w:hAnsi="Arial" w:cs="Arial"/>
          <w:b w:val="0"/>
          <w:i w:val="0"/>
          <w:sz w:val="20"/>
        </w:rPr>
        <w:t xml:space="preserve">to evaluate </w:t>
      </w:r>
      <w:r>
        <w:rPr>
          <w:rFonts w:ascii="Arial" w:eastAsia="Arial" w:hAnsi="Arial" w:cs="Arial"/>
          <w:b w:val="0"/>
          <w:i w:val="0"/>
          <w:sz w:val="20"/>
        </w:rPr>
        <w:t xml:space="preserve">the </w:t>
      </w:r>
      <w:r>
        <w:rPr>
          <w:rFonts w:ascii="Arial" w:eastAsia="Arial" w:hAnsi="Arial" w:cs="Arial"/>
          <w:b w:val="0"/>
          <w:i w:val="0"/>
          <w:sz w:val="20"/>
        </w:rPr>
        <w:t>recommendations, review the performance of all of the executive officers, discuss CEO compensation, and make final compensation decisions.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Ms. Gregory, our President, attends portions of the meetings of our Compensation Committee to provide information relating to our financial results and plans, performance assessments of our executive officers, human resources strategies and other personnel-related data, and she supports Mr. Silvester in preparing recommendations to the Compensation Committee. </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204"/>
          <w:footerReference w:type="default" r:id="rId205"/>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171449"/>
          <w:sz w:val="24"/>
          <w:u w:val="none"/>
        </w:rPr>
      </w:pPr>
      <w:bookmarkStart w:id="67" w:name="Section70"/>
      <w:bookmarkEnd w:id="67"/>
    </w:p>
    <w:p>
      <w:pPr>
        <w:keepNext/>
        <w:keepLines w:val="0"/>
        <w:pageBreakBefore w:val="0"/>
        <w:widowControl/>
        <w:numPr>
          <w:ilvl w:val="0"/>
          <w:numId w:val="0"/>
        </w:numPr>
        <w:spacing w:before="0" w:after="60" w:line="288" w:lineRule="auto"/>
        <w:ind w:left="0" w:right="0" w:firstLine="0"/>
        <w:jc w:val="both"/>
        <w:outlineLvl w:val="2"/>
        <w:rPr>
          <w:rFonts w:ascii="Arial" w:eastAsia="Arial" w:hAnsi="Arial" w:cs="Arial"/>
          <w:b/>
          <w:i w:val="0"/>
          <w:color w:val="171449"/>
          <w:sz w:val="24"/>
          <w:u w:val="none"/>
        </w:rPr>
      </w:pPr>
      <w:r>
        <w:rPr>
          <w:rFonts w:ascii="Arial" w:eastAsia="Arial" w:hAnsi="Arial" w:cs="Arial"/>
          <w:b/>
          <w:i w:val="0"/>
          <w:color w:val="171449"/>
          <w:sz w:val="24"/>
          <w:u w:val="none"/>
        </w:rPr>
        <w:t xml:space="preserve">Results of Shareholder Vote on Compensation and Shareholder Engagement </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At last year's annual general meeting held on </w:t>
      </w:r>
      <w:r>
        <w:rPr>
          <w:rFonts w:ascii="Arial" w:eastAsia="Arial" w:hAnsi="Arial" w:cs="Arial"/>
          <w:b w:val="0"/>
          <w:i w:val="0"/>
          <w:color w:val="000000"/>
          <w:sz w:val="20"/>
          <w:u w:val="none"/>
        </w:rPr>
        <w:t>June 1, 2023</w:t>
      </w:r>
      <w:r>
        <w:rPr>
          <w:rFonts w:ascii="Arial" w:eastAsia="Arial" w:hAnsi="Arial" w:cs="Arial"/>
          <w:b w:val="0"/>
          <w:i w:val="0"/>
          <w:sz w:val="20"/>
        </w:rPr>
        <w:t xml:space="preserve">, our shareholders approved the compensation of our executive officers with </w:t>
      </w:r>
      <w:r>
        <w:rPr>
          <w:rFonts w:ascii="Arial" w:eastAsia="Arial" w:hAnsi="Arial" w:cs="Arial"/>
          <w:b w:val="0"/>
          <w:i w:val="0"/>
          <w:color w:val="000000"/>
          <w:sz w:val="20"/>
          <w:u w:val="none"/>
        </w:rPr>
        <w:t>63%</w:t>
      </w:r>
      <w:r>
        <w:rPr>
          <w:rFonts w:ascii="Arial" w:eastAsia="Arial" w:hAnsi="Arial" w:cs="Arial"/>
          <w:b w:val="0"/>
          <w:i w:val="0"/>
          <w:sz w:val="20"/>
        </w:rPr>
        <w:t xml:space="preserve"> of the total votes cast in favor of the proposal. The Compensation Committee strives for a higher level of shareholder approval, and we </w:t>
      </w:r>
      <w:r>
        <w:rPr>
          <w:rFonts w:ascii="Arial" w:eastAsia="Arial" w:hAnsi="Arial" w:cs="Arial"/>
          <w:b w:val="0"/>
          <w:i w:val="0"/>
          <w:sz w:val="20"/>
        </w:rPr>
        <w:t>focused</w:t>
      </w:r>
      <w:r>
        <w:rPr>
          <w:rFonts w:ascii="Arial" w:eastAsia="Arial" w:hAnsi="Arial" w:cs="Arial"/>
          <w:b w:val="0"/>
          <w:i w:val="0"/>
          <w:sz w:val="20"/>
        </w:rPr>
        <w:t xml:space="preserve"> our engagement efforts in </w:t>
      </w:r>
      <w:r>
        <w:rPr>
          <w:rFonts w:ascii="Arial" w:eastAsia="Arial" w:hAnsi="Arial" w:cs="Arial"/>
          <w:b w:val="0"/>
          <w:i w:val="0"/>
          <w:sz w:val="20"/>
        </w:rPr>
        <w:t xml:space="preserve">early </w:t>
      </w:r>
      <w:r>
        <w:rPr>
          <w:rFonts w:ascii="Arial" w:eastAsia="Arial" w:hAnsi="Arial" w:cs="Arial"/>
          <w:b w:val="0"/>
          <w:i w:val="0"/>
          <w:sz w:val="20"/>
        </w:rPr>
        <w:t>2024</w:t>
      </w:r>
      <w:r>
        <w:rPr>
          <w:rFonts w:ascii="Arial" w:eastAsia="Arial" w:hAnsi="Arial" w:cs="Arial"/>
          <w:b w:val="0"/>
          <w:i w:val="0"/>
          <w:sz w:val="20"/>
        </w:rPr>
        <w:t xml:space="preserve"> to understand shareholder concerns and </w:t>
      </w:r>
      <w:r>
        <w:rPr>
          <w:rFonts w:ascii="Arial" w:eastAsia="Arial" w:hAnsi="Arial" w:cs="Arial"/>
          <w:b w:val="0"/>
          <w:i w:val="0"/>
          <w:sz w:val="20"/>
        </w:rPr>
        <w:t>facilitate continued</w:t>
      </w:r>
      <w:r>
        <w:rPr>
          <w:rFonts w:ascii="Arial" w:eastAsia="Arial" w:hAnsi="Arial" w:cs="Arial"/>
          <w:b w:val="0"/>
          <w:i w:val="0"/>
          <w:sz w:val="20"/>
        </w:rPr>
        <w:t xml:space="preserve"> </w:t>
      </w:r>
      <w:r>
        <w:rPr>
          <w:rFonts w:ascii="Arial" w:eastAsia="Arial" w:hAnsi="Arial" w:cs="Arial"/>
          <w:b w:val="0"/>
          <w:i w:val="0"/>
          <w:sz w:val="20"/>
        </w:rPr>
        <w:t xml:space="preserve">dialogue between shareholders and our Compensation Committee members.  </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We have a long-standing shareholder outreach program </w:t>
      </w:r>
      <w:r>
        <w:rPr>
          <w:rFonts w:ascii="Arial" w:eastAsia="Arial" w:hAnsi="Arial" w:cs="Arial"/>
          <w:b w:val="0"/>
          <w:i w:val="0"/>
          <w:sz w:val="20"/>
        </w:rPr>
        <w:t>in which</w:t>
      </w:r>
      <w:r>
        <w:rPr>
          <w:rFonts w:ascii="Arial" w:eastAsia="Arial" w:hAnsi="Arial" w:cs="Arial"/>
          <w:b w:val="0"/>
          <w:i w:val="0"/>
          <w:sz w:val="20"/>
        </w:rPr>
        <w:t xml:space="preserve"> we routinely interact with shareholders and two major proxy advisory firms on a number of matters, including executive compensation. We have taken, and continue to take, the feedback we receive from our shareholders and advisory firms into account in making compensation decisions and designing future compensation programs. The timing, structure, and participants of our shareholder engagement program are detailed in "Corporate Governance - Shareholder Engagement" above. </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Specific shareholder comments relating to compensation practices and the Compensation Committee's responses are set forth below.</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000"/>
        <w:gridCol w:w="7260"/>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95"/>
        </w:trPr>
        <w:tc>
          <w:tcPr>
            <w:tcW w:w="300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72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3000" w:type="dxa"/>
            <w:tcBorders>
              <w:top w:val="nil"/>
              <w:left w:val="nil"/>
              <w:bottom w:val="single" w:sz="12" w:space="0" w:color="4494D1"/>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i w:val="0"/>
                <w:color w:val="000000"/>
                <w:sz w:val="18"/>
                <w:u w:val="none"/>
              </w:rPr>
              <w:t>Shareholder Comment</w:t>
            </w:r>
          </w:p>
        </w:tc>
        <w:tc>
          <w:tcPr>
            <w:tcW w:w="7260" w:type="dxa"/>
            <w:tcBorders>
              <w:top w:val="nil"/>
              <w:left w:val="nil"/>
              <w:bottom w:val="single" w:sz="12" w:space="0" w:color="4494D1"/>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i w:val="0"/>
                <w:color w:val="000000"/>
                <w:sz w:val="18"/>
                <w:u w:val="none"/>
              </w:rPr>
              <w:t>Compensation Committee Action / Rationale</w:t>
            </w:r>
          </w:p>
        </w:tc>
      </w:tr>
      <w:tr>
        <w:tblPrEx>
          <w:tblW w:w="10260" w:type="dxa"/>
          <w:tblInd w:w="0" w:type="dxa"/>
          <w:tblLayout w:type="fixed"/>
          <w:tblCellMar>
            <w:left w:w="108" w:type="dxa"/>
            <w:right w:w="108" w:type="dxa"/>
          </w:tblCellMar>
        </w:tblPrEx>
        <w:trPr>
          <w:cantSplit/>
          <w:trHeight w:hRule="exact" w:val="1305"/>
        </w:trPr>
        <w:tc>
          <w:tcPr>
            <w:tcW w:w="3000" w:type="dxa"/>
            <w:tcBorders>
              <w:top w:val="single" w:sz="12" w:space="0" w:color="4494D1"/>
              <w:left w:val="nil"/>
              <w:bottom w:val="single" w:sz="12" w:space="0" w:color="DBDBDB"/>
              <w:right w:val="nil"/>
            </w:tcBorders>
            <w:shd w:val="clear" w:color="auto" w:fill="FFFFFF"/>
            <w:tcMar>
              <w:top w:w="0" w:type="dxa"/>
              <w:left w:w="53" w:type="dxa"/>
              <w:bottom w:w="0" w:type="dxa"/>
              <w:right w:w="53" w:type="dxa"/>
            </w:tcMar>
            <w:vAlign w:val="top"/>
          </w:tcPr>
          <w:p>
            <w:pPr>
              <w:keepNext/>
              <w:pageBreakBefore w:val="0"/>
              <w:numPr>
                <w:ilvl w:val="0"/>
                <w:numId w:val="0"/>
              </w:numPr>
              <w:spacing w:before="23" w:after="0" w:line="300" w:lineRule="auto"/>
              <w:ind w:left="0" w:right="0" w:firstLine="0"/>
              <w:jc w:val="left"/>
              <w:outlineLvl w:val="9"/>
              <w:rPr>
                <w:rFonts w:ascii="Arial" w:eastAsia="Arial" w:hAnsi="Arial" w:cs="Arial"/>
                <w:b/>
                <w:i w:val="0"/>
                <w:sz w:val="6"/>
              </w:rPr>
            </w:pPr>
          </w:p>
          <w:p>
            <w:pPr>
              <w:pageBreakBefore w:val="0"/>
              <w:numPr>
                <w:ilvl w:val="0"/>
                <w:numId w:val="0"/>
              </w:numPr>
              <w:spacing w:before="0" w:after="30" w:line="300" w:lineRule="auto"/>
              <w:ind w:left="0" w:right="0" w:firstLine="0"/>
              <w:jc w:val="left"/>
              <w:outlineLvl w:val="9"/>
              <w:rPr>
                <w:rFonts w:ascii="Arial" w:eastAsia="Arial" w:hAnsi="Arial" w:cs="Arial"/>
                <w:b/>
                <w:i w:val="0"/>
                <w:sz w:val="18"/>
              </w:rPr>
            </w:pPr>
            <w:r>
              <w:rPr>
                <w:rFonts w:ascii="Arial" w:eastAsia="Arial" w:hAnsi="Arial" w:cs="Arial"/>
                <w:b/>
                <w:i w:val="0"/>
                <w:sz w:val="18"/>
              </w:rPr>
              <w:t>Explain rationale for use of LTI awards that are not expected to be part of an annual grant cycle</w:t>
            </w:r>
          </w:p>
        </w:tc>
        <w:tc>
          <w:tcPr>
            <w:tcW w:w="7260" w:type="dxa"/>
            <w:tcBorders>
              <w:top w:val="single" w:sz="12" w:space="0" w:color="4494D1"/>
              <w:left w:val="nil"/>
              <w:bottom w:val="single" w:sz="12"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300" w:lineRule="auto"/>
              <w:ind w:left="90" w:right="90" w:firstLine="0"/>
              <w:jc w:val="both"/>
              <w:outlineLvl w:val="9"/>
              <w:rPr>
                <w:rFonts w:ascii="Arial" w:eastAsia="Arial" w:hAnsi="Arial" w:cs="Arial"/>
                <w:b w:val="0"/>
                <w:i w:val="0"/>
                <w:sz w:val="6"/>
              </w:rPr>
            </w:pPr>
            <w:r>
              <w:rPr>
                <w:rFonts w:ascii="Arial" w:eastAsia="Arial" w:hAnsi="Arial" w:cs="Arial"/>
                <w:b w:val="0"/>
                <w:i w:val="0"/>
                <w:sz w:val="18"/>
              </w:rPr>
              <w:t xml:space="preserve">The CD&amp;A summarizes the rationale for long-term equity incentive ("LTI") award practices, including </w:t>
            </w:r>
            <w:r>
              <w:rPr>
                <w:rFonts w:ascii="Arial" w:eastAsia="Arial" w:hAnsi="Arial" w:cs="Arial"/>
                <w:b w:val="0"/>
                <w:i w:val="0"/>
                <w:sz w:val="18"/>
              </w:rPr>
              <w:t xml:space="preserve">for </w:t>
            </w:r>
            <w:r>
              <w:rPr>
                <w:rFonts w:ascii="Arial" w:eastAsia="Arial" w:hAnsi="Arial" w:cs="Arial"/>
                <w:b w:val="0"/>
                <w:i w:val="0"/>
                <w:sz w:val="18"/>
              </w:rPr>
              <w:t xml:space="preserve">those executives who </w:t>
            </w:r>
            <w:r>
              <w:rPr>
                <w:rFonts w:ascii="Arial" w:eastAsia="Arial" w:hAnsi="Arial" w:cs="Arial"/>
                <w:b w:val="0"/>
                <w:i w:val="0"/>
                <w:sz w:val="18"/>
              </w:rPr>
              <w:t>do not receive annual LTI awards</w:t>
            </w:r>
            <w:r>
              <w:rPr>
                <w:rFonts w:ascii="Arial" w:eastAsia="Arial" w:hAnsi="Arial" w:cs="Arial"/>
                <w:b w:val="0"/>
                <w:i w:val="0"/>
                <w:sz w:val="18"/>
              </w:rPr>
              <w:t xml:space="preserve"> primarily for legacy reasons, </w:t>
            </w:r>
            <w:r>
              <w:rPr>
                <w:rFonts w:ascii="Arial" w:eastAsia="Arial" w:hAnsi="Arial" w:cs="Arial"/>
                <w:b w:val="0"/>
                <w:i w:val="0"/>
                <w:sz w:val="18"/>
              </w:rPr>
              <w:t xml:space="preserve">like </w:t>
            </w:r>
            <w:r>
              <w:rPr>
                <w:rFonts w:ascii="Arial" w:eastAsia="Arial" w:hAnsi="Arial" w:cs="Arial"/>
                <w:b w:val="0"/>
                <w:i w:val="0"/>
                <w:sz w:val="18"/>
              </w:rPr>
              <w:t xml:space="preserve">the CEO </w:t>
            </w:r>
            <w:r>
              <w:rPr>
                <w:rFonts w:ascii="Arial" w:eastAsia="Arial" w:hAnsi="Arial" w:cs="Arial"/>
                <w:b w:val="0"/>
                <w:i w:val="0"/>
                <w:sz w:val="18"/>
              </w:rPr>
              <w:t>and President</w:t>
            </w:r>
            <w:r>
              <w:rPr>
                <w:rFonts w:ascii="Arial" w:eastAsia="Arial" w:hAnsi="Arial" w:cs="Arial"/>
                <w:b w:val="0"/>
                <w:i w:val="0"/>
                <w:sz w:val="18"/>
              </w:rPr>
              <w:t>, a</w:t>
            </w:r>
            <w:r>
              <w:rPr>
                <w:rFonts w:ascii="Arial" w:eastAsia="Arial" w:hAnsi="Arial" w:cs="Arial"/>
                <w:b w:val="0"/>
                <w:i w:val="0"/>
                <w:sz w:val="18"/>
              </w:rPr>
              <w:t xml:space="preserve">nd </w:t>
            </w:r>
            <w:r>
              <w:rPr>
                <w:rFonts w:ascii="Arial" w:eastAsia="Arial" w:hAnsi="Arial" w:cs="Arial"/>
                <w:b w:val="0"/>
                <w:i w:val="0"/>
                <w:sz w:val="18"/>
              </w:rPr>
              <w:t xml:space="preserve">for </w:t>
            </w:r>
            <w:r>
              <w:rPr>
                <w:rFonts w:ascii="Arial" w:eastAsia="Arial" w:hAnsi="Arial" w:cs="Arial"/>
                <w:b w:val="0"/>
                <w:i w:val="0"/>
                <w:sz w:val="18"/>
              </w:rPr>
              <w:t>executive</w:t>
            </w:r>
            <w:r>
              <w:rPr>
                <w:rFonts w:ascii="Arial" w:eastAsia="Arial" w:hAnsi="Arial" w:cs="Arial"/>
                <w:b w:val="0"/>
                <w:i w:val="0"/>
                <w:sz w:val="18"/>
              </w:rPr>
              <w:t>s</w:t>
            </w:r>
            <w:r>
              <w:rPr>
                <w:rFonts w:ascii="Arial" w:eastAsia="Arial" w:hAnsi="Arial" w:cs="Arial"/>
                <w:b w:val="0"/>
                <w:i w:val="0"/>
                <w:sz w:val="18"/>
              </w:rPr>
              <w:t xml:space="preserve"> </w:t>
            </w:r>
            <w:r>
              <w:rPr>
                <w:rFonts w:ascii="Arial" w:eastAsia="Arial" w:hAnsi="Arial" w:cs="Arial"/>
                <w:b w:val="0"/>
                <w:i w:val="0"/>
                <w:sz w:val="18"/>
              </w:rPr>
              <w:t>who received a</w:t>
            </w:r>
            <w:r>
              <w:rPr>
                <w:rFonts w:ascii="Arial" w:eastAsia="Arial" w:hAnsi="Arial" w:cs="Arial"/>
                <w:b w:val="0"/>
                <w:i w:val="0"/>
                <w:sz w:val="18"/>
              </w:rPr>
              <w:t>n</w:t>
            </w:r>
            <w:r>
              <w:rPr>
                <w:rFonts w:ascii="Arial" w:eastAsia="Arial" w:hAnsi="Arial" w:cs="Arial"/>
                <w:b w:val="0"/>
                <w:i w:val="0"/>
                <w:sz w:val="18"/>
              </w:rPr>
              <w:t xml:space="preserve"> </w:t>
            </w:r>
            <w:r>
              <w:rPr>
                <w:rFonts w:ascii="Arial" w:eastAsia="Arial" w:hAnsi="Arial" w:cs="Arial"/>
                <w:b w:val="0"/>
                <w:i w:val="0"/>
                <w:sz w:val="18"/>
              </w:rPr>
              <w:t>off-cycle</w:t>
            </w:r>
            <w:r>
              <w:rPr>
                <w:rFonts w:ascii="Arial" w:eastAsia="Arial" w:hAnsi="Arial" w:cs="Arial"/>
                <w:b w:val="0"/>
                <w:i w:val="0"/>
                <w:sz w:val="18"/>
              </w:rPr>
              <w:t>, "cliff" vesting</w:t>
            </w:r>
            <w:r>
              <w:rPr>
                <w:rFonts w:ascii="Arial" w:eastAsia="Arial" w:hAnsi="Arial" w:cs="Arial"/>
                <w:b w:val="0"/>
                <w:i w:val="0"/>
                <w:sz w:val="18"/>
              </w:rPr>
              <w:t xml:space="preserve"> RSU award in 202</w:t>
            </w:r>
            <w:r>
              <w:rPr>
                <w:rFonts w:ascii="Arial" w:eastAsia="Arial" w:hAnsi="Arial" w:cs="Arial"/>
                <w:b w:val="0"/>
                <w:i w:val="0"/>
                <w:sz w:val="18"/>
              </w:rPr>
              <w:t>3</w:t>
            </w:r>
            <w:r>
              <w:rPr>
                <w:rFonts w:ascii="Arial" w:eastAsia="Arial" w:hAnsi="Arial" w:cs="Arial"/>
                <w:b w:val="0"/>
                <w:i w:val="0"/>
                <w:sz w:val="18"/>
              </w:rPr>
              <w:t xml:space="preserve">. </w:t>
            </w:r>
            <w:r>
              <w:rPr>
                <w:rFonts w:ascii="Arial" w:eastAsia="Arial" w:hAnsi="Arial" w:cs="Arial"/>
                <w:b/>
                <w:i w:val="0"/>
                <w:sz w:val="18"/>
              </w:rPr>
              <w:t>We are committed t</w:t>
            </w:r>
            <w:r>
              <w:rPr>
                <w:rFonts w:ascii="Arial" w:eastAsia="Arial" w:hAnsi="Arial" w:cs="Arial"/>
                <w:b/>
                <w:i w:val="0"/>
                <w:sz w:val="18"/>
              </w:rPr>
              <w:t xml:space="preserve">o </w:t>
            </w:r>
            <w:r>
              <w:rPr>
                <w:rFonts w:ascii="Arial" w:eastAsia="Arial" w:hAnsi="Arial" w:cs="Arial"/>
                <w:b/>
                <w:i w:val="0"/>
                <w:sz w:val="18"/>
              </w:rPr>
              <w:t>continue to describe</w:t>
            </w:r>
            <w:r>
              <w:rPr>
                <w:rFonts w:ascii="Arial" w:eastAsia="Arial" w:hAnsi="Arial" w:cs="Arial"/>
                <w:b/>
                <w:i w:val="0"/>
                <w:sz w:val="18"/>
              </w:rPr>
              <w:t xml:space="preserve"> the rationale</w:t>
            </w:r>
            <w:r>
              <w:rPr>
                <w:rFonts w:ascii="Arial" w:eastAsia="Arial" w:hAnsi="Arial" w:cs="Arial"/>
                <w:b/>
                <w:i w:val="0"/>
                <w:sz w:val="18"/>
              </w:rPr>
              <w:t xml:space="preserve"> for</w:t>
            </w:r>
            <w:r>
              <w:rPr>
                <w:rFonts w:ascii="Arial" w:eastAsia="Arial" w:hAnsi="Arial" w:cs="Arial"/>
                <w:b/>
                <w:i w:val="0"/>
                <w:sz w:val="18"/>
              </w:rPr>
              <w:t xml:space="preserve"> any</w:t>
            </w:r>
            <w:r>
              <w:rPr>
                <w:rFonts w:ascii="Arial" w:eastAsia="Arial" w:hAnsi="Arial" w:cs="Arial"/>
                <w:b/>
                <w:i w:val="0"/>
                <w:sz w:val="18"/>
              </w:rPr>
              <w:t xml:space="preserve"> future off-cycle grants</w:t>
            </w:r>
            <w:r>
              <w:rPr>
                <w:rFonts w:ascii="Arial" w:eastAsia="Arial" w:hAnsi="Arial" w:cs="Arial"/>
                <w:b/>
                <w:i w:val="0"/>
                <w:sz w:val="18"/>
              </w:rPr>
              <w:t xml:space="preserve">. </w:t>
            </w:r>
          </w:p>
        </w:tc>
      </w:tr>
      <w:tr>
        <w:tblPrEx>
          <w:tblW w:w="10260" w:type="dxa"/>
          <w:tblInd w:w="0" w:type="dxa"/>
          <w:tblLayout w:type="fixed"/>
          <w:tblCellMar>
            <w:left w:w="108" w:type="dxa"/>
            <w:right w:w="108" w:type="dxa"/>
          </w:tblCellMar>
        </w:tblPrEx>
        <w:trPr>
          <w:cantSplit/>
          <w:trHeight w:hRule="exact" w:val="2415"/>
        </w:trPr>
        <w:tc>
          <w:tcPr>
            <w:tcW w:w="3000" w:type="dxa"/>
            <w:tcBorders>
              <w:top w:val="single" w:sz="12" w:space="0" w:color="DBDBDB"/>
              <w:left w:val="nil"/>
              <w:bottom w:val="single" w:sz="12" w:space="0" w:color="DBDBDB"/>
              <w:right w:val="nil"/>
            </w:tcBorders>
            <w:shd w:val="clear" w:color="auto" w:fill="FFFFFF"/>
            <w:tcMar>
              <w:top w:w="0" w:type="dxa"/>
              <w:left w:w="53" w:type="dxa"/>
              <w:bottom w:w="0" w:type="dxa"/>
              <w:right w:w="53" w:type="dxa"/>
            </w:tcMar>
            <w:vAlign w:val="top"/>
          </w:tcPr>
          <w:p>
            <w:pPr>
              <w:keepNext/>
              <w:pageBreakBefore w:val="0"/>
              <w:numPr>
                <w:ilvl w:val="0"/>
                <w:numId w:val="0"/>
              </w:numPr>
              <w:spacing w:before="23" w:after="0" w:line="300" w:lineRule="auto"/>
              <w:ind w:left="0" w:right="0" w:firstLine="0"/>
              <w:jc w:val="left"/>
              <w:outlineLvl w:val="9"/>
              <w:rPr>
                <w:rFonts w:ascii="Arial" w:eastAsia="Arial" w:hAnsi="Arial" w:cs="Arial"/>
                <w:b/>
                <w:i w:val="0"/>
                <w:sz w:val="6"/>
              </w:rPr>
            </w:pPr>
            <w:r>
              <w:rPr>
                <w:rFonts w:ascii="Arial" w:eastAsia="Arial" w:hAnsi="Arial" w:cs="Arial"/>
                <w:b/>
                <w:i w:val="0"/>
                <w:sz w:val="10"/>
              </w:rPr>
              <w:t xml:space="preserve"> </w:t>
            </w:r>
          </w:p>
          <w:p>
            <w:pPr>
              <w:pageBreakBefore w:val="0"/>
              <w:numPr>
                <w:ilvl w:val="0"/>
                <w:numId w:val="0"/>
              </w:numPr>
              <w:spacing w:before="0" w:after="30" w:line="300" w:lineRule="auto"/>
              <w:ind w:left="0" w:right="0" w:firstLine="0"/>
              <w:jc w:val="left"/>
              <w:outlineLvl w:val="9"/>
              <w:rPr>
                <w:rFonts w:ascii="Arial" w:eastAsia="Arial" w:hAnsi="Arial" w:cs="Arial"/>
                <w:b/>
                <w:i w:val="0"/>
                <w:sz w:val="18"/>
              </w:rPr>
            </w:pPr>
            <w:r>
              <w:rPr>
                <w:rFonts w:ascii="Arial" w:eastAsia="Arial" w:hAnsi="Arial" w:cs="Arial"/>
                <w:b/>
                <w:i w:val="0"/>
                <w:sz w:val="18"/>
              </w:rPr>
              <w:t>Some shareholders expressed a</w:t>
            </w:r>
            <w:r>
              <w:rPr>
                <w:rFonts w:ascii="Arial" w:eastAsia="Arial" w:hAnsi="Arial" w:cs="Arial"/>
                <w:b/>
                <w:i w:val="0"/>
                <w:sz w:val="18"/>
              </w:rPr>
              <w:t xml:space="preserve"> desire to see increased</w:t>
            </w:r>
            <w:r>
              <w:rPr>
                <w:rFonts w:ascii="Arial" w:eastAsia="Arial" w:hAnsi="Arial" w:cs="Arial"/>
                <w:b/>
                <w:i w:val="0"/>
                <w:sz w:val="18"/>
              </w:rPr>
              <w:t xml:space="preserve"> weighting</w:t>
            </w:r>
            <w:r>
              <w:rPr>
                <w:rFonts w:ascii="Arial" w:eastAsia="Arial" w:hAnsi="Arial" w:cs="Arial"/>
                <w:b/>
                <w:i w:val="0"/>
                <w:sz w:val="18"/>
              </w:rPr>
              <w:t xml:space="preserve"> towards </w:t>
            </w:r>
            <w:r>
              <w:rPr>
                <w:rFonts w:ascii="Arial" w:eastAsia="Arial" w:hAnsi="Arial" w:cs="Arial"/>
                <w:b/>
                <w:i w:val="0"/>
                <w:sz w:val="18"/>
              </w:rPr>
              <w:t>financial metrics within the Annual Incentive Compensation Program</w:t>
            </w:r>
            <w:r>
              <w:rPr>
                <w:rFonts w:ascii="Arial" w:eastAsia="Arial" w:hAnsi="Arial" w:cs="Arial"/>
                <w:b/>
                <w:i w:val="0"/>
                <w:sz w:val="18"/>
              </w:rPr>
              <w:t xml:space="preserve"> ("AIP")</w:t>
            </w:r>
          </w:p>
        </w:tc>
        <w:tc>
          <w:tcPr>
            <w:tcW w:w="7260" w:type="dxa"/>
            <w:tcBorders>
              <w:top w:val="single" w:sz="12" w:space="0" w:color="DBDBDB"/>
              <w:left w:val="nil"/>
              <w:bottom w:val="single" w:sz="12"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300" w:lineRule="auto"/>
              <w:ind w:left="90" w:right="90" w:firstLine="0"/>
              <w:jc w:val="both"/>
              <w:outlineLvl w:val="9"/>
              <w:rPr>
                <w:rFonts w:ascii="Arial" w:eastAsia="Arial" w:hAnsi="Arial" w:cs="Arial"/>
                <w:b w:val="0"/>
                <w:i w:val="0"/>
                <w:sz w:val="6"/>
              </w:rPr>
            </w:pPr>
            <w:r>
              <w:rPr>
                <w:rFonts w:ascii="Arial" w:eastAsia="Arial" w:hAnsi="Arial" w:cs="Arial"/>
                <w:b w:val="0"/>
                <w:i w:val="0"/>
                <w:sz w:val="18"/>
              </w:rPr>
              <w:t xml:space="preserve">The Compensation Committee acknowledges that financial metrics are an important part of annual compensation, and we give substantial weighting to Adjusted ROE in calculating executive annual incentive awards. However, our strategy often leads to volatility within a one year period that is not reflective of the success of the strategy in creating long-term value </w:t>
            </w:r>
            <w:r>
              <w:rPr>
                <w:rFonts w:ascii="Arial" w:eastAsia="Arial" w:hAnsi="Arial" w:cs="Arial"/>
                <w:b w:val="0"/>
                <w:i w:val="0"/>
                <w:sz w:val="18"/>
              </w:rPr>
              <w:t xml:space="preserve">for shareholders. In </w:t>
            </w:r>
            <w:r>
              <w:rPr>
                <w:rFonts w:ascii="Arial" w:eastAsia="Arial" w:hAnsi="Arial" w:cs="Arial"/>
                <w:b w:val="0"/>
                <w:i w:val="0"/>
                <w:sz w:val="18"/>
              </w:rPr>
              <w:t>structuring</w:t>
            </w:r>
            <w:r>
              <w:rPr>
                <w:rFonts w:ascii="Arial" w:eastAsia="Arial" w:hAnsi="Arial" w:cs="Arial"/>
                <w:b w:val="0"/>
                <w:i w:val="0"/>
                <w:sz w:val="18"/>
              </w:rPr>
              <w:t xml:space="preserve"> the </w:t>
            </w:r>
            <w:r>
              <w:rPr>
                <w:rFonts w:ascii="Arial" w:eastAsia="Arial" w:hAnsi="Arial" w:cs="Arial"/>
                <w:b w:val="0"/>
                <w:i w:val="0"/>
                <w:sz w:val="18"/>
              </w:rPr>
              <w:t>AIP</w:t>
            </w:r>
            <w:r>
              <w:rPr>
                <w:rFonts w:ascii="Arial" w:eastAsia="Arial" w:hAnsi="Arial" w:cs="Arial"/>
                <w:b w:val="0"/>
                <w:i w:val="0"/>
                <w:sz w:val="18"/>
              </w:rPr>
              <w:t xml:space="preserve"> for 202</w:t>
            </w:r>
            <w:r>
              <w:rPr>
                <w:rFonts w:ascii="Arial" w:eastAsia="Arial" w:hAnsi="Arial" w:cs="Arial"/>
                <w:b w:val="0"/>
                <w:i w:val="0"/>
                <w:sz w:val="18"/>
              </w:rPr>
              <w:t>3</w:t>
            </w:r>
            <w:r>
              <w:rPr>
                <w:rFonts w:ascii="Arial" w:eastAsia="Arial" w:hAnsi="Arial" w:cs="Arial"/>
                <w:b w:val="0"/>
                <w:i w:val="0"/>
                <w:sz w:val="18"/>
              </w:rPr>
              <w:t xml:space="preserve">, we </w:t>
            </w:r>
            <w:r>
              <w:rPr>
                <w:rFonts w:ascii="Arial" w:eastAsia="Arial" w:hAnsi="Arial" w:cs="Arial"/>
                <w:b w:val="0"/>
                <w:i w:val="0"/>
                <w:sz w:val="18"/>
              </w:rPr>
              <w:t>maintained</w:t>
            </w:r>
            <w:r>
              <w:rPr>
                <w:rFonts w:ascii="Arial" w:eastAsia="Arial" w:hAnsi="Arial" w:cs="Arial"/>
                <w:b w:val="0"/>
                <w:i w:val="0"/>
                <w:sz w:val="18"/>
              </w:rPr>
              <w:t xml:space="preserve"> corporate and individual components of awards using a balanced scorecard approach, which is more fully described </w:t>
            </w:r>
            <w:r>
              <w:rPr>
                <w:rFonts w:ascii="Arial" w:eastAsia="Arial" w:hAnsi="Arial" w:cs="Arial"/>
                <w:b w:val="0"/>
                <w:i w:val="0"/>
                <w:sz w:val="18"/>
              </w:rPr>
              <w:t>below</w:t>
            </w:r>
            <w:r>
              <w:rPr>
                <w:rFonts w:ascii="Arial" w:eastAsia="Arial" w:hAnsi="Arial" w:cs="Arial"/>
                <w:b w:val="0"/>
                <w:i w:val="0"/>
                <w:sz w:val="18"/>
              </w:rPr>
              <w:t>.</w:t>
            </w:r>
            <w:r>
              <w:rPr>
                <w:rFonts w:ascii="Arial" w:eastAsia="Arial" w:hAnsi="Arial" w:cs="Arial"/>
                <w:b w:val="0"/>
                <w:i w:val="0"/>
                <w:sz w:val="18"/>
              </w:rPr>
              <w:t xml:space="preserve"> </w:t>
            </w:r>
            <w:r>
              <w:rPr>
                <w:rFonts w:ascii="Arial" w:eastAsia="Arial" w:hAnsi="Arial" w:cs="Arial"/>
                <w:b/>
                <w:i w:val="0"/>
                <w:sz w:val="18"/>
              </w:rPr>
              <w:t>For 2024</w:t>
            </w:r>
            <w:r>
              <w:rPr>
                <w:rFonts w:ascii="Arial" w:eastAsia="Arial" w:hAnsi="Arial" w:cs="Arial"/>
                <w:b/>
                <w:i w:val="0"/>
                <w:sz w:val="18"/>
              </w:rPr>
              <w:t xml:space="preserve">, the </w:t>
            </w:r>
            <w:r>
              <w:rPr>
                <w:rFonts w:ascii="Arial" w:eastAsia="Arial" w:hAnsi="Arial" w:cs="Arial"/>
                <w:b/>
                <w:i w:val="0"/>
                <w:sz w:val="18"/>
              </w:rPr>
              <w:t xml:space="preserve">Compensation </w:t>
            </w:r>
            <w:r>
              <w:rPr>
                <w:rFonts w:ascii="Arial" w:eastAsia="Arial" w:hAnsi="Arial" w:cs="Arial"/>
                <w:b/>
                <w:i w:val="0"/>
                <w:sz w:val="18"/>
              </w:rPr>
              <w:t>C</w:t>
            </w:r>
            <w:r>
              <w:rPr>
                <w:rFonts w:ascii="Arial" w:eastAsia="Arial" w:hAnsi="Arial" w:cs="Arial"/>
                <w:b/>
                <w:i w:val="0"/>
                <w:sz w:val="18"/>
              </w:rPr>
              <w:t>ommittee has increase</w:t>
            </w:r>
            <w:r>
              <w:rPr>
                <w:rFonts w:ascii="Arial" w:eastAsia="Arial" w:hAnsi="Arial" w:cs="Arial"/>
                <w:b/>
                <w:i w:val="0"/>
                <w:sz w:val="18"/>
              </w:rPr>
              <w:t xml:space="preserve">d the weighting towards </w:t>
            </w:r>
            <w:r>
              <w:rPr>
                <w:rFonts w:ascii="Arial" w:eastAsia="Arial" w:hAnsi="Arial" w:cs="Arial"/>
                <w:b/>
                <w:i w:val="0"/>
                <w:sz w:val="18"/>
              </w:rPr>
              <w:t xml:space="preserve">the financial </w:t>
            </w:r>
            <w:r>
              <w:rPr>
                <w:rFonts w:ascii="Arial" w:eastAsia="Arial" w:hAnsi="Arial" w:cs="Arial"/>
                <w:b/>
                <w:i w:val="0"/>
                <w:sz w:val="18"/>
              </w:rPr>
              <w:t>component</w:t>
            </w:r>
            <w:r>
              <w:rPr>
                <w:rFonts w:ascii="Arial" w:eastAsia="Arial" w:hAnsi="Arial" w:cs="Arial"/>
                <w:b/>
                <w:i w:val="0"/>
                <w:sz w:val="18"/>
              </w:rPr>
              <w:t xml:space="preserve"> of </w:t>
            </w:r>
            <w:r>
              <w:rPr>
                <w:rFonts w:ascii="Arial" w:eastAsia="Arial" w:hAnsi="Arial" w:cs="Arial"/>
                <w:b/>
                <w:i w:val="0"/>
                <w:sz w:val="18"/>
              </w:rPr>
              <w:t>executive</w:t>
            </w:r>
            <w:r>
              <w:rPr>
                <w:rFonts w:ascii="Arial" w:eastAsia="Arial" w:hAnsi="Arial" w:cs="Arial"/>
                <w:b/>
                <w:i w:val="0"/>
                <w:sz w:val="18"/>
              </w:rPr>
              <w:t xml:space="preserve"> annual incentive </w:t>
            </w:r>
            <w:r>
              <w:rPr>
                <w:rFonts w:ascii="Arial" w:eastAsia="Arial" w:hAnsi="Arial" w:cs="Arial"/>
                <w:b/>
                <w:i w:val="0"/>
                <w:sz w:val="18"/>
              </w:rPr>
              <w:t>awards</w:t>
            </w:r>
            <w:r>
              <w:rPr>
                <w:rFonts w:ascii="Arial" w:eastAsia="Arial" w:hAnsi="Arial" w:cs="Arial"/>
                <w:b/>
                <w:i w:val="0"/>
                <w:sz w:val="18"/>
              </w:rPr>
              <w:t xml:space="preserve">, with a further increase in weighting </w:t>
            </w:r>
            <w:r>
              <w:rPr>
                <w:rFonts w:ascii="Arial" w:eastAsia="Arial" w:hAnsi="Arial" w:cs="Arial"/>
                <w:b/>
                <w:i w:val="0"/>
                <w:sz w:val="18"/>
              </w:rPr>
              <w:t>planned for 2025</w:t>
            </w:r>
            <w:r>
              <w:rPr>
                <w:rFonts w:ascii="Arial" w:eastAsia="Arial" w:hAnsi="Arial" w:cs="Arial"/>
                <w:b/>
                <w:i w:val="0"/>
                <w:sz w:val="18"/>
              </w:rPr>
              <w:t xml:space="preserve"> as part of a stepped approach to ad</w:t>
            </w:r>
            <w:r>
              <w:rPr>
                <w:rFonts w:ascii="Arial" w:eastAsia="Arial" w:hAnsi="Arial" w:cs="Arial"/>
                <w:b/>
                <w:i w:val="0"/>
                <w:sz w:val="18"/>
              </w:rPr>
              <w:t>dress shareholder concerns</w:t>
            </w:r>
            <w:r>
              <w:rPr>
                <w:rFonts w:ascii="Arial" w:eastAsia="Arial" w:hAnsi="Arial" w:cs="Arial"/>
                <w:b/>
                <w:i w:val="0"/>
                <w:sz w:val="18"/>
              </w:rPr>
              <w:t xml:space="preserve">. </w:t>
            </w:r>
          </w:p>
        </w:tc>
      </w:tr>
      <w:tr>
        <w:tblPrEx>
          <w:tblW w:w="10260" w:type="dxa"/>
          <w:tblInd w:w="0" w:type="dxa"/>
          <w:tblLayout w:type="fixed"/>
          <w:tblCellMar>
            <w:left w:w="108" w:type="dxa"/>
            <w:right w:w="108" w:type="dxa"/>
          </w:tblCellMar>
        </w:tblPrEx>
        <w:trPr>
          <w:cantSplit/>
          <w:trHeight w:hRule="exact" w:val="2865"/>
        </w:trPr>
        <w:tc>
          <w:tcPr>
            <w:tcW w:w="3000" w:type="dxa"/>
            <w:tcBorders>
              <w:top w:val="single" w:sz="12" w:space="0" w:color="DBDBDB"/>
              <w:left w:val="nil"/>
              <w:bottom w:val="single" w:sz="12" w:space="0" w:color="DBDBDB"/>
              <w:right w:val="nil"/>
            </w:tcBorders>
            <w:shd w:val="clear" w:color="auto" w:fill="FFFFFF"/>
            <w:tcMar>
              <w:top w:w="0" w:type="dxa"/>
              <w:left w:w="53" w:type="dxa"/>
              <w:bottom w:w="0" w:type="dxa"/>
              <w:right w:w="53" w:type="dxa"/>
            </w:tcMar>
            <w:vAlign w:val="top"/>
          </w:tcPr>
          <w:p>
            <w:pPr>
              <w:keepNext/>
              <w:pageBreakBefore w:val="0"/>
              <w:numPr>
                <w:ilvl w:val="0"/>
                <w:numId w:val="0"/>
              </w:numPr>
              <w:spacing w:before="23" w:after="0" w:line="300" w:lineRule="auto"/>
              <w:ind w:left="0" w:right="0" w:firstLine="0"/>
              <w:jc w:val="left"/>
              <w:outlineLvl w:val="9"/>
              <w:rPr>
                <w:rFonts w:ascii="Arial" w:eastAsia="Arial" w:hAnsi="Arial" w:cs="Arial"/>
                <w:b/>
                <w:i w:val="0"/>
                <w:sz w:val="8"/>
              </w:rPr>
            </w:pPr>
            <w:r>
              <w:rPr>
                <w:rFonts w:ascii="Arial" w:eastAsia="Arial" w:hAnsi="Arial" w:cs="Arial"/>
                <w:b/>
                <w:i w:val="0"/>
                <w:sz w:val="8"/>
              </w:rPr>
              <w:t xml:space="preserve"> </w:t>
            </w:r>
          </w:p>
          <w:p>
            <w:pPr>
              <w:pageBreakBefore w:val="0"/>
              <w:numPr>
                <w:ilvl w:val="0"/>
                <w:numId w:val="0"/>
              </w:numPr>
              <w:spacing w:before="0" w:after="0" w:line="300" w:lineRule="auto"/>
              <w:ind w:left="0" w:right="0" w:firstLine="0"/>
              <w:jc w:val="left"/>
              <w:outlineLvl w:val="9"/>
              <w:rPr>
                <w:rFonts w:ascii="Arial" w:eastAsia="Arial" w:hAnsi="Arial" w:cs="Arial"/>
                <w:b/>
                <w:i w:val="0"/>
                <w:sz w:val="18"/>
              </w:rPr>
            </w:pPr>
            <w:r>
              <w:rPr>
                <w:rFonts w:ascii="Arial" w:eastAsia="Arial" w:hAnsi="Arial" w:cs="Arial"/>
                <w:b/>
                <w:i w:val="0"/>
                <w:sz w:val="18"/>
              </w:rPr>
              <w:t>Some shareholders expressed concern that the vesting period for the CEO's long-term equity incentive award (the "JSOP Award") was extended in 2022 at a time when Company stock price was not above the hurdle.</w:t>
            </w:r>
          </w:p>
          <w:p>
            <w:pPr>
              <w:pageBreakBefore w:val="0"/>
              <w:numPr>
                <w:ilvl w:val="0"/>
                <w:numId w:val="0"/>
              </w:numPr>
              <w:spacing w:before="0" w:after="0" w:line="300" w:lineRule="auto"/>
              <w:ind w:left="0" w:right="0" w:firstLine="0"/>
              <w:jc w:val="left"/>
              <w:outlineLvl w:val="9"/>
              <w:rPr>
                <w:rFonts w:ascii="Arial" w:eastAsia="Arial" w:hAnsi="Arial" w:cs="Arial"/>
                <w:b/>
                <w:i w:val="0"/>
                <w:sz w:val="18"/>
              </w:rPr>
            </w:pPr>
          </w:p>
          <w:p>
            <w:pPr>
              <w:pageBreakBefore w:val="0"/>
              <w:numPr>
                <w:ilvl w:val="0"/>
                <w:numId w:val="0"/>
              </w:numPr>
              <w:spacing w:before="0" w:after="30" w:line="300" w:lineRule="auto"/>
              <w:ind w:left="0" w:right="0" w:firstLine="0"/>
              <w:jc w:val="left"/>
              <w:outlineLvl w:val="9"/>
              <w:rPr>
                <w:rFonts w:ascii="Arial" w:eastAsia="Arial" w:hAnsi="Arial" w:cs="Arial"/>
                <w:b/>
                <w:i w:val="0"/>
                <w:sz w:val="18"/>
              </w:rPr>
            </w:pPr>
            <w:r>
              <w:rPr>
                <w:rFonts w:ascii="Arial" w:eastAsia="Arial" w:hAnsi="Arial" w:cs="Arial"/>
                <w:b/>
                <w:i w:val="0"/>
                <w:sz w:val="18"/>
              </w:rPr>
              <w:t xml:space="preserve">Other shareholders acknowledged the increased hurdles maintained the award's performance rigor. </w:t>
            </w:r>
          </w:p>
        </w:tc>
        <w:tc>
          <w:tcPr>
            <w:tcW w:w="7260" w:type="dxa"/>
            <w:tcBorders>
              <w:top w:val="single" w:sz="12" w:space="0" w:color="DBDBDB"/>
              <w:left w:val="nil"/>
              <w:bottom w:val="single" w:sz="12"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300" w:lineRule="auto"/>
              <w:ind w:left="90" w:right="0" w:firstLine="0"/>
              <w:jc w:val="both"/>
              <w:outlineLvl w:val="9"/>
              <w:rPr>
                <w:rFonts w:ascii="Arial" w:eastAsia="Arial" w:hAnsi="Arial" w:cs="Arial"/>
                <w:b w:val="0"/>
                <w:i w:val="0"/>
                <w:sz w:val="18"/>
              </w:rPr>
            </w:pPr>
            <w:r>
              <w:rPr>
                <w:rFonts w:ascii="Arial" w:eastAsia="Arial" w:hAnsi="Arial" w:cs="Arial"/>
                <w:b w:val="0"/>
                <w:i w:val="0"/>
                <w:sz w:val="18"/>
              </w:rPr>
              <w:t xml:space="preserve">The JSOP Award was amended as an alternative to granting a new equity award in connection with the extension of the CEO's employment term to January 2025. From and after March 2021, when the CEO's employment term was extended, the Compensation Committee periodically discussed different possibilities for structuring a long-term component of CEO compensation to apply to the additional two-year period and to incentivize performance for the entirety of the extended agreement term. Ultimately, the Compensation Committee determined that extending the previously designed JSOP Award to align to the extended employment term was preferable to structuring and granting a new bespoke award, and that commensurately increasing the performance hurdle maintained the award's rigor. </w:t>
            </w:r>
            <w:r>
              <w:rPr>
                <w:rFonts w:ascii="Arial" w:eastAsia="Arial" w:hAnsi="Arial" w:cs="Arial"/>
                <w:b/>
                <w:i w:val="0"/>
                <w:sz w:val="18"/>
              </w:rPr>
              <w:t>The Compensation Committee has committed to refrain from further extensions of the JSOP Award.</w:t>
            </w:r>
          </w:p>
        </w:tc>
      </w:tr>
      <w:tr>
        <w:tblPrEx>
          <w:tblW w:w="10260" w:type="dxa"/>
          <w:tblInd w:w="0" w:type="dxa"/>
          <w:tblLayout w:type="fixed"/>
          <w:tblCellMar>
            <w:left w:w="108" w:type="dxa"/>
            <w:right w:w="108" w:type="dxa"/>
          </w:tblCellMar>
        </w:tblPrEx>
        <w:trPr>
          <w:cantSplit/>
          <w:trHeight w:hRule="exact" w:val="3060"/>
        </w:trPr>
        <w:tc>
          <w:tcPr>
            <w:tcW w:w="3000" w:type="dxa"/>
            <w:tcBorders>
              <w:top w:val="single" w:sz="12" w:space="0" w:color="DBDBDB"/>
              <w:left w:val="nil"/>
              <w:bottom w:val="single" w:sz="12" w:space="0" w:color="DBDBDB"/>
              <w:right w:val="nil"/>
            </w:tcBorders>
            <w:shd w:val="clear" w:color="auto" w:fill="FFFFFF"/>
            <w:tcMar>
              <w:top w:w="0" w:type="dxa"/>
              <w:left w:w="53" w:type="dxa"/>
              <w:bottom w:w="0" w:type="dxa"/>
              <w:right w:w="53" w:type="dxa"/>
            </w:tcMar>
            <w:vAlign w:val="top"/>
          </w:tcPr>
          <w:p>
            <w:pPr>
              <w:keepNext/>
              <w:pageBreakBefore w:val="0"/>
              <w:numPr>
                <w:ilvl w:val="0"/>
                <w:numId w:val="0"/>
              </w:numPr>
              <w:spacing w:before="23" w:after="0" w:line="300" w:lineRule="auto"/>
              <w:ind w:left="0" w:right="0" w:firstLine="0"/>
              <w:jc w:val="left"/>
              <w:outlineLvl w:val="9"/>
              <w:rPr>
                <w:rFonts w:ascii="Arial" w:eastAsia="Arial" w:hAnsi="Arial" w:cs="Arial"/>
                <w:b/>
                <w:i w:val="0"/>
                <w:sz w:val="6"/>
              </w:rPr>
            </w:pPr>
            <w:r>
              <w:rPr>
                <w:rFonts w:ascii="Arial" w:eastAsia="Arial" w:hAnsi="Arial" w:cs="Arial"/>
                <w:b/>
                <w:i w:val="0"/>
                <w:sz w:val="10"/>
              </w:rPr>
              <w:t xml:space="preserve"> </w:t>
            </w:r>
          </w:p>
          <w:p>
            <w:pPr>
              <w:pageBreakBefore w:val="0"/>
              <w:numPr>
                <w:ilvl w:val="0"/>
                <w:numId w:val="0"/>
              </w:numPr>
              <w:spacing w:before="0" w:after="30" w:line="300" w:lineRule="auto"/>
              <w:ind w:left="0" w:right="0" w:firstLine="0"/>
              <w:jc w:val="left"/>
              <w:outlineLvl w:val="9"/>
              <w:rPr>
                <w:rFonts w:ascii="Arial" w:eastAsia="Arial" w:hAnsi="Arial" w:cs="Arial"/>
                <w:b/>
                <w:i w:val="0"/>
                <w:sz w:val="18"/>
              </w:rPr>
            </w:pPr>
            <w:r>
              <w:rPr>
                <w:rFonts w:ascii="Arial" w:eastAsia="Arial" w:hAnsi="Arial" w:cs="Arial"/>
                <w:b/>
                <w:i w:val="0"/>
                <w:sz w:val="18"/>
              </w:rPr>
              <w:t>The CEO employment contract was amended in 2022 to extend its term, but the single-trigger change in control provision, which conflicts with investor policies and preferences, was not removed.</w:t>
            </w:r>
          </w:p>
        </w:tc>
        <w:tc>
          <w:tcPr>
            <w:tcW w:w="7260" w:type="dxa"/>
            <w:tcBorders>
              <w:top w:val="single" w:sz="12" w:space="0" w:color="DBDBDB"/>
              <w:left w:val="nil"/>
              <w:bottom w:val="single" w:sz="12"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300" w:lineRule="auto"/>
              <w:ind w:left="90" w:right="90" w:firstLine="0"/>
              <w:jc w:val="both"/>
              <w:outlineLvl w:val="9"/>
              <w:rPr>
                <w:rFonts w:ascii="Arial" w:eastAsia="Arial" w:hAnsi="Arial" w:cs="Arial"/>
                <w:b w:val="0"/>
                <w:i w:val="0"/>
                <w:sz w:val="6"/>
              </w:rPr>
            </w:pPr>
            <w:r>
              <w:rPr>
                <w:rFonts w:ascii="Arial" w:eastAsia="Arial" w:hAnsi="Arial" w:cs="Arial"/>
                <w:b w:val="0"/>
                <w:i w:val="0"/>
                <w:sz w:val="18"/>
              </w:rPr>
              <w:t xml:space="preserve">The Compensation Committee understands this concern and has limited this provision to the Company's CEO. The CEO employment contract was amended in connection with an extension in March 2021 of the CEO's employment term. In July 2022, the JSOP Award was also extended to cover this longer term. The changes to the CEO employment contract in 2022 were limited to those necessary to conform certain sections related to the JSOP Award to the extended award term. The Compensation Committee understands that shareholders expect single trigger provisions to be removed if an agreement is amended. However, as a practical matter, the Compensation Committee agreed with the CEO not to open negotiations relating to any part of the employment agreement outside of the extension. </w:t>
            </w:r>
            <w:r>
              <w:rPr>
                <w:rFonts w:ascii="Arial" w:eastAsia="Arial" w:hAnsi="Arial" w:cs="Arial"/>
                <w:b/>
                <w:i w:val="0"/>
                <w:sz w:val="18"/>
              </w:rPr>
              <w:t>The Compensation Committee has committed to not entering into single-trigger arrangements in future executive employment agreements.</w:t>
            </w:r>
          </w:p>
        </w:tc>
      </w:tr>
      <w:tr>
        <w:tblPrEx>
          <w:tblW w:w="10260" w:type="dxa"/>
          <w:tblInd w:w="0" w:type="dxa"/>
          <w:tblLayout w:type="fixed"/>
          <w:tblCellMar>
            <w:left w:w="108" w:type="dxa"/>
            <w:right w:w="108" w:type="dxa"/>
          </w:tblCellMar>
        </w:tblPrEx>
        <w:trPr>
          <w:cantSplit/>
          <w:trHeight w:hRule="exact" w:val="1575"/>
        </w:trPr>
        <w:tc>
          <w:tcPr>
            <w:tcW w:w="3000" w:type="dxa"/>
            <w:tcBorders>
              <w:top w:val="single" w:sz="12" w:space="0" w:color="DBDBDB"/>
              <w:left w:val="nil"/>
              <w:bottom w:val="single" w:sz="12" w:space="0" w:color="DBDBDB"/>
              <w:right w:val="nil"/>
            </w:tcBorders>
            <w:shd w:val="clear" w:color="auto" w:fill="FFFFFF"/>
            <w:tcMar>
              <w:top w:w="0" w:type="dxa"/>
              <w:left w:w="53" w:type="dxa"/>
              <w:bottom w:w="0" w:type="dxa"/>
              <w:right w:w="53" w:type="dxa"/>
            </w:tcMar>
            <w:vAlign w:val="top"/>
          </w:tcPr>
          <w:p>
            <w:pPr>
              <w:keepNext/>
              <w:pageBreakBefore w:val="0"/>
              <w:numPr>
                <w:ilvl w:val="0"/>
                <w:numId w:val="0"/>
              </w:numPr>
              <w:spacing w:before="23" w:after="0" w:line="300" w:lineRule="auto"/>
              <w:ind w:left="0" w:right="0" w:firstLine="0"/>
              <w:jc w:val="left"/>
              <w:outlineLvl w:val="9"/>
              <w:rPr>
                <w:rFonts w:ascii="Arial" w:eastAsia="Arial" w:hAnsi="Arial" w:cs="Arial"/>
                <w:b/>
                <w:i w:val="0"/>
                <w:sz w:val="6"/>
              </w:rPr>
            </w:pPr>
          </w:p>
          <w:p>
            <w:pPr>
              <w:pageBreakBefore w:val="0"/>
              <w:numPr>
                <w:ilvl w:val="0"/>
                <w:numId w:val="0"/>
              </w:numPr>
              <w:spacing w:before="0" w:after="30" w:line="300" w:lineRule="auto"/>
              <w:ind w:left="0" w:right="0" w:firstLine="0"/>
              <w:jc w:val="left"/>
              <w:outlineLvl w:val="9"/>
              <w:rPr>
                <w:rFonts w:ascii="Arial" w:eastAsia="Arial" w:hAnsi="Arial" w:cs="Arial"/>
                <w:b/>
                <w:i w:val="0"/>
                <w:sz w:val="18"/>
              </w:rPr>
            </w:pPr>
            <w:r>
              <w:rPr>
                <w:rFonts w:ascii="Arial" w:eastAsia="Arial" w:hAnsi="Arial" w:cs="Arial"/>
                <w:b/>
                <w:i w:val="0"/>
                <w:sz w:val="18"/>
              </w:rPr>
              <w:t>Include detailed disclosure of objectives that make up qualitative components of executive compensation</w:t>
            </w:r>
          </w:p>
        </w:tc>
        <w:tc>
          <w:tcPr>
            <w:tcW w:w="7260" w:type="dxa"/>
            <w:tcBorders>
              <w:top w:val="single" w:sz="12" w:space="0" w:color="DBDBDB"/>
              <w:left w:val="nil"/>
              <w:bottom w:val="single" w:sz="12" w:space="0" w:color="DBDBDB"/>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300" w:lineRule="auto"/>
              <w:ind w:left="90" w:right="90" w:firstLine="0"/>
              <w:jc w:val="both"/>
              <w:outlineLvl w:val="9"/>
              <w:rPr>
                <w:rFonts w:ascii="Arial" w:eastAsia="Arial" w:hAnsi="Arial" w:cs="Arial"/>
                <w:b w:val="0"/>
                <w:i w:val="0"/>
                <w:sz w:val="6"/>
              </w:rPr>
            </w:pPr>
            <w:r>
              <w:rPr>
                <w:rFonts w:ascii="Arial" w:eastAsia="Arial" w:hAnsi="Arial" w:cs="Arial"/>
                <w:b w:val="0"/>
                <w:i w:val="0"/>
                <w:sz w:val="18"/>
              </w:rPr>
              <w:t xml:space="preserve">In the CD&amp;A for </w:t>
            </w:r>
            <w:r>
              <w:rPr>
                <w:rFonts w:ascii="Arial" w:eastAsia="Arial" w:hAnsi="Arial" w:cs="Arial"/>
                <w:b w:val="0"/>
                <w:i w:val="0"/>
                <w:sz w:val="18"/>
              </w:rPr>
              <w:t>202</w:t>
            </w:r>
            <w:r>
              <w:rPr>
                <w:rFonts w:ascii="Arial" w:eastAsia="Arial" w:hAnsi="Arial" w:cs="Arial"/>
                <w:b w:val="0"/>
                <w:i w:val="0"/>
                <w:sz w:val="18"/>
              </w:rPr>
              <w:t>3</w:t>
            </w:r>
            <w:r>
              <w:rPr>
                <w:rFonts w:ascii="Arial" w:eastAsia="Arial" w:hAnsi="Arial" w:cs="Arial"/>
                <w:b w:val="0"/>
                <w:i w:val="0"/>
                <w:sz w:val="18"/>
              </w:rPr>
              <w:t xml:space="preserve">, we </w:t>
            </w:r>
            <w:r>
              <w:rPr>
                <w:rFonts w:ascii="Arial" w:eastAsia="Arial" w:hAnsi="Arial" w:cs="Arial"/>
                <w:b w:val="0"/>
                <w:i w:val="0"/>
                <w:sz w:val="18"/>
              </w:rPr>
              <w:t xml:space="preserve">continue to </w:t>
            </w:r>
            <w:r>
              <w:rPr>
                <w:rFonts w:ascii="Arial" w:eastAsia="Arial" w:hAnsi="Arial" w:cs="Arial"/>
                <w:b w:val="0"/>
                <w:i w:val="0"/>
                <w:sz w:val="18"/>
              </w:rPr>
              <w:t xml:space="preserve">include </w:t>
            </w:r>
            <w:r>
              <w:rPr>
                <w:rFonts w:ascii="Arial" w:eastAsia="Arial" w:hAnsi="Arial" w:cs="Arial"/>
                <w:b w:val="0"/>
                <w:i w:val="0"/>
                <w:sz w:val="18"/>
              </w:rPr>
              <w:t xml:space="preserve">more </w:t>
            </w:r>
            <w:r>
              <w:rPr>
                <w:rFonts w:ascii="Arial" w:eastAsia="Arial" w:hAnsi="Arial" w:cs="Arial"/>
                <w:b w:val="0"/>
                <w:i w:val="0"/>
                <w:sz w:val="18"/>
              </w:rPr>
              <w:t>detailed</w:t>
            </w:r>
            <w:r>
              <w:rPr>
                <w:rFonts w:ascii="Arial" w:eastAsia="Arial" w:hAnsi="Arial" w:cs="Arial"/>
                <w:b w:val="0"/>
                <w:i w:val="0"/>
                <w:sz w:val="18"/>
              </w:rPr>
              <w:t xml:space="preserve"> </w:t>
            </w:r>
            <w:r>
              <w:rPr>
                <w:rFonts w:ascii="Arial" w:eastAsia="Arial" w:hAnsi="Arial" w:cs="Arial"/>
                <w:b w:val="0"/>
                <w:i w:val="0"/>
                <w:sz w:val="18"/>
              </w:rPr>
              <w:t xml:space="preserve">descriptions and </w:t>
            </w:r>
            <w:r>
              <w:rPr>
                <w:rFonts w:ascii="Arial" w:eastAsia="Arial" w:hAnsi="Arial" w:cs="Arial"/>
                <w:b w:val="0"/>
                <w:i w:val="0"/>
                <w:sz w:val="18"/>
              </w:rPr>
              <w:t xml:space="preserve">tabular </w:t>
            </w:r>
            <w:r>
              <w:rPr>
                <w:rFonts w:ascii="Arial" w:eastAsia="Arial" w:hAnsi="Arial" w:cs="Arial"/>
                <w:b w:val="0"/>
                <w:i w:val="0"/>
                <w:sz w:val="18"/>
              </w:rPr>
              <w:t>disclosure of the weightings of specific performance objectives that make up the qualitative components of executive compensation.</w:t>
            </w:r>
            <w:r>
              <w:rPr>
                <w:rFonts w:ascii="Arial" w:eastAsia="Arial" w:hAnsi="Arial" w:cs="Arial"/>
                <w:b w:val="0"/>
                <w:i w:val="0"/>
                <w:sz w:val="18"/>
              </w:rPr>
              <w:t xml:space="preserve"> </w:t>
            </w:r>
            <w:r>
              <w:rPr>
                <w:rFonts w:ascii="Arial" w:eastAsia="Arial" w:hAnsi="Arial" w:cs="Arial"/>
                <w:b w:val="0"/>
                <w:i w:val="0"/>
                <w:sz w:val="18"/>
              </w:rPr>
              <w:t xml:space="preserve">Beginning with the CD&amp;A in this proxy statement, </w:t>
            </w:r>
            <w:r>
              <w:rPr>
                <w:rFonts w:ascii="Arial" w:eastAsia="Arial" w:hAnsi="Arial" w:cs="Arial"/>
                <w:b w:val="0"/>
                <w:i w:val="0"/>
                <w:sz w:val="18"/>
              </w:rPr>
              <w:t>w</w:t>
            </w:r>
            <w:r>
              <w:rPr>
                <w:rFonts w:ascii="Arial" w:eastAsia="Arial" w:hAnsi="Arial" w:cs="Arial"/>
                <w:b w:val="0"/>
                <w:i w:val="0"/>
                <w:sz w:val="18"/>
              </w:rPr>
              <w:t xml:space="preserve">e have </w:t>
            </w:r>
            <w:r>
              <w:rPr>
                <w:rFonts w:ascii="Arial" w:eastAsia="Arial" w:hAnsi="Arial" w:cs="Arial"/>
                <w:b w:val="0"/>
                <w:i w:val="0"/>
                <w:sz w:val="18"/>
              </w:rPr>
              <w:t xml:space="preserve">added NEO compensation summaries that detail compensation decisions for each NEO </w:t>
            </w:r>
            <w:r>
              <w:rPr>
                <w:rFonts w:ascii="Arial" w:eastAsia="Arial" w:hAnsi="Arial" w:cs="Arial"/>
                <w:b w:val="0"/>
                <w:i w:val="0"/>
                <w:sz w:val="18"/>
              </w:rPr>
              <w:t>separately</w:t>
            </w:r>
            <w:r>
              <w:rPr>
                <w:rFonts w:ascii="Arial" w:eastAsia="Arial" w:hAnsi="Arial" w:cs="Arial"/>
                <w:b w:val="0"/>
                <w:i w:val="0"/>
                <w:sz w:val="18"/>
              </w:rPr>
              <w:t xml:space="preserve"> to </w:t>
            </w:r>
            <w:r>
              <w:rPr>
                <w:rFonts w:ascii="Arial" w:eastAsia="Arial" w:hAnsi="Arial" w:cs="Arial"/>
                <w:b w:val="0"/>
                <w:i w:val="0"/>
                <w:sz w:val="18"/>
              </w:rPr>
              <w:t>enhance</w:t>
            </w:r>
            <w:r>
              <w:rPr>
                <w:rFonts w:ascii="Arial" w:eastAsia="Arial" w:hAnsi="Arial" w:cs="Arial"/>
                <w:b w:val="0"/>
                <w:i w:val="0"/>
                <w:sz w:val="18"/>
              </w:rPr>
              <w:t xml:space="preserve"> our disclosure in res</w:t>
            </w:r>
            <w:r>
              <w:rPr>
                <w:rFonts w:ascii="Arial" w:eastAsia="Arial" w:hAnsi="Arial" w:cs="Arial"/>
                <w:b w:val="0"/>
                <w:i w:val="0"/>
                <w:sz w:val="18"/>
              </w:rPr>
              <w:t>ponse to shareholder feedback</w:t>
            </w:r>
            <w:r>
              <w:rPr>
                <w:rFonts w:ascii="Arial" w:eastAsia="Arial" w:hAnsi="Arial" w:cs="Arial"/>
                <w:b w:val="0"/>
                <w:i w:val="0"/>
                <w:sz w:val="18"/>
              </w:rPr>
              <w:t>.</w:t>
            </w:r>
          </w:p>
        </w:tc>
      </w:tr>
      <w:tr>
        <w:tblPrEx>
          <w:tblW w:w="10260" w:type="dxa"/>
          <w:tblInd w:w="0" w:type="dxa"/>
          <w:tblLayout w:type="fixed"/>
          <w:tblCellMar>
            <w:left w:w="108" w:type="dxa"/>
            <w:right w:w="108" w:type="dxa"/>
          </w:tblCellMar>
        </w:tblPrEx>
        <w:trPr>
          <w:cantSplit/>
          <w:trHeight w:hRule="exact" w:val="2055"/>
        </w:trPr>
        <w:tc>
          <w:tcPr>
            <w:tcW w:w="3000" w:type="dxa"/>
            <w:tcBorders>
              <w:top w:val="single" w:sz="12" w:space="0" w:color="DBDBDB"/>
              <w:left w:val="nil"/>
              <w:bottom w:val="single" w:sz="12" w:space="0" w:color="DBDBDB"/>
              <w:right w:val="nil"/>
            </w:tcBorders>
            <w:shd w:val="clear" w:color="auto" w:fill="FFFFFF"/>
            <w:tcMar>
              <w:top w:w="0" w:type="dxa"/>
              <w:left w:w="53" w:type="dxa"/>
              <w:bottom w:w="0" w:type="dxa"/>
              <w:right w:w="53" w:type="dxa"/>
            </w:tcMar>
            <w:vAlign w:val="top"/>
          </w:tcPr>
          <w:p>
            <w:pPr>
              <w:pageBreakBefore w:val="0"/>
              <w:numPr>
                <w:ilvl w:val="0"/>
                <w:numId w:val="0"/>
              </w:numPr>
              <w:spacing w:before="23" w:after="0" w:line="300" w:lineRule="auto"/>
              <w:ind w:left="0" w:right="0" w:firstLine="0"/>
              <w:jc w:val="left"/>
              <w:outlineLvl w:val="9"/>
              <w:rPr>
                <w:rFonts w:ascii="Arial" w:eastAsia="Arial" w:hAnsi="Arial" w:cs="Arial"/>
                <w:b/>
                <w:i w:val="0"/>
                <w:sz w:val="10"/>
              </w:rPr>
            </w:pPr>
          </w:p>
          <w:p>
            <w:pPr>
              <w:pageBreakBefore w:val="0"/>
              <w:numPr>
                <w:ilvl w:val="0"/>
                <w:numId w:val="0"/>
              </w:numPr>
              <w:spacing w:before="0" w:after="30" w:line="300" w:lineRule="auto"/>
              <w:ind w:left="0" w:right="0" w:firstLine="0"/>
              <w:jc w:val="left"/>
              <w:outlineLvl w:val="9"/>
              <w:rPr>
                <w:rFonts w:ascii="Arial" w:eastAsia="Arial" w:hAnsi="Arial" w:cs="Arial"/>
                <w:b/>
                <w:i w:val="0"/>
                <w:sz w:val="18"/>
              </w:rPr>
            </w:pPr>
            <w:r>
              <w:rPr>
                <w:rFonts w:ascii="Arial" w:eastAsia="Arial" w:hAnsi="Arial" w:cs="Arial"/>
                <w:b/>
                <w:i w:val="0"/>
                <w:sz w:val="18"/>
              </w:rPr>
              <w:t>Some shareholders expressed a preference that we avoid using the same performance measure in both short and long-term awards</w:t>
            </w:r>
          </w:p>
        </w:tc>
        <w:tc>
          <w:tcPr>
            <w:tcW w:w="7260" w:type="dxa"/>
            <w:tcBorders>
              <w:top w:val="single" w:sz="12" w:space="0" w:color="DBDBDB"/>
              <w:left w:val="nil"/>
              <w:bottom w:val="single" w:sz="12" w:space="0" w:color="DBDBDB"/>
              <w:right w:val="nil"/>
            </w:tcBorders>
            <w:shd w:val="clear" w:color="auto" w:fill="FFFFFF"/>
            <w:tcMar>
              <w:top w:w="0" w:type="dxa"/>
              <w:left w:w="53" w:type="dxa"/>
              <w:bottom w:w="0" w:type="dxa"/>
              <w:right w:w="53" w:type="dxa"/>
            </w:tcMar>
            <w:vAlign w:val="center"/>
          </w:tcPr>
          <w:p>
            <w:pPr>
              <w:pageBreakBefore w:val="0"/>
              <w:numPr>
                <w:ilvl w:val="0"/>
                <w:numId w:val="0"/>
              </w:numPr>
              <w:spacing w:before="0" w:after="0" w:line="300" w:lineRule="auto"/>
              <w:ind w:left="90" w:right="90" w:firstLine="0"/>
              <w:jc w:val="both"/>
              <w:outlineLvl w:val="9"/>
              <w:rPr>
                <w:rFonts w:ascii="Arial" w:eastAsia="Arial" w:hAnsi="Arial" w:cs="Arial"/>
                <w:b w:val="0"/>
                <w:i w:val="0"/>
                <w:sz w:val="6"/>
              </w:rPr>
            </w:pPr>
            <w:r>
              <w:rPr>
                <w:rFonts w:ascii="Arial" w:eastAsia="Arial" w:hAnsi="Arial" w:cs="Arial"/>
                <w:b w:val="0"/>
                <w:i w:val="0"/>
                <w:sz w:val="18"/>
              </w:rPr>
              <w:t xml:space="preserve">In 2022, we eliminated the growth in </w:t>
            </w:r>
            <w:r>
              <w:rPr>
                <w:rFonts w:ascii="Arial" w:eastAsia="Arial" w:hAnsi="Arial" w:cs="Arial"/>
                <w:b w:val="0"/>
                <w:i w:val="0"/>
                <w:sz w:val="18"/>
              </w:rPr>
              <w:t>FD</w:t>
            </w:r>
            <w:r>
              <w:rPr>
                <w:rFonts w:ascii="Arial" w:eastAsia="Arial" w:hAnsi="Arial" w:cs="Arial"/>
                <w:b w:val="0"/>
                <w:i w:val="0"/>
                <w:sz w:val="18"/>
              </w:rPr>
              <w:t xml:space="preserve">BVPS metric from the </w:t>
            </w:r>
            <w:r>
              <w:rPr>
                <w:rFonts w:ascii="Arial" w:eastAsia="Arial" w:hAnsi="Arial" w:cs="Arial"/>
                <w:b w:val="0"/>
                <w:i w:val="0"/>
                <w:sz w:val="18"/>
              </w:rPr>
              <w:t>AIP</w:t>
            </w:r>
            <w:r>
              <w:rPr>
                <w:rFonts w:ascii="Arial" w:eastAsia="Arial" w:hAnsi="Arial" w:cs="Arial"/>
                <w:b w:val="0"/>
                <w:i w:val="0"/>
                <w:sz w:val="18"/>
              </w:rPr>
              <w:t xml:space="preserve">, including it only in our PSUs; this removed one of two metrics considered "overlapping." After </w:t>
            </w:r>
            <w:r>
              <w:rPr>
                <w:rFonts w:ascii="Arial" w:eastAsia="Arial" w:hAnsi="Arial" w:cs="Arial"/>
                <w:b w:val="0"/>
                <w:i w:val="0"/>
                <w:sz w:val="18"/>
              </w:rPr>
              <w:t>consideration</w:t>
            </w:r>
            <w:r>
              <w:rPr>
                <w:rFonts w:ascii="Arial" w:eastAsia="Arial" w:hAnsi="Arial" w:cs="Arial"/>
                <w:b w:val="0"/>
                <w:i w:val="0"/>
                <w:sz w:val="18"/>
              </w:rPr>
              <w:t>, the Compensation Committee continued to use an Adjusted ROE one-year metric in the AIP and an average annual Adjusted ROE three-year metric in half of our PSU awards in 2023 because (i) we manage our business, build our forecast, and measure our performance using Adjusted ROE each year and (ii) we distinguish one-year Adjusted ROE in the AIP from the three-year average</w:t>
            </w:r>
            <w:r>
              <w:rPr>
                <w:rFonts w:ascii="Arial" w:eastAsia="Arial" w:hAnsi="Arial" w:cs="Arial"/>
                <w:b w:val="0"/>
                <w:i w:val="0"/>
                <w:sz w:val="18"/>
              </w:rPr>
              <w:t xml:space="preserve"> Adjusted ROE</w:t>
            </w:r>
            <w:r>
              <w:rPr>
                <w:rFonts w:ascii="Arial" w:eastAsia="Arial" w:hAnsi="Arial" w:cs="Arial"/>
                <w:b w:val="0"/>
                <w:i w:val="0"/>
                <w:sz w:val="18"/>
              </w:rPr>
              <w:t xml:space="preserve"> in the PSU metric, since the latter utilizes a longer term view of corporate performance.</w:t>
            </w:r>
          </w:p>
        </w:tc>
      </w:tr>
    </w:tbl>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sectPr>
          <w:headerReference w:type="default" r:id="rId206"/>
          <w:footerReference w:type="default" r:id="rId207"/>
          <w:type w:val="continuous"/>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68" w:name="Section71"/>
      <w:bookmarkEnd w:id="68"/>
    </w:p>
    <w:p>
      <w:pPr>
        <w:keepNext/>
        <w:keepLines w:val="0"/>
        <w:pageBreakBefore w:val="0"/>
        <w:widowControl/>
        <w:numPr>
          <w:ilvl w:val="0"/>
          <w:numId w:val="0"/>
        </w:numPr>
        <w:spacing w:before="0" w:after="10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Principal Elements of Executive Compensation and Allocation Among Elements</w:t>
      </w:r>
    </w:p>
    <w:p>
      <w:pPr>
        <w:keepNext/>
        <w:keepLines w:val="0"/>
        <w:pageBreakBefore w:val="0"/>
        <w:widowControl/>
        <w:numPr>
          <w:ilvl w:val="0"/>
          <w:numId w:val="0"/>
        </w:numPr>
        <w:spacing w:before="0" w:after="60" w:line="288" w:lineRule="auto"/>
        <w:ind w:left="0" w:right="0" w:firstLine="0"/>
        <w:jc w:val="left"/>
        <w:outlineLvl w:val="2"/>
        <w:sectPr>
          <w:headerReference w:type="default" r:id="rId208"/>
          <w:footerReference w:type="default" r:id="rId209"/>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0"/>
          <w:u w:val="none"/>
        </w:rPr>
      </w:pPr>
      <w:bookmarkStart w:id="69" w:name="Section72"/>
      <w:bookmarkEnd w:id="69"/>
    </w:p>
    <w:p>
      <w:pPr>
        <w:keepNext/>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Compensation Elements</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Our executive compensation program currently consists of three principal elements: base salaries, annual incentive compensation and LTI compensation. Executives also receive certain other benefits, including those pursuant to their employment agreements. The table below describes the principal elements of our executive compensation as well as the other components of our program, each of which is described in more detail later in this proxy statement.</w:t>
      </w:r>
    </w:p>
    <w:tbl>
      <w:tblPr>
        <w:tblW w:w="1023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260"/>
        <w:gridCol w:w="1560"/>
        <w:gridCol w:w="3315"/>
        <w:gridCol w:w="4095"/>
      </w:tblGrid>
      <w:tr>
        <w:tblPrEx>
          <w:tblW w:w="1023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95"/>
        </w:trPr>
        <w:tc>
          <w:tcPr>
            <w:tcW w:w="12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5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3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40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30" w:type="dxa"/>
          <w:tblInd w:w="0" w:type="dxa"/>
          <w:tblLayout w:type="fixed"/>
          <w:tblCellMar>
            <w:left w:w="108" w:type="dxa"/>
            <w:right w:w="108" w:type="dxa"/>
          </w:tblCellMar>
        </w:tblPrEx>
        <w:trPr>
          <w:cantSplit/>
          <w:trHeight w:hRule="exact" w:val="345"/>
        </w:trPr>
        <w:tc>
          <w:tcPr>
            <w:tcW w:w="1260" w:type="dxa"/>
            <w:tcBorders>
              <w:top w:val="nil"/>
              <w:left w:val="nil"/>
              <w:bottom w:val="single" w:sz="12" w:space="0" w:color="4494D1"/>
              <w:right w:val="nil"/>
            </w:tcBorders>
            <w:tcMar>
              <w:top w:w="0" w:type="dxa"/>
              <w:left w:w="0" w:type="dxa"/>
              <w:bottom w:w="0" w:type="dxa"/>
              <w:right w:w="0" w:type="dxa"/>
            </w:tcMar>
            <w:vAlign w:val="bottom"/>
          </w:tcPr>
          <w:p>
            <w:pPr>
              <w:keepNext/>
              <w:pageBreakBefore w:val="0"/>
              <w:spacing w:before="0" w:after="0"/>
            </w:pPr>
          </w:p>
        </w:tc>
        <w:tc>
          <w:tcPr>
            <w:tcW w:w="1560" w:type="dxa"/>
            <w:tcBorders>
              <w:top w:val="nil"/>
              <w:left w:val="nil"/>
              <w:bottom w:val="single" w:sz="12" w:space="0" w:color="4494D1"/>
              <w:right w:val="nil"/>
            </w:tcBorders>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i w:val="0"/>
                <w:color w:val="000000"/>
                <w:sz w:val="18"/>
                <w:u w:val="none"/>
              </w:rPr>
              <w:t>Element</w:t>
            </w:r>
          </w:p>
        </w:tc>
        <w:tc>
          <w:tcPr>
            <w:tcW w:w="3315" w:type="dxa"/>
            <w:tcBorders>
              <w:top w:val="nil"/>
              <w:left w:val="nil"/>
              <w:bottom w:val="single" w:sz="12" w:space="0" w:color="4494D1"/>
              <w:right w:val="nil"/>
            </w:tcBorders>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i w:val="0"/>
                <w:color w:val="000000"/>
                <w:sz w:val="18"/>
                <w:u w:val="none"/>
              </w:rPr>
              <w:t>Description</w:t>
            </w:r>
          </w:p>
        </w:tc>
        <w:tc>
          <w:tcPr>
            <w:tcW w:w="4095" w:type="dxa"/>
            <w:tcBorders>
              <w:top w:val="nil"/>
              <w:left w:val="nil"/>
              <w:bottom w:val="single" w:sz="12" w:space="0" w:color="4494D1"/>
              <w:right w:val="nil"/>
            </w:tcBorders>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i w:val="0"/>
                <w:color w:val="000000"/>
                <w:sz w:val="18"/>
                <w:u w:val="none"/>
              </w:rPr>
              <w:t>Key Features</w:t>
            </w:r>
          </w:p>
        </w:tc>
      </w:tr>
      <w:tr>
        <w:tblPrEx>
          <w:tblW w:w="10230" w:type="dxa"/>
          <w:tblInd w:w="0" w:type="dxa"/>
          <w:tblLayout w:type="fixed"/>
          <w:tblCellMar>
            <w:left w:w="108" w:type="dxa"/>
            <w:right w:w="108" w:type="dxa"/>
          </w:tblCellMar>
        </w:tblPrEx>
        <w:trPr>
          <w:cantSplit/>
          <w:trHeight w:hRule="exact" w:val="1245"/>
        </w:trPr>
        <w:tc>
          <w:tcPr>
            <w:tcW w:w="1260" w:type="dxa"/>
            <w:tcBorders>
              <w:top w:val="single" w:sz="12" w:space="0" w:color="4494D1"/>
              <w:left w:val="nil"/>
              <w:bottom w:val="single" w:sz="8" w:space="0" w:color="B6B6B6"/>
              <w:right w:val="nil"/>
            </w:tcBorders>
            <w:tcMar>
              <w:top w:w="0" w:type="dxa"/>
              <w:left w:w="53" w:type="dxa"/>
              <w:bottom w:w="0" w:type="dxa"/>
              <w:right w:w="53" w:type="dxa"/>
            </w:tcMar>
            <w:vAlign w:val="top"/>
          </w:tcPr>
          <w:p>
            <w:pPr>
              <w:keepNext/>
              <w:pageBreakBefore w:val="0"/>
              <w:numPr>
                <w:ilvl w:val="0"/>
                <w:numId w:val="0"/>
              </w:numPr>
              <w:spacing w:before="23" w:after="0" w:line="240" w:lineRule="auto"/>
              <w:ind w:left="0" w:right="0" w:firstLine="0"/>
              <w:jc w:val="left"/>
              <w:outlineLvl w:val="9"/>
              <w:rPr>
                <w:rFonts w:ascii="Arial" w:eastAsia="Arial" w:hAnsi="Arial" w:cs="Arial"/>
                <w:b w:val="0"/>
                <w:i w:val="0"/>
                <w:sz w:val="16"/>
              </w:rPr>
            </w:pPr>
          </w:p>
          <w:p>
            <w:pPr>
              <w:pageBreakBefore w:val="0"/>
              <w:numPr>
                <w:ilvl w:val="0"/>
                <w:numId w:val="0"/>
              </w:numPr>
              <w:spacing w:before="0" w:after="30" w:line="240" w:lineRule="auto"/>
              <w:ind w:left="0" w:right="0" w:firstLine="0"/>
              <w:jc w:val="left"/>
              <w:outlineLvl w:val="9"/>
              <w:rPr>
                <w:rFonts w:ascii="Arial" w:eastAsia="Arial" w:hAnsi="Arial" w:cs="Arial"/>
                <w:b w:val="0"/>
                <w:i w:val="0"/>
                <w:sz w:val="16"/>
              </w:rPr>
            </w:pPr>
            <w:r>
              <w:rPr>
                <w:rFonts w:ascii="Arial" w:eastAsia="Arial" w:hAnsi="Arial" w:cs="Arial"/>
                <w:b w:val="0"/>
                <w:i w:val="0"/>
                <w:sz w:val="16"/>
              </w:rPr>
              <w:t>FIXED</w:t>
            </w:r>
          </w:p>
        </w:tc>
        <w:tc>
          <w:tcPr>
            <w:tcW w:w="1560" w:type="dxa"/>
            <w:tcBorders>
              <w:top w:val="single" w:sz="12" w:space="0" w:color="4494D1"/>
              <w:left w:val="nil"/>
              <w:bottom w:val="single" w:sz="4" w:space="0" w:color="929292"/>
              <w:right w:val="nil"/>
            </w:tcBorders>
            <w:tcMar>
              <w:top w:w="0" w:type="dxa"/>
              <w:left w:w="53" w:type="dxa"/>
              <w:bottom w:w="0" w:type="dxa"/>
              <w:right w:w="53" w:type="dxa"/>
            </w:tcMar>
            <w:vAlign w:val="top"/>
          </w:tcPr>
          <w:p>
            <w:pPr>
              <w:keepNext/>
              <w:pageBreakBefore w:val="0"/>
              <w:numPr>
                <w:ilvl w:val="0"/>
                <w:numId w:val="0"/>
              </w:numPr>
              <w:spacing w:before="23" w:after="0" w:line="240" w:lineRule="auto"/>
              <w:ind w:left="0" w:right="0" w:firstLine="0"/>
              <w:jc w:val="left"/>
              <w:outlineLvl w:val="9"/>
              <w:rPr>
                <w:rFonts w:ascii="Arial" w:eastAsia="Arial" w:hAnsi="Arial" w:cs="Arial"/>
                <w:b/>
                <w:i w:val="0"/>
                <w:sz w:val="18"/>
              </w:rPr>
            </w:pPr>
          </w:p>
          <w:p>
            <w:pPr>
              <w:pageBreakBefore w:val="0"/>
              <w:numPr>
                <w:ilvl w:val="0"/>
                <w:numId w:val="0"/>
              </w:numPr>
              <w:spacing w:before="0" w:after="30" w:line="240" w:lineRule="auto"/>
              <w:ind w:left="0" w:right="0" w:firstLine="0"/>
              <w:jc w:val="left"/>
              <w:outlineLvl w:val="9"/>
              <w:rPr>
                <w:rFonts w:ascii="Arial" w:eastAsia="Arial" w:hAnsi="Arial" w:cs="Arial"/>
                <w:b/>
                <w:i w:val="0"/>
                <w:sz w:val="18"/>
              </w:rPr>
            </w:pPr>
            <w:r>
              <w:rPr>
                <w:rFonts w:ascii="Arial" w:eastAsia="Arial" w:hAnsi="Arial" w:cs="Arial"/>
                <w:b/>
                <w:i w:val="0"/>
                <w:sz w:val="18"/>
              </w:rPr>
              <w:t>Base Salary</w:t>
            </w:r>
          </w:p>
        </w:tc>
        <w:tc>
          <w:tcPr>
            <w:tcW w:w="3315" w:type="dxa"/>
            <w:tcBorders>
              <w:top w:val="single" w:sz="12" w:space="0" w:color="4494D1"/>
              <w:left w:val="nil"/>
              <w:bottom w:val="single" w:sz="4" w:space="0" w:color="929292"/>
              <w:right w:val="nil"/>
            </w:tcBorders>
            <w:tcMar>
              <w:top w:w="0" w:type="dxa"/>
              <w:left w:w="53" w:type="dxa"/>
              <w:bottom w:w="0" w:type="dxa"/>
              <w:right w:w="53" w:type="dxa"/>
            </w:tcMar>
            <w:vAlign w:val="top"/>
          </w:tcPr>
          <w:p>
            <w:pPr>
              <w:keepNext/>
              <w:pageBreakBefore w:val="0"/>
              <w:numPr>
                <w:ilvl w:val="0"/>
                <w:numId w:val="0"/>
              </w:numPr>
              <w:spacing w:before="23" w:after="0" w:line="288" w:lineRule="auto"/>
              <w:ind w:left="0" w:right="0" w:firstLine="0"/>
              <w:jc w:val="left"/>
              <w:outlineLvl w:val="9"/>
              <w:rPr>
                <w:rFonts w:ascii="Arial" w:eastAsia="Arial" w:hAnsi="Arial" w:cs="Arial"/>
                <w:b w:val="0"/>
                <w:i w:val="0"/>
                <w:sz w:val="18"/>
              </w:rPr>
            </w:pPr>
            <w:r>
              <w:rPr>
                <w:rFonts w:ascii="Arial" w:eastAsia="Arial" w:hAnsi="Arial" w:cs="Arial"/>
                <w:b w:val="0"/>
                <w:i w:val="0"/>
                <w:sz w:val="12"/>
              </w:rPr>
              <w:t xml:space="preserve"> </w:t>
            </w:r>
          </w:p>
          <w:p>
            <w:pPr>
              <w:pageBreakBefore w:val="0"/>
              <w:numPr>
                <w:ilvl w:val="0"/>
                <w:numId w:val="0"/>
              </w:numPr>
              <w:spacing w:before="0" w:after="30" w:line="288" w:lineRule="auto"/>
              <w:ind w:left="0" w:right="0" w:firstLine="0"/>
              <w:jc w:val="left"/>
              <w:outlineLvl w:val="9"/>
              <w:rPr>
                <w:rFonts w:ascii="Arial" w:eastAsia="Arial" w:hAnsi="Arial" w:cs="Arial"/>
                <w:b w:val="0"/>
                <w:i w:val="0"/>
                <w:sz w:val="18"/>
              </w:rPr>
            </w:pPr>
            <w:r>
              <w:rPr>
                <w:rFonts w:ascii="Arial" w:eastAsia="Arial" w:hAnsi="Arial" w:cs="Arial"/>
                <w:b w:val="0"/>
                <w:i w:val="0"/>
                <w:sz w:val="18"/>
              </w:rPr>
              <w:t>Provides the fixed portion of an executive’s compensation that reflects scope of skills, experience and performance.</w:t>
            </w:r>
          </w:p>
        </w:tc>
        <w:tc>
          <w:tcPr>
            <w:tcW w:w="4095" w:type="dxa"/>
            <w:tcBorders>
              <w:top w:val="single" w:sz="12" w:space="0" w:color="4494D1"/>
              <w:left w:val="nil"/>
              <w:bottom w:val="single" w:sz="4" w:space="0" w:color="929292"/>
              <w:right w:val="nil"/>
            </w:tcBorders>
            <w:tcMar>
              <w:top w:w="0" w:type="dxa"/>
              <w:left w:w="53" w:type="dxa"/>
              <w:bottom w:w="0" w:type="dxa"/>
              <w:right w:w="53" w:type="dxa"/>
            </w:tcMar>
            <w:vAlign w:val="center"/>
          </w:tcPr>
          <w:p>
            <w:pPr>
              <w:keepNext/>
              <w:pageBreakBefore w:val="0"/>
              <w:numPr>
                <w:ilvl w:val="0"/>
                <w:numId w:val="228"/>
              </w:numPr>
              <w:spacing w:before="0" w:after="60" w:line="288" w:lineRule="auto"/>
              <w:ind w:left="270" w:right="0" w:hanging="180"/>
              <w:jc w:val="left"/>
              <w:outlineLvl w:val="9"/>
              <w:rPr>
                <w:rFonts w:ascii="Arial" w:eastAsia="Arial" w:hAnsi="Arial" w:cs="Arial"/>
                <w:b w:val="0"/>
                <w:i w:val="0"/>
                <w:color w:val="4494D1"/>
                <w:sz w:val="18"/>
                <w:u w:val="none"/>
              </w:rPr>
            </w:pPr>
            <w:r>
              <w:rPr>
                <w:rFonts w:ascii="Arial" w:eastAsia="Arial" w:hAnsi="Arial" w:cs="Arial"/>
                <w:b w:val="0"/>
                <w:i w:val="0"/>
                <w:sz w:val="18"/>
              </w:rPr>
              <w:t>Provides a base component of total compensation</w:t>
            </w:r>
          </w:p>
          <w:p>
            <w:pPr>
              <w:pageBreakBefore w:val="0"/>
              <w:numPr>
                <w:ilvl w:val="0"/>
                <w:numId w:val="229"/>
              </w:numPr>
              <w:spacing w:before="0" w:after="0" w:line="288" w:lineRule="auto"/>
              <w:ind w:left="270" w:right="0" w:hanging="180"/>
              <w:jc w:val="left"/>
              <w:outlineLvl w:val="9"/>
              <w:rPr>
                <w:rFonts w:ascii="Arial" w:eastAsia="Arial" w:hAnsi="Arial" w:cs="Arial"/>
                <w:b w:val="0"/>
                <w:i w:val="0"/>
                <w:color w:val="4494D1"/>
                <w:sz w:val="18"/>
                <w:u w:val="none"/>
              </w:rPr>
            </w:pPr>
            <w:r>
              <w:rPr>
                <w:rFonts w:ascii="Arial" w:eastAsia="Arial" w:hAnsi="Arial" w:cs="Arial"/>
                <w:b w:val="0"/>
                <w:i w:val="0"/>
                <w:sz w:val="18"/>
              </w:rPr>
              <w:t>Established largely based on scope of responsibilities, market conditions, and individual and Company factors</w:t>
            </w:r>
          </w:p>
        </w:tc>
      </w:tr>
      <w:tr>
        <w:tblPrEx>
          <w:tblW w:w="10230" w:type="dxa"/>
          <w:tblInd w:w="0" w:type="dxa"/>
          <w:tblLayout w:type="fixed"/>
          <w:tblCellMar>
            <w:left w:w="108" w:type="dxa"/>
            <w:right w:w="108" w:type="dxa"/>
          </w:tblCellMar>
        </w:tblPrEx>
        <w:trPr>
          <w:cantSplit/>
          <w:trHeight w:hRule="exact" w:val="1545"/>
        </w:trPr>
        <w:tc>
          <w:tcPr>
            <w:tcW w:w="1260"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33" w:after="0" w:line="240" w:lineRule="auto"/>
              <w:ind w:left="0" w:right="0" w:firstLine="0"/>
              <w:jc w:val="left"/>
              <w:outlineLvl w:val="9"/>
              <w:rPr>
                <w:rFonts w:ascii="Arial" w:eastAsia="Arial" w:hAnsi="Arial" w:cs="Arial"/>
                <w:b w:val="0"/>
                <w:i w:val="0"/>
                <w:sz w:val="16"/>
              </w:rPr>
            </w:pPr>
          </w:p>
          <w:p>
            <w:pPr>
              <w:pageBreakBefore w:val="0"/>
              <w:numPr>
                <w:ilvl w:val="0"/>
                <w:numId w:val="0"/>
              </w:numPr>
              <w:spacing w:before="0" w:after="30" w:line="240" w:lineRule="auto"/>
              <w:ind w:left="0" w:right="0" w:firstLine="0"/>
              <w:jc w:val="left"/>
              <w:outlineLvl w:val="9"/>
              <w:rPr>
                <w:rFonts w:ascii="Arial" w:eastAsia="Arial" w:hAnsi="Arial" w:cs="Arial"/>
                <w:b w:val="0"/>
                <w:i w:val="0"/>
                <w:sz w:val="16"/>
              </w:rPr>
            </w:pPr>
            <w:r>
              <w:rPr>
                <w:rFonts w:ascii="Arial" w:eastAsia="Arial" w:hAnsi="Arial" w:cs="Arial"/>
                <w:b w:val="0"/>
                <w:i w:val="0"/>
                <w:sz w:val="16"/>
              </w:rPr>
              <w:t>AT-RISK</w:t>
            </w:r>
          </w:p>
        </w:tc>
        <w:tc>
          <w:tcPr>
            <w:tcW w:w="1560" w:type="dxa"/>
            <w:tcBorders>
              <w:top w:val="single" w:sz="4" w:space="0" w:color="929292"/>
              <w:left w:val="nil"/>
              <w:bottom w:val="single" w:sz="4" w:space="0" w:color="929292"/>
              <w:right w:val="nil"/>
            </w:tcBorders>
            <w:tcMar>
              <w:top w:w="0" w:type="dxa"/>
              <w:left w:w="53" w:type="dxa"/>
              <w:bottom w:w="0" w:type="dxa"/>
              <w:right w:w="53" w:type="dxa"/>
            </w:tcMar>
            <w:vAlign w:val="top"/>
          </w:tcPr>
          <w:p>
            <w:pPr>
              <w:keepNext/>
              <w:pageBreakBefore w:val="0"/>
              <w:numPr>
                <w:ilvl w:val="0"/>
                <w:numId w:val="0"/>
              </w:numPr>
              <w:spacing w:before="33" w:after="0" w:line="240" w:lineRule="auto"/>
              <w:ind w:left="0" w:right="0" w:firstLine="0"/>
              <w:jc w:val="left"/>
              <w:outlineLvl w:val="9"/>
              <w:rPr>
                <w:rFonts w:ascii="Arial" w:eastAsia="Arial" w:hAnsi="Arial" w:cs="Arial"/>
                <w:b/>
                <w:i w:val="0"/>
                <w:sz w:val="18"/>
              </w:rPr>
            </w:pPr>
          </w:p>
          <w:p>
            <w:pPr>
              <w:pageBreakBefore w:val="0"/>
              <w:numPr>
                <w:ilvl w:val="0"/>
                <w:numId w:val="0"/>
              </w:numPr>
              <w:spacing w:before="0" w:after="30" w:line="240" w:lineRule="auto"/>
              <w:ind w:left="0" w:right="0" w:firstLine="0"/>
              <w:jc w:val="left"/>
              <w:outlineLvl w:val="9"/>
              <w:rPr>
                <w:rFonts w:ascii="Arial" w:eastAsia="Arial" w:hAnsi="Arial" w:cs="Arial"/>
                <w:b/>
                <w:i w:val="0"/>
                <w:sz w:val="18"/>
              </w:rPr>
            </w:pPr>
            <w:r>
              <w:rPr>
                <w:rFonts w:ascii="Arial" w:eastAsia="Arial" w:hAnsi="Arial" w:cs="Arial"/>
                <w:b/>
                <w:i w:val="0"/>
                <w:sz w:val="18"/>
              </w:rPr>
              <w:t>Annual Incentive Compensation</w:t>
            </w:r>
          </w:p>
        </w:tc>
        <w:tc>
          <w:tcPr>
            <w:tcW w:w="3315" w:type="dxa"/>
            <w:tcBorders>
              <w:top w:val="single" w:sz="4" w:space="0" w:color="929292"/>
              <w:left w:val="nil"/>
              <w:bottom w:val="single" w:sz="4" w:space="0" w:color="929292"/>
              <w:right w:val="nil"/>
            </w:tcBorders>
            <w:tcMar>
              <w:top w:w="0" w:type="dxa"/>
              <w:left w:w="53" w:type="dxa"/>
              <w:bottom w:w="0" w:type="dxa"/>
              <w:right w:w="53" w:type="dxa"/>
            </w:tcMar>
            <w:vAlign w:val="top"/>
          </w:tcPr>
          <w:p>
            <w:pPr>
              <w:keepNext/>
              <w:pageBreakBefore w:val="0"/>
              <w:numPr>
                <w:ilvl w:val="0"/>
                <w:numId w:val="0"/>
              </w:numPr>
              <w:spacing w:before="33" w:after="0" w:line="288" w:lineRule="auto"/>
              <w:ind w:left="0" w:right="0" w:firstLine="0"/>
              <w:jc w:val="left"/>
              <w:outlineLvl w:val="9"/>
              <w:rPr>
                <w:rFonts w:ascii="Arial" w:eastAsia="Arial" w:hAnsi="Arial" w:cs="Arial"/>
                <w:b w:val="0"/>
                <w:i w:val="0"/>
                <w:sz w:val="12"/>
              </w:rPr>
            </w:pPr>
            <w:r>
              <w:rPr>
                <w:rFonts w:ascii="Arial" w:eastAsia="Arial" w:hAnsi="Arial" w:cs="Arial"/>
                <w:b w:val="0"/>
                <w:i w:val="0"/>
                <w:sz w:val="12"/>
              </w:rPr>
              <w:t xml:space="preserve"> </w:t>
            </w:r>
          </w:p>
          <w:p>
            <w:pPr>
              <w:pageBreakBefore w:val="0"/>
              <w:numPr>
                <w:ilvl w:val="0"/>
                <w:numId w:val="0"/>
              </w:numPr>
              <w:spacing w:before="0" w:after="30" w:line="288"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Provides "at risk" </w:t>
            </w:r>
            <w:r>
              <w:rPr>
                <w:rFonts w:ascii="Arial" w:eastAsia="Arial" w:hAnsi="Arial" w:cs="Arial"/>
                <w:b w:val="0"/>
                <w:i w:val="0"/>
                <w:sz w:val="18"/>
              </w:rPr>
              <w:t xml:space="preserve">cash </w:t>
            </w:r>
            <w:r>
              <w:rPr>
                <w:rFonts w:ascii="Arial" w:eastAsia="Arial" w:hAnsi="Arial" w:cs="Arial"/>
                <w:b w:val="0"/>
                <w:i w:val="0"/>
                <w:sz w:val="18"/>
              </w:rPr>
              <w:t>pay that reflects annual Company performance and individual performance.</w:t>
            </w:r>
          </w:p>
        </w:tc>
        <w:tc>
          <w:tcPr>
            <w:tcW w:w="4095" w:type="dxa"/>
            <w:tcBorders>
              <w:top w:val="single" w:sz="4" w:space="0" w:color="929292"/>
              <w:left w:val="nil"/>
              <w:bottom w:val="single" w:sz="4" w:space="0" w:color="929292"/>
              <w:right w:val="nil"/>
            </w:tcBorders>
            <w:tcMar>
              <w:top w:w="0" w:type="dxa"/>
              <w:left w:w="53" w:type="dxa"/>
              <w:bottom w:w="0" w:type="dxa"/>
              <w:right w:w="53" w:type="dxa"/>
            </w:tcMar>
            <w:vAlign w:val="center"/>
          </w:tcPr>
          <w:p>
            <w:pPr>
              <w:keepNext/>
              <w:pageBreakBefore w:val="0"/>
              <w:numPr>
                <w:ilvl w:val="0"/>
                <w:numId w:val="226"/>
              </w:numPr>
              <w:spacing w:before="0" w:after="60" w:line="288" w:lineRule="auto"/>
              <w:ind w:left="270" w:right="0" w:hanging="180"/>
              <w:jc w:val="left"/>
              <w:outlineLvl w:val="9"/>
              <w:rPr>
                <w:rFonts w:ascii="Arial" w:eastAsia="Arial" w:hAnsi="Arial" w:cs="Arial"/>
                <w:b w:val="0"/>
                <w:i w:val="0"/>
                <w:color w:val="4494D1"/>
                <w:sz w:val="18"/>
                <w:u w:val="none"/>
              </w:rPr>
            </w:pPr>
            <w:r>
              <w:rPr>
                <w:rFonts w:ascii="Arial" w:eastAsia="Arial" w:hAnsi="Arial" w:cs="Arial"/>
                <w:b w:val="0"/>
                <w:i w:val="0"/>
                <w:sz w:val="18"/>
              </w:rPr>
              <w:t>Aligns executive and shareholder interests</w:t>
            </w:r>
          </w:p>
          <w:p>
            <w:pPr>
              <w:pageBreakBefore w:val="0"/>
              <w:numPr>
                <w:ilvl w:val="0"/>
                <w:numId w:val="227"/>
              </w:numPr>
              <w:spacing w:before="0" w:after="0" w:line="288" w:lineRule="auto"/>
              <w:ind w:left="270" w:right="0" w:hanging="180"/>
              <w:jc w:val="left"/>
              <w:outlineLvl w:val="9"/>
              <w:rPr>
                <w:rFonts w:ascii="Arial" w:eastAsia="Arial" w:hAnsi="Arial" w:cs="Arial"/>
                <w:b w:val="0"/>
                <w:i w:val="0"/>
                <w:color w:val="4494D1"/>
                <w:sz w:val="18"/>
                <w:u w:val="none"/>
              </w:rPr>
            </w:pPr>
            <w:r>
              <w:rPr>
                <w:rFonts w:ascii="Arial" w:eastAsia="Arial" w:hAnsi="Arial" w:cs="Arial"/>
                <w:b w:val="0"/>
                <w:i w:val="0"/>
                <w:sz w:val="18"/>
              </w:rPr>
              <w:t>Rewards performance consistent with financial results and corporate and individual operational performance objectives that are designed to drive the Company's annual business plan and critical business priorities</w:t>
            </w:r>
          </w:p>
        </w:tc>
      </w:tr>
      <w:tr>
        <w:tblPrEx>
          <w:tblW w:w="10230" w:type="dxa"/>
          <w:tblInd w:w="0" w:type="dxa"/>
          <w:tblLayout w:type="fixed"/>
          <w:tblCellMar>
            <w:left w:w="108" w:type="dxa"/>
            <w:right w:w="108" w:type="dxa"/>
          </w:tblCellMar>
        </w:tblPrEx>
        <w:trPr>
          <w:cantSplit/>
          <w:trHeight w:hRule="exact" w:val="3915"/>
        </w:trPr>
        <w:tc>
          <w:tcPr>
            <w:tcW w:w="1260" w:type="dxa"/>
            <w:vMerge/>
            <w:tcBorders>
              <w:top w:val="nil"/>
              <w:left w:val="nil"/>
              <w:bottom w:val="single" w:sz="8" w:space="0" w:color="B6B6B6"/>
              <w:right w:val="nil"/>
            </w:tcBorders>
          </w:tcPr>
          <w:p>
            <w:pPr>
              <w:keepNext/>
              <w:pageBreakBefore w:val="0"/>
            </w:pPr>
          </w:p>
        </w:tc>
        <w:tc>
          <w:tcPr>
            <w:tcW w:w="1560" w:type="dxa"/>
            <w:tcBorders>
              <w:top w:val="single" w:sz="4" w:space="0" w:color="929292"/>
              <w:left w:val="nil"/>
              <w:bottom w:val="single" w:sz="4" w:space="0" w:color="929292"/>
              <w:right w:val="nil"/>
            </w:tcBorders>
            <w:tcMar>
              <w:top w:w="0" w:type="dxa"/>
              <w:left w:w="53" w:type="dxa"/>
              <w:bottom w:w="0" w:type="dxa"/>
              <w:right w:w="53" w:type="dxa"/>
            </w:tcMar>
            <w:vAlign w:val="top"/>
          </w:tcPr>
          <w:p>
            <w:pPr>
              <w:keepNext/>
              <w:pageBreakBefore w:val="0"/>
              <w:numPr>
                <w:ilvl w:val="0"/>
                <w:numId w:val="0"/>
              </w:numPr>
              <w:spacing w:before="43" w:after="0" w:line="240" w:lineRule="auto"/>
              <w:ind w:left="0" w:right="0" w:firstLine="0"/>
              <w:jc w:val="left"/>
              <w:outlineLvl w:val="9"/>
              <w:rPr>
                <w:rFonts w:ascii="Arial" w:eastAsia="Arial" w:hAnsi="Arial" w:cs="Arial"/>
                <w:b/>
                <w:i w:val="0"/>
                <w:sz w:val="18"/>
              </w:rPr>
            </w:pPr>
          </w:p>
          <w:p>
            <w:pPr>
              <w:pageBreakBefore w:val="0"/>
              <w:numPr>
                <w:ilvl w:val="0"/>
                <w:numId w:val="0"/>
              </w:numPr>
              <w:spacing w:before="0" w:after="30" w:line="240" w:lineRule="auto"/>
              <w:ind w:left="0" w:right="0" w:firstLine="0"/>
              <w:jc w:val="left"/>
              <w:outlineLvl w:val="9"/>
              <w:rPr>
                <w:rFonts w:ascii="Arial" w:eastAsia="Arial" w:hAnsi="Arial" w:cs="Arial"/>
                <w:b/>
                <w:i w:val="0"/>
                <w:sz w:val="18"/>
              </w:rPr>
            </w:pPr>
            <w:r>
              <w:rPr>
                <w:rFonts w:ascii="Arial" w:eastAsia="Arial" w:hAnsi="Arial" w:cs="Arial"/>
                <w:b/>
                <w:i w:val="0"/>
                <w:sz w:val="18"/>
              </w:rPr>
              <w:t>LTI Compensation</w:t>
            </w:r>
          </w:p>
        </w:tc>
        <w:tc>
          <w:tcPr>
            <w:tcW w:w="3315" w:type="dxa"/>
            <w:tcBorders>
              <w:top w:val="single" w:sz="4" w:space="0" w:color="929292"/>
              <w:left w:val="nil"/>
              <w:bottom w:val="single" w:sz="4" w:space="0" w:color="929292"/>
              <w:right w:val="nil"/>
            </w:tcBorders>
            <w:tcMar>
              <w:top w:w="0" w:type="dxa"/>
              <w:left w:w="53" w:type="dxa"/>
              <w:bottom w:w="0" w:type="dxa"/>
              <w:right w:w="53" w:type="dxa"/>
            </w:tcMar>
            <w:vAlign w:val="top"/>
          </w:tcPr>
          <w:p>
            <w:pPr>
              <w:keepNext/>
              <w:pageBreakBefore w:val="0"/>
              <w:numPr>
                <w:ilvl w:val="0"/>
                <w:numId w:val="0"/>
              </w:numPr>
              <w:spacing w:before="43" w:after="0" w:line="288" w:lineRule="auto"/>
              <w:ind w:left="0" w:right="0" w:firstLine="0"/>
              <w:jc w:val="left"/>
              <w:outlineLvl w:val="9"/>
              <w:rPr>
                <w:rFonts w:ascii="Arial" w:eastAsia="Arial" w:hAnsi="Arial" w:cs="Arial"/>
                <w:b w:val="0"/>
                <w:i w:val="0"/>
                <w:sz w:val="18"/>
              </w:rPr>
            </w:pPr>
            <w:r>
              <w:rPr>
                <w:rFonts w:ascii="Arial" w:eastAsia="Arial" w:hAnsi="Arial" w:cs="Arial"/>
                <w:b w:val="0"/>
                <w:i w:val="0"/>
                <w:sz w:val="12"/>
              </w:rPr>
              <w:t xml:space="preserve"> </w:t>
            </w:r>
          </w:p>
          <w:p>
            <w:pPr>
              <w:pageBreakBefore w:val="0"/>
              <w:numPr>
                <w:ilvl w:val="0"/>
                <w:numId w:val="0"/>
              </w:numPr>
              <w:spacing w:before="0" w:after="30" w:line="288"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Includes (a) PSUs that "cliff vest" following a three-year performance period subject to the Company's achievement of financial performance metrics, (b) RSUs that are subject to time- and service-based vesting conditions, and (c) for our CEO, </w:t>
            </w:r>
            <w:r>
              <w:rPr>
                <w:rFonts w:ascii="Arial" w:eastAsia="Arial" w:hAnsi="Arial" w:cs="Arial"/>
                <w:b w:val="0"/>
                <w:i w:val="0"/>
                <w:sz w:val="18"/>
              </w:rPr>
              <w:t xml:space="preserve">the </w:t>
            </w:r>
            <w:r>
              <w:rPr>
                <w:rFonts w:ascii="Arial" w:eastAsia="Arial" w:hAnsi="Arial" w:cs="Arial"/>
                <w:b w:val="0"/>
                <w:i w:val="0"/>
                <w:sz w:val="18"/>
              </w:rPr>
              <w:t>J</w:t>
            </w:r>
            <w:r>
              <w:rPr>
                <w:rFonts w:ascii="Arial" w:eastAsia="Arial" w:hAnsi="Arial" w:cs="Arial"/>
                <w:b w:val="0"/>
                <w:i w:val="0"/>
                <w:sz w:val="18"/>
              </w:rPr>
              <w:t>SOP A</w:t>
            </w:r>
            <w:r>
              <w:rPr>
                <w:rFonts w:ascii="Arial" w:eastAsia="Arial" w:hAnsi="Arial" w:cs="Arial"/>
                <w:b w:val="0"/>
                <w:i w:val="0"/>
                <w:sz w:val="18"/>
              </w:rPr>
              <w:t xml:space="preserve">ward </w:t>
            </w:r>
            <w:r>
              <w:rPr>
                <w:rFonts w:ascii="Arial" w:eastAsia="Arial" w:hAnsi="Arial" w:cs="Arial"/>
                <w:b w:val="0"/>
                <w:i w:val="0"/>
                <w:sz w:val="18"/>
              </w:rPr>
              <w:t>granted in 202</w:t>
            </w:r>
            <w:r>
              <w:rPr>
                <w:rFonts w:ascii="Arial" w:eastAsia="Arial" w:hAnsi="Arial" w:cs="Arial"/>
                <w:b w:val="0"/>
                <w:i w:val="0"/>
                <w:sz w:val="18"/>
              </w:rPr>
              <w:t xml:space="preserve">0 </w:t>
            </w:r>
            <w:r>
              <w:rPr>
                <w:rFonts w:ascii="Arial" w:eastAsia="Arial" w:hAnsi="Arial" w:cs="Arial"/>
                <w:b w:val="0"/>
                <w:i w:val="0"/>
                <w:sz w:val="18"/>
              </w:rPr>
              <w:t>that "cliff vests" following a five-year performance period subject to the Company's share price growth with a payout level determined by appreciation and the achievement of a financial performance metric.</w:t>
            </w:r>
          </w:p>
        </w:tc>
        <w:tc>
          <w:tcPr>
            <w:tcW w:w="4095" w:type="dxa"/>
            <w:tcBorders>
              <w:top w:val="single" w:sz="4" w:space="0" w:color="929292"/>
              <w:left w:val="nil"/>
              <w:bottom w:val="single" w:sz="4" w:space="0" w:color="929292"/>
              <w:right w:val="nil"/>
            </w:tcBorders>
            <w:tcMar>
              <w:top w:w="0" w:type="dxa"/>
              <w:left w:w="53" w:type="dxa"/>
              <w:bottom w:w="0" w:type="dxa"/>
              <w:right w:w="53" w:type="dxa"/>
            </w:tcMar>
            <w:vAlign w:val="center"/>
          </w:tcPr>
          <w:p>
            <w:pPr>
              <w:keepNext/>
              <w:pageBreakBefore w:val="0"/>
              <w:numPr>
                <w:ilvl w:val="0"/>
                <w:numId w:val="220"/>
              </w:numPr>
              <w:spacing w:before="0" w:after="60" w:line="288" w:lineRule="auto"/>
              <w:ind w:left="270" w:right="0" w:hanging="180"/>
              <w:jc w:val="left"/>
              <w:outlineLvl w:val="9"/>
              <w:rPr>
                <w:rFonts w:ascii="Arial" w:eastAsia="Arial" w:hAnsi="Arial" w:cs="Arial"/>
                <w:b w:val="0"/>
                <w:i w:val="0"/>
                <w:color w:val="4494D1"/>
                <w:sz w:val="18"/>
                <w:u w:val="none"/>
              </w:rPr>
            </w:pPr>
            <w:r>
              <w:rPr>
                <w:rFonts w:ascii="Arial" w:eastAsia="Arial" w:hAnsi="Arial" w:cs="Arial"/>
                <w:b w:val="0"/>
                <w:i w:val="0"/>
                <w:sz w:val="18"/>
              </w:rPr>
              <w:t>Aligns executive and shareholder interests</w:t>
            </w:r>
          </w:p>
          <w:p>
            <w:pPr>
              <w:pageBreakBefore w:val="0"/>
              <w:numPr>
                <w:ilvl w:val="0"/>
                <w:numId w:val="221"/>
              </w:numPr>
              <w:spacing w:before="0" w:after="60" w:line="288" w:lineRule="auto"/>
              <w:ind w:left="270" w:right="0" w:hanging="180"/>
              <w:jc w:val="left"/>
              <w:outlineLvl w:val="9"/>
              <w:rPr>
                <w:rFonts w:ascii="Arial" w:eastAsia="Arial" w:hAnsi="Arial" w:cs="Arial"/>
                <w:b w:val="0"/>
                <w:i w:val="0"/>
                <w:color w:val="4494D1"/>
                <w:sz w:val="18"/>
                <w:u w:val="none"/>
              </w:rPr>
            </w:pPr>
            <w:r>
              <w:rPr>
                <w:rFonts w:ascii="Arial" w:eastAsia="Arial" w:hAnsi="Arial" w:cs="Arial"/>
                <w:b w:val="0"/>
                <w:i w:val="0"/>
                <w:sz w:val="18"/>
              </w:rPr>
              <w:t>Drives long-term performance and promotes retention</w:t>
            </w:r>
          </w:p>
          <w:p>
            <w:pPr>
              <w:pageBreakBefore w:val="0"/>
              <w:numPr>
                <w:ilvl w:val="0"/>
                <w:numId w:val="222"/>
              </w:numPr>
              <w:spacing w:before="0" w:after="60" w:line="288" w:lineRule="auto"/>
              <w:ind w:left="270" w:right="0" w:hanging="180"/>
              <w:jc w:val="left"/>
              <w:outlineLvl w:val="9"/>
              <w:rPr>
                <w:rFonts w:ascii="Arial" w:eastAsia="Arial" w:hAnsi="Arial" w:cs="Arial"/>
                <w:b w:val="0"/>
                <w:i w:val="0"/>
                <w:color w:val="4494D1"/>
                <w:sz w:val="18"/>
                <w:u w:val="none"/>
              </w:rPr>
            </w:pPr>
            <w:r>
              <w:rPr>
                <w:rFonts w:ascii="Arial" w:eastAsia="Arial" w:hAnsi="Arial" w:cs="Arial"/>
                <w:b w:val="0"/>
                <w:i w:val="0"/>
                <w:sz w:val="18"/>
              </w:rPr>
              <w:t>Heavily weighted towards performance-based awards</w:t>
            </w:r>
          </w:p>
          <w:p>
            <w:pPr>
              <w:pageBreakBefore w:val="0"/>
              <w:numPr>
                <w:ilvl w:val="0"/>
                <w:numId w:val="223"/>
              </w:numPr>
              <w:spacing w:before="0" w:after="60" w:line="288" w:lineRule="auto"/>
              <w:ind w:left="270" w:right="0" w:hanging="180"/>
              <w:jc w:val="left"/>
              <w:outlineLvl w:val="9"/>
              <w:rPr>
                <w:rFonts w:ascii="Arial" w:eastAsia="Arial" w:hAnsi="Arial" w:cs="Arial"/>
                <w:b w:val="0"/>
                <w:i w:val="0"/>
                <w:color w:val="4494D1"/>
                <w:sz w:val="18"/>
                <w:u w:val="none"/>
              </w:rPr>
            </w:pPr>
            <w:r>
              <w:rPr>
                <w:rFonts w:ascii="Arial" w:eastAsia="Arial" w:hAnsi="Arial" w:cs="Arial"/>
                <w:b w:val="0"/>
                <w:i w:val="0"/>
                <w:sz w:val="18"/>
              </w:rPr>
              <w:t>PSUs do not vest unless performance measurements are met</w:t>
            </w:r>
          </w:p>
          <w:p>
            <w:pPr>
              <w:pageBreakBefore w:val="0"/>
              <w:numPr>
                <w:ilvl w:val="0"/>
                <w:numId w:val="224"/>
              </w:numPr>
              <w:spacing w:before="0" w:after="60" w:line="288" w:lineRule="auto"/>
              <w:ind w:left="270" w:right="0" w:hanging="180"/>
              <w:jc w:val="left"/>
              <w:outlineLvl w:val="9"/>
              <w:rPr>
                <w:rFonts w:ascii="Arial" w:eastAsia="Arial" w:hAnsi="Arial" w:cs="Arial"/>
                <w:b w:val="0"/>
                <w:i w:val="0"/>
                <w:color w:val="4494D1"/>
                <w:sz w:val="18"/>
                <w:u w:val="none"/>
              </w:rPr>
            </w:pPr>
            <w:r>
              <w:rPr>
                <w:rFonts w:ascii="Arial" w:eastAsia="Arial" w:hAnsi="Arial" w:cs="Arial"/>
                <w:b w:val="0"/>
                <w:i w:val="0"/>
                <w:sz w:val="18"/>
              </w:rPr>
              <w:t>PSU vesting occurs within a range of 50-60% to 150-200% depending on the level of achievement</w:t>
            </w:r>
          </w:p>
          <w:p>
            <w:pPr>
              <w:pageBreakBefore w:val="0"/>
              <w:numPr>
                <w:ilvl w:val="0"/>
                <w:numId w:val="225"/>
              </w:numPr>
              <w:spacing w:before="0" w:after="0" w:line="288" w:lineRule="auto"/>
              <w:ind w:left="270" w:right="0" w:hanging="180"/>
              <w:jc w:val="left"/>
              <w:outlineLvl w:val="9"/>
              <w:rPr>
                <w:rFonts w:ascii="Arial" w:eastAsia="Arial" w:hAnsi="Arial" w:cs="Arial"/>
                <w:b w:val="0"/>
                <w:i w:val="0"/>
                <w:color w:val="4494D1"/>
                <w:sz w:val="18"/>
                <w:u w:val="none"/>
              </w:rPr>
            </w:pPr>
            <w:r>
              <w:rPr>
                <w:rFonts w:ascii="Arial" w:eastAsia="Arial" w:hAnsi="Arial" w:cs="Arial"/>
                <w:b w:val="0"/>
                <w:i w:val="0"/>
                <w:sz w:val="18"/>
              </w:rPr>
              <w:t xml:space="preserve">JSOP </w:t>
            </w:r>
            <w:r>
              <w:rPr>
                <w:rFonts w:ascii="Arial" w:eastAsia="Arial" w:hAnsi="Arial" w:cs="Arial"/>
                <w:b w:val="0"/>
                <w:i w:val="0"/>
                <w:sz w:val="18"/>
              </w:rPr>
              <w:t xml:space="preserve">Award </w:t>
            </w:r>
            <w:r>
              <w:rPr>
                <w:rFonts w:ascii="Arial" w:eastAsia="Arial" w:hAnsi="Arial" w:cs="Arial"/>
                <w:b w:val="0"/>
                <w:i w:val="0"/>
                <w:sz w:val="18"/>
              </w:rPr>
              <w:t>vesting requires share price hurdle to be met on the vesting date. Additionally, the value of the award will be reduced by 20% if a performance condition tied to fully diluted book value per share is not also achieved</w:t>
            </w:r>
          </w:p>
        </w:tc>
      </w:tr>
      <w:tr>
        <w:tblPrEx>
          <w:tblW w:w="10230" w:type="dxa"/>
          <w:tblInd w:w="0" w:type="dxa"/>
          <w:tblLayout w:type="fixed"/>
          <w:tblCellMar>
            <w:left w:w="108" w:type="dxa"/>
            <w:right w:w="108" w:type="dxa"/>
          </w:tblCellMar>
        </w:tblPrEx>
        <w:trPr>
          <w:cantSplit/>
          <w:trHeight w:hRule="exact" w:val="2205"/>
        </w:trPr>
        <w:tc>
          <w:tcPr>
            <w:tcW w:w="1260"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33" w:after="0" w:line="240" w:lineRule="auto"/>
              <w:ind w:left="0" w:right="0" w:firstLine="0"/>
              <w:jc w:val="left"/>
              <w:outlineLvl w:val="9"/>
              <w:rPr>
                <w:rFonts w:ascii="Arial" w:eastAsia="Arial" w:hAnsi="Arial" w:cs="Arial"/>
                <w:b w:val="0"/>
                <w:i w:val="0"/>
                <w:sz w:val="16"/>
              </w:rPr>
            </w:pPr>
          </w:p>
          <w:p>
            <w:pPr>
              <w:pageBreakBefore w:val="0"/>
              <w:numPr>
                <w:ilvl w:val="0"/>
                <w:numId w:val="0"/>
              </w:numPr>
              <w:spacing w:before="0" w:after="0" w:line="240"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BENEFITS </w:t>
            </w:r>
          </w:p>
          <w:p>
            <w:pPr>
              <w:pageBreakBefore w:val="0"/>
              <w:numPr>
                <w:ilvl w:val="0"/>
                <w:numId w:val="0"/>
              </w:numPr>
              <w:spacing w:before="0" w:after="30" w:line="240" w:lineRule="auto"/>
              <w:ind w:left="0" w:right="0" w:firstLine="0"/>
              <w:jc w:val="left"/>
              <w:outlineLvl w:val="9"/>
              <w:rPr>
                <w:rFonts w:ascii="Arial" w:eastAsia="Arial" w:hAnsi="Arial" w:cs="Arial"/>
                <w:b w:val="0"/>
                <w:i w:val="0"/>
                <w:sz w:val="16"/>
              </w:rPr>
            </w:pPr>
            <w:r>
              <w:rPr>
                <w:rFonts w:ascii="Arial" w:eastAsia="Arial" w:hAnsi="Arial" w:cs="Arial"/>
                <w:b w:val="0"/>
                <w:i w:val="0"/>
                <w:sz w:val="16"/>
              </w:rPr>
              <w:t>AND SEVERANCE</w:t>
            </w:r>
          </w:p>
        </w:tc>
        <w:tc>
          <w:tcPr>
            <w:tcW w:w="1560" w:type="dxa"/>
            <w:tcBorders>
              <w:top w:val="single" w:sz="4" w:space="0" w:color="929292"/>
              <w:left w:val="nil"/>
              <w:bottom w:val="single" w:sz="4" w:space="0" w:color="929292"/>
              <w:right w:val="nil"/>
            </w:tcBorders>
            <w:tcMar>
              <w:top w:w="0" w:type="dxa"/>
              <w:left w:w="53" w:type="dxa"/>
              <w:bottom w:w="0" w:type="dxa"/>
              <w:right w:w="53" w:type="dxa"/>
            </w:tcMar>
            <w:vAlign w:val="top"/>
          </w:tcPr>
          <w:p>
            <w:pPr>
              <w:keepNext/>
              <w:pageBreakBefore w:val="0"/>
              <w:numPr>
                <w:ilvl w:val="0"/>
                <w:numId w:val="0"/>
              </w:numPr>
              <w:spacing w:before="33" w:after="0" w:line="240" w:lineRule="auto"/>
              <w:ind w:left="0" w:right="0" w:firstLine="0"/>
              <w:jc w:val="left"/>
              <w:outlineLvl w:val="9"/>
              <w:rPr>
                <w:rFonts w:ascii="Arial" w:eastAsia="Arial" w:hAnsi="Arial" w:cs="Arial"/>
                <w:b/>
                <w:i w:val="0"/>
                <w:sz w:val="18"/>
              </w:rPr>
            </w:pPr>
          </w:p>
          <w:p>
            <w:pPr>
              <w:pageBreakBefore w:val="0"/>
              <w:numPr>
                <w:ilvl w:val="0"/>
                <w:numId w:val="0"/>
              </w:numPr>
              <w:spacing w:before="0" w:after="30" w:line="240" w:lineRule="auto"/>
              <w:ind w:left="0" w:right="0" w:firstLine="0"/>
              <w:jc w:val="left"/>
              <w:outlineLvl w:val="9"/>
              <w:rPr>
                <w:rFonts w:ascii="Arial" w:eastAsia="Arial" w:hAnsi="Arial" w:cs="Arial"/>
                <w:b/>
                <w:i w:val="0"/>
                <w:sz w:val="18"/>
              </w:rPr>
            </w:pPr>
            <w:r>
              <w:rPr>
                <w:rFonts w:ascii="Arial" w:eastAsia="Arial" w:hAnsi="Arial" w:cs="Arial"/>
                <w:b/>
                <w:i w:val="0"/>
                <w:sz w:val="18"/>
              </w:rPr>
              <w:t>Other Benefits and Perquisites</w:t>
            </w:r>
          </w:p>
        </w:tc>
        <w:tc>
          <w:tcPr>
            <w:tcW w:w="3315" w:type="dxa"/>
            <w:tcBorders>
              <w:top w:val="single" w:sz="4" w:space="0" w:color="929292"/>
              <w:left w:val="nil"/>
              <w:bottom w:val="single" w:sz="4" w:space="0" w:color="929292"/>
              <w:right w:val="nil"/>
            </w:tcBorders>
            <w:tcMar>
              <w:top w:w="0" w:type="dxa"/>
              <w:left w:w="53" w:type="dxa"/>
              <w:bottom w:w="0" w:type="dxa"/>
              <w:right w:w="53" w:type="dxa"/>
            </w:tcMar>
            <w:vAlign w:val="top"/>
          </w:tcPr>
          <w:p>
            <w:pPr>
              <w:keepNext/>
              <w:pageBreakBefore w:val="0"/>
              <w:numPr>
                <w:ilvl w:val="0"/>
                <w:numId w:val="0"/>
              </w:numPr>
              <w:spacing w:before="33" w:after="0" w:line="288" w:lineRule="auto"/>
              <w:ind w:left="0" w:right="0" w:firstLine="0"/>
              <w:jc w:val="left"/>
              <w:outlineLvl w:val="9"/>
              <w:rPr>
                <w:rFonts w:ascii="Arial" w:eastAsia="Arial" w:hAnsi="Arial" w:cs="Arial"/>
                <w:b w:val="0"/>
                <w:i w:val="0"/>
                <w:sz w:val="18"/>
              </w:rPr>
            </w:pPr>
            <w:r>
              <w:rPr>
                <w:rFonts w:ascii="Arial" w:eastAsia="Arial" w:hAnsi="Arial" w:cs="Arial"/>
                <w:b w:val="0"/>
                <w:i w:val="0"/>
                <w:sz w:val="12"/>
              </w:rPr>
              <w:t xml:space="preserve"> </w:t>
            </w:r>
          </w:p>
          <w:p>
            <w:pPr>
              <w:pageBreakBefore w:val="0"/>
              <w:numPr>
                <w:ilvl w:val="0"/>
                <w:numId w:val="0"/>
              </w:numPr>
              <w:spacing w:before="0" w:after="30" w:line="288" w:lineRule="auto"/>
              <w:ind w:left="0" w:right="0" w:firstLine="0"/>
              <w:jc w:val="left"/>
              <w:outlineLvl w:val="9"/>
              <w:rPr>
                <w:rFonts w:ascii="Arial" w:eastAsia="Arial" w:hAnsi="Arial" w:cs="Arial"/>
                <w:b w:val="0"/>
                <w:i w:val="0"/>
                <w:sz w:val="18"/>
              </w:rPr>
            </w:pPr>
            <w:r>
              <w:rPr>
                <w:rFonts w:ascii="Arial" w:eastAsia="Arial" w:hAnsi="Arial" w:cs="Arial"/>
                <w:b w:val="0"/>
                <w:i w:val="0"/>
                <w:sz w:val="18"/>
              </w:rPr>
              <w:t>Reflects the local market and competitive practices such as retirement benefits, and, in the case of our Bermuda headquarters, payroll and social insurance tax contributions. Our CEO's employment agreement also provides benefits related to residing in Bermuda including allowances for housing and certain travel expenses.</w:t>
            </w:r>
          </w:p>
        </w:tc>
        <w:tc>
          <w:tcPr>
            <w:tcW w:w="4095" w:type="dxa"/>
            <w:tcBorders>
              <w:top w:val="single" w:sz="4" w:space="0" w:color="929292"/>
              <w:left w:val="nil"/>
              <w:bottom w:val="single" w:sz="4" w:space="0" w:color="929292"/>
              <w:right w:val="nil"/>
            </w:tcBorders>
            <w:tcMar>
              <w:top w:w="0" w:type="dxa"/>
              <w:left w:w="53" w:type="dxa"/>
              <w:bottom w:w="0" w:type="dxa"/>
              <w:right w:w="53" w:type="dxa"/>
            </w:tcMar>
            <w:vAlign w:val="top"/>
          </w:tcPr>
          <w:p>
            <w:pPr>
              <w:keepNext/>
              <w:pageBreakBefore w:val="0"/>
              <w:numPr>
                <w:ilvl w:val="0"/>
                <w:numId w:val="0"/>
              </w:numPr>
              <w:spacing w:before="33" w:after="60" w:line="288" w:lineRule="auto"/>
              <w:ind w:left="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18"/>
              </w:numPr>
              <w:spacing w:before="0" w:after="60" w:line="288" w:lineRule="auto"/>
              <w:ind w:left="270" w:right="0" w:hanging="180"/>
              <w:jc w:val="left"/>
              <w:outlineLvl w:val="9"/>
              <w:rPr>
                <w:rFonts w:ascii="Arial" w:eastAsia="Arial" w:hAnsi="Arial" w:cs="Arial"/>
                <w:b w:val="0"/>
                <w:i w:val="0"/>
                <w:color w:val="026DCE"/>
                <w:sz w:val="18"/>
                <w:u w:val="none"/>
              </w:rPr>
            </w:pPr>
            <w:r>
              <w:rPr>
                <w:rFonts w:ascii="Arial" w:eastAsia="Arial" w:hAnsi="Arial" w:cs="Arial"/>
                <w:b w:val="0"/>
                <w:i w:val="0"/>
                <w:sz w:val="18"/>
              </w:rPr>
              <w:t>Provides benefits consistent with certain local market practices in order to remain competitive in the marketplace for industry talent and incentivizing certain expatriates to work primarily from Bermuda</w:t>
            </w:r>
          </w:p>
          <w:p>
            <w:pPr>
              <w:pageBreakBefore w:val="0"/>
              <w:numPr>
                <w:ilvl w:val="0"/>
                <w:numId w:val="219"/>
              </w:numPr>
              <w:spacing w:before="0" w:after="30" w:line="288" w:lineRule="auto"/>
              <w:ind w:left="270" w:right="0" w:hanging="180"/>
              <w:jc w:val="left"/>
              <w:outlineLvl w:val="9"/>
              <w:rPr>
                <w:rFonts w:ascii="Arial" w:eastAsia="Arial" w:hAnsi="Arial" w:cs="Arial"/>
                <w:b w:val="0"/>
                <w:i w:val="0"/>
                <w:color w:val="4494D1"/>
                <w:sz w:val="18"/>
                <w:u w:val="none"/>
              </w:rPr>
            </w:pPr>
            <w:r>
              <w:rPr>
                <w:rFonts w:ascii="Arial" w:eastAsia="Arial" w:hAnsi="Arial" w:cs="Arial"/>
                <w:b w:val="0"/>
                <w:i w:val="0"/>
                <w:sz w:val="18"/>
              </w:rPr>
              <w:t>Promotes retention of executive leadership team</w:t>
            </w:r>
          </w:p>
        </w:tc>
      </w:tr>
      <w:tr>
        <w:tblPrEx>
          <w:tblW w:w="10230" w:type="dxa"/>
          <w:tblInd w:w="0" w:type="dxa"/>
          <w:tblLayout w:type="fixed"/>
          <w:tblCellMar>
            <w:left w:w="108" w:type="dxa"/>
            <w:right w:w="108" w:type="dxa"/>
          </w:tblCellMar>
        </w:tblPrEx>
        <w:trPr>
          <w:cantSplit/>
          <w:trHeight w:hRule="exact" w:val="1845"/>
        </w:trPr>
        <w:tc>
          <w:tcPr>
            <w:tcW w:w="1260" w:type="dxa"/>
            <w:vMerge/>
            <w:tcBorders>
              <w:top w:val="nil"/>
              <w:left w:val="nil"/>
              <w:bottom w:val="single" w:sz="12" w:space="0" w:color="4494D1"/>
              <w:right w:val="nil"/>
            </w:tcBorders>
          </w:tcPr>
          <w:p>
            <w:pPr>
              <w:pageBreakBefore w:val="0"/>
            </w:pPr>
          </w:p>
        </w:tc>
        <w:tc>
          <w:tcPr>
            <w:tcW w:w="1560" w:type="dxa"/>
            <w:tcBorders>
              <w:top w:val="single" w:sz="4" w:space="0" w:color="929292"/>
              <w:left w:val="nil"/>
              <w:bottom w:val="single" w:sz="12" w:space="0" w:color="4494D1"/>
              <w:right w:val="nil"/>
            </w:tcBorders>
            <w:tcMar>
              <w:top w:w="0" w:type="dxa"/>
              <w:left w:w="53" w:type="dxa"/>
              <w:bottom w:w="0" w:type="dxa"/>
              <w:right w:w="53" w:type="dxa"/>
            </w:tcMar>
            <w:vAlign w:val="top"/>
          </w:tcPr>
          <w:p>
            <w:pPr>
              <w:pageBreakBefore w:val="0"/>
              <w:numPr>
                <w:ilvl w:val="0"/>
                <w:numId w:val="0"/>
              </w:numPr>
              <w:spacing w:before="43" w:after="0" w:line="240" w:lineRule="auto"/>
              <w:ind w:left="0" w:right="0" w:firstLine="0"/>
              <w:jc w:val="left"/>
              <w:outlineLvl w:val="9"/>
              <w:rPr>
                <w:rFonts w:ascii="Arial" w:eastAsia="Arial" w:hAnsi="Arial" w:cs="Arial"/>
                <w:b/>
                <w:i w:val="0"/>
                <w:sz w:val="18"/>
              </w:rPr>
            </w:pPr>
            <w:r>
              <w:rPr>
                <w:rFonts w:ascii="Arial" w:eastAsia="Arial" w:hAnsi="Arial" w:cs="Arial"/>
                <w:b/>
                <w:i w:val="0"/>
                <w:sz w:val="12"/>
              </w:rPr>
              <w:t xml:space="preserve"> </w:t>
            </w:r>
          </w:p>
          <w:p>
            <w:pPr>
              <w:pageBreakBefore w:val="0"/>
              <w:numPr>
                <w:ilvl w:val="0"/>
                <w:numId w:val="0"/>
              </w:numPr>
              <w:spacing w:before="0" w:after="30" w:line="240" w:lineRule="auto"/>
              <w:ind w:left="0" w:right="0" w:firstLine="0"/>
              <w:jc w:val="left"/>
              <w:outlineLvl w:val="9"/>
              <w:rPr>
                <w:rFonts w:ascii="Arial" w:eastAsia="Arial" w:hAnsi="Arial" w:cs="Arial"/>
                <w:b/>
                <w:i w:val="0"/>
                <w:sz w:val="18"/>
              </w:rPr>
            </w:pPr>
            <w:r>
              <w:rPr>
                <w:rFonts w:ascii="Arial" w:eastAsia="Arial" w:hAnsi="Arial" w:cs="Arial"/>
                <w:b/>
                <w:i w:val="0"/>
                <w:sz w:val="18"/>
              </w:rPr>
              <w:t>Employment Agreements</w:t>
            </w:r>
          </w:p>
        </w:tc>
        <w:tc>
          <w:tcPr>
            <w:tcW w:w="3315" w:type="dxa"/>
            <w:tcBorders>
              <w:top w:val="single" w:sz="4" w:space="0" w:color="929292"/>
              <w:left w:val="nil"/>
              <w:bottom w:val="single" w:sz="12" w:space="0" w:color="4494D1"/>
              <w:right w:val="nil"/>
            </w:tcBorders>
            <w:tcMar>
              <w:top w:w="0" w:type="dxa"/>
              <w:left w:w="53" w:type="dxa"/>
              <w:bottom w:w="0" w:type="dxa"/>
              <w:right w:w="53" w:type="dxa"/>
            </w:tcMar>
            <w:vAlign w:val="top"/>
          </w:tcPr>
          <w:p>
            <w:pPr>
              <w:pageBreakBefore w:val="0"/>
              <w:numPr>
                <w:ilvl w:val="0"/>
                <w:numId w:val="0"/>
              </w:numPr>
              <w:spacing w:before="43" w:after="0" w:line="288" w:lineRule="auto"/>
              <w:ind w:left="0" w:right="0" w:firstLine="0"/>
              <w:jc w:val="left"/>
              <w:outlineLvl w:val="9"/>
              <w:rPr>
                <w:rFonts w:ascii="Arial" w:eastAsia="Arial" w:hAnsi="Arial" w:cs="Arial"/>
                <w:b w:val="0"/>
                <w:i w:val="0"/>
                <w:sz w:val="18"/>
              </w:rPr>
            </w:pPr>
            <w:r>
              <w:rPr>
                <w:rFonts w:ascii="Arial" w:eastAsia="Arial" w:hAnsi="Arial" w:cs="Arial"/>
                <w:b w:val="0"/>
                <w:i w:val="0"/>
                <w:sz w:val="12"/>
              </w:rPr>
              <w:t xml:space="preserve"> </w:t>
            </w:r>
          </w:p>
          <w:p>
            <w:pPr>
              <w:pageBreakBefore w:val="0"/>
              <w:numPr>
                <w:ilvl w:val="0"/>
                <w:numId w:val="0"/>
              </w:numPr>
              <w:spacing w:before="0" w:after="30" w:line="288" w:lineRule="auto"/>
              <w:ind w:left="0" w:right="0" w:firstLine="0"/>
              <w:jc w:val="left"/>
              <w:outlineLvl w:val="9"/>
              <w:rPr>
                <w:rFonts w:ascii="Arial" w:eastAsia="Arial" w:hAnsi="Arial" w:cs="Arial"/>
                <w:b w:val="0"/>
                <w:i w:val="0"/>
                <w:sz w:val="18"/>
              </w:rPr>
            </w:pPr>
            <w:r>
              <w:rPr>
                <w:rFonts w:ascii="Arial" w:eastAsia="Arial" w:hAnsi="Arial" w:cs="Arial"/>
                <w:b w:val="0"/>
                <w:i w:val="0"/>
                <w:sz w:val="18"/>
              </w:rPr>
              <w:t>Provides certain protections for executives and their families in the event of death or long-term disability, termination, or change in control, as well as certain other benefits.</w:t>
            </w:r>
          </w:p>
        </w:tc>
        <w:tc>
          <w:tcPr>
            <w:tcW w:w="4095" w:type="dxa"/>
            <w:tcBorders>
              <w:top w:val="single" w:sz="4" w:space="0" w:color="929292"/>
              <w:left w:val="nil"/>
              <w:bottom w:val="single" w:sz="12" w:space="0" w:color="4494D1"/>
              <w:right w:val="nil"/>
            </w:tcBorders>
            <w:tcMar>
              <w:top w:w="0" w:type="dxa"/>
              <w:left w:w="53" w:type="dxa"/>
              <w:bottom w:w="0" w:type="dxa"/>
              <w:right w:w="53" w:type="dxa"/>
            </w:tcMar>
            <w:vAlign w:val="center"/>
          </w:tcPr>
          <w:p>
            <w:pPr>
              <w:pageBreakBefore w:val="0"/>
              <w:numPr>
                <w:ilvl w:val="0"/>
                <w:numId w:val="215"/>
              </w:numPr>
              <w:spacing w:before="0" w:after="60" w:line="288" w:lineRule="auto"/>
              <w:ind w:left="270" w:right="0" w:hanging="180"/>
              <w:jc w:val="left"/>
              <w:outlineLvl w:val="9"/>
              <w:rPr>
                <w:rFonts w:ascii="Arial" w:eastAsia="Arial" w:hAnsi="Arial" w:cs="Arial"/>
                <w:b w:val="0"/>
                <w:i w:val="0"/>
                <w:color w:val="4494D1"/>
                <w:sz w:val="18"/>
                <w:u w:val="none"/>
              </w:rPr>
            </w:pPr>
            <w:r>
              <w:rPr>
                <w:rFonts w:ascii="Arial" w:eastAsia="Arial" w:hAnsi="Arial" w:cs="Arial"/>
                <w:b w:val="0"/>
                <w:i w:val="0"/>
                <w:sz w:val="18"/>
              </w:rPr>
              <w:t>Provides Enstar with protections such as restrictive covenants</w:t>
            </w:r>
          </w:p>
          <w:p>
            <w:pPr>
              <w:pageBreakBefore w:val="0"/>
              <w:numPr>
                <w:ilvl w:val="0"/>
                <w:numId w:val="216"/>
              </w:numPr>
              <w:spacing w:before="0" w:after="60" w:line="288" w:lineRule="auto"/>
              <w:ind w:left="270" w:right="0" w:hanging="180"/>
              <w:jc w:val="left"/>
              <w:outlineLvl w:val="9"/>
              <w:rPr>
                <w:rFonts w:ascii="Arial" w:eastAsia="Arial" w:hAnsi="Arial" w:cs="Arial"/>
                <w:b w:val="0"/>
                <w:i w:val="0"/>
                <w:color w:val="4494D1"/>
                <w:sz w:val="18"/>
                <w:u w:val="none"/>
              </w:rPr>
            </w:pPr>
            <w:r>
              <w:rPr>
                <w:rFonts w:ascii="Arial" w:eastAsia="Arial" w:hAnsi="Arial" w:cs="Arial"/>
                <w:b w:val="0"/>
                <w:i w:val="0"/>
                <w:sz w:val="18"/>
              </w:rPr>
              <w:t>Promotes retention over a multi-year term and a sense of continuity among the leadership team</w:t>
            </w:r>
          </w:p>
          <w:p>
            <w:pPr>
              <w:pageBreakBefore w:val="0"/>
              <w:numPr>
                <w:ilvl w:val="0"/>
                <w:numId w:val="217"/>
              </w:numPr>
              <w:spacing w:before="0" w:after="0" w:line="288" w:lineRule="auto"/>
              <w:ind w:left="270" w:right="0" w:hanging="180"/>
              <w:jc w:val="left"/>
              <w:outlineLvl w:val="9"/>
              <w:rPr>
                <w:rFonts w:ascii="Arial" w:eastAsia="Arial" w:hAnsi="Arial" w:cs="Arial"/>
                <w:b w:val="0"/>
                <w:i w:val="0"/>
                <w:color w:val="4494D1"/>
                <w:sz w:val="18"/>
                <w:u w:val="none"/>
              </w:rPr>
            </w:pPr>
            <w:r>
              <w:rPr>
                <w:rFonts w:ascii="Arial" w:eastAsia="Arial" w:hAnsi="Arial" w:cs="Arial"/>
                <w:b w:val="0"/>
                <w:i w:val="0"/>
                <w:sz w:val="18"/>
              </w:rPr>
              <w:t>Consistent with competitive conditions and legal requirements in Bermuda</w:t>
            </w:r>
          </w:p>
        </w:tc>
      </w:tr>
    </w:tbl>
    <w:p>
      <w:pPr>
        <w:keepNext w:val="0"/>
        <w:keepLines/>
        <w:pageBreakBefore w:val="0"/>
        <w:widowControl w:val="0"/>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
          <w:u w:val="none"/>
        </w:rPr>
      </w:pPr>
    </w:p>
    <w:p>
      <w:pPr>
        <w:keepNext w:val="0"/>
        <w:keepLines/>
        <w:pageBreakBefore w:val="0"/>
        <w:widowControl w:val="0"/>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
          <w:u w:val="none"/>
        </w:rPr>
        <w:sectPr>
          <w:headerReference w:type="default" r:id="rId210"/>
          <w:footerReference w:type="default" r:id="rId211"/>
          <w:type w:val="continuous"/>
          <w:pgSz w:w="12240" w:h="15840"/>
          <w:pgMar w:top="855" w:right="990" w:bottom="855" w:left="990" w:header="180" w:footer="270"/>
          <w:cols w:space="708"/>
        </w:sectPr>
      </w:pPr>
    </w:p>
    <w:p>
      <w:pPr>
        <w:keepNext/>
        <w:keepLines/>
        <w:pageBreakBefore w:val="0"/>
        <w:widowControl w:val="0"/>
        <w:numPr>
          <w:ilvl w:val="0"/>
          <w:numId w:val="0"/>
        </w:numPr>
        <w:spacing w:before="0" w:after="60" w:line="288" w:lineRule="auto"/>
        <w:ind w:left="0" w:right="0" w:firstLine="0"/>
        <w:jc w:val="left"/>
        <w:outlineLvl w:val="9"/>
        <w:rPr>
          <w:rFonts w:ascii="Arial" w:eastAsia="Arial" w:hAnsi="Arial" w:cs="Arial"/>
          <w:b/>
          <w:i w:val="0"/>
          <w:color w:val="4495D1"/>
          <w:sz w:val="20"/>
          <w:u w:val="none"/>
        </w:rPr>
      </w:pPr>
      <w:bookmarkStart w:id="70" w:name="Section73"/>
      <w:bookmarkEnd w:id="70"/>
    </w:p>
    <w:p>
      <w:pPr>
        <w:keepNext/>
        <w:keepLines/>
        <w:pageBreakBefore w:val="0"/>
        <w:widowControl w:val="0"/>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Compensation Allocation Among Elements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While we do not have a pre-established policy or target for the allocation of the components of our program in a given year, the Compensation Committee believes that a meaningful portion of each executive's total compensation should be "at-risk" and performance-based. </w:t>
      </w:r>
      <w:r>
        <w:rPr>
          <w:rFonts w:ascii="Arial" w:eastAsia="Arial" w:hAnsi="Arial" w:cs="Arial"/>
          <w:b w:val="0"/>
          <w:i w:val="0"/>
          <w:sz w:val="20"/>
        </w:rPr>
        <w:t>Performance-based elements include our Annual Incentive Compensation Program ("AIP") awards (a "bonus award") and our JSOP and PSU LTI awards.</w:t>
      </w:r>
      <w:r>
        <w:rPr>
          <w:rFonts w:ascii="Arial" w:eastAsia="Arial" w:hAnsi="Arial" w:cs="Arial"/>
          <w:b w:val="0"/>
          <w:i w:val="0"/>
          <w:sz w:val="20"/>
        </w:rPr>
        <w:t xml:space="preserve"> </w:t>
      </w:r>
      <w:r>
        <w:rPr>
          <w:rFonts w:ascii="Arial" w:eastAsia="Arial" w:hAnsi="Arial" w:cs="Arial"/>
          <w:b w:val="0"/>
          <w:i w:val="0"/>
          <w:color w:val="000000"/>
          <w:sz w:val="20"/>
          <w:u w:val="none"/>
        </w:rPr>
        <w:t>"At</w:t>
      </w:r>
      <w:r>
        <w:rPr>
          <w:rFonts w:ascii="Arial" w:eastAsia="Arial" w:hAnsi="Arial" w:cs="Arial"/>
          <w:b w:val="0"/>
          <w:i w:val="0"/>
          <w:color w:val="000000"/>
          <w:sz w:val="20"/>
          <w:u w:val="none"/>
        </w:rPr>
        <w:t>-risk</w:t>
      </w:r>
      <w:r>
        <w:rPr>
          <w:rFonts w:ascii="Arial" w:eastAsia="Arial" w:hAnsi="Arial" w:cs="Arial"/>
          <w:b w:val="0"/>
          <w:i w:val="0"/>
          <w:color w:val="000000"/>
          <w:sz w:val="20"/>
          <w:u w:val="none"/>
        </w:rPr>
        <w:t>"</w:t>
      </w:r>
      <w:r>
        <w:rPr>
          <w:rFonts w:ascii="Arial" w:eastAsia="Arial" w:hAnsi="Arial" w:cs="Arial"/>
          <w:b w:val="0"/>
          <w:i w:val="0"/>
          <w:color w:val="000000"/>
          <w:sz w:val="20"/>
          <w:u w:val="none"/>
        </w:rPr>
        <w:t xml:space="preserve"> elements inc</w:t>
      </w:r>
      <w:r>
        <w:rPr>
          <w:rFonts w:ascii="Arial" w:eastAsia="Arial" w:hAnsi="Arial" w:cs="Arial"/>
          <w:b w:val="0"/>
          <w:i w:val="0"/>
          <w:color w:val="000000"/>
          <w:sz w:val="20"/>
          <w:u w:val="none"/>
        </w:rPr>
        <w:t xml:space="preserve">lude the </w:t>
      </w:r>
      <w:r>
        <w:rPr>
          <w:rFonts w:ascii="Arial" w:eastAsia="Arial" w:hAnsi="Arial" w:cs="Arial"/>
          <w:b w:val="0"/>
          <w:i w:val="0"/>
          <w:color w:val="000000"/>
          <w:sz w:val="20"/>
          <w:u w:val="none"/>
        </w:rPr>
        <w:t>performance</w:t>
      </w:r>
      <w:r>
        <w:rPr>
          <w:rFonts w:ascii="Arial" w:eastAsia="Arial" w:hAnsi="Arial" w:cs="Arial"/>
          <w:b w:val="0"/>
          <w:i w:val="0"/>
          <w:color w:val="000000"/>
          <w:sz w:val="20"/>
          <w:u w:val="none"/>
        </w:rPr>
        <w:t>-</w:t>
      </w:r>
      <w:r>
        <w:rPr>
          <w:rFonts w:ascii="Arial" w:eastAsia="Arial" w:hAnsi="Arial" w:cs="Arial"/>
          <w:b w:val="0"/>
          <w:i w:val="0"/>
          <w:color w:val="000000"/>
          <w:sz w:val="20"/>
          <w:u w:val="none"/>
        </w:rPr>
        <w:t>based elements and RSUs</w:t>
      </w:r>
      <w:r>
        <w:rPr>
          <w:rFonts w:ascii="Arial" w:eastAsia="Arial" w:hAnsi="Arial" w:cs="Arial"/>
          <w:b w:val="0"/>
          <w:i w:val="0"/>
          <w:sz w:val="20"/>
        </w:rPr>
        <w:t xml:space="preserve">.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Our approach to allocating compensation among elements is split between: (i) long-standing executives (Dominic Silvester</w:t>
      </w:r>
      <w:r>
        <w:rPr>
          <w:rFonts w:ascii="Arial" w:eastAsia="Arial" w:hAnsi="Arial" w:cs="Arial"/>
          <w:b w:val="0"/>
          <w:i w:val="0"/>
          <w:sz w:val="20"/>
        </w:rPr>
        <w:t xml:space="preserve"> </w:t>
      </w:r>
      <w:r>
        <w:rPr>
          <w:rFonts w:ascii="Arial" w:eastAsia="Arial" w:hAnsi="Arial" w:cs="Arial"/>
          <w:b w:val="0"/>
          <w:i w:val="0"/>
          <w:sz w:val="20"/>
        </w:rPr>
        <w:t>and Orla Gregory) who historically have had a target bonus award of 145-150% of base salary and have been on a once-every-three-year LTI award cycle that began in 2014; and (ii) those who joined the executive team more recently who have target bonus awards of 1</w:t>
      </w:r>
      <w:r>
        <w:rPr>
          <w:rFonts w:ascii="Arial" w:eastAsia="Arial" w:hAnsi="Arial" w:cs="Arial"/>
          <w:b w:val="0"/>
          <w:i w:val="0"/>
          <w:sz w:val="20"/>
        </w:rPr>
        <w:t>00</w:t>
      </w:r>
      <w:r>
        <w:rPr>
          <w:rFonts w:ascii="Arial" w:eastAsia="Arial" w:hAnsi="Arial" w:cs="Arial"/>
          <w:b w:val="0"/>
          <w:i w:val="0"/>
          <w:sz w:val="20"/>
        </w:rPr>
        <w:t xml:space="preserve">-150% of base salary and </w:t>
      </w:r>
      <w:r>
        <w:rPr>
          <w:rFonts w:ascii="Arial" w:eastAsia="Arial" w:hAnsi="Arial" w:cs="Arial"/>
          <w:b w:val="0"/>
          <w:i w:val="0"/>
          <w:sz w:val="20"/>
        </w:rPr>
        <w:t>were</w:t>
      </w:r>
      <w:r>
        <w:rPr>
          <w:rFonts w:ascii="Arial" w:eastAsia="Arial" w:hAnsi="Arial" w:cs="Arial"/>
          <w:b w:val="0"/>
          <w:i w:val="0"/>
          <w:sz w:val="20"/>
        </w:rPr>
        <w:t xml:space="preserve"> eligible to receive annual LTI awards at 100% of base salary</w:t>
      </w:r>
      <w:r>
        <w:rPr>
          <w:rFonts w:ascii="Arial" w:eastAsia="Arial" w:hAnsi="Arial" w:cs="Arial"/>
          <w:b w:val="0"/>
          <w:i w:val="0"/>
          <w:sz w:val="20"/>
        </w:rPr>
        <w:t xml:space="preserve">. From time to time, where a more recently appointed executive has taken on an elevated level of responsibility, or retention risk is identified, an LTI award beyond the annual LTI eligibility may be considered; these often take the form of cliff-vested RSU LTI awards. In a year where a long-standing executive is not due for an LTI award, or where a special retention RSU LTI award is made to a more recently appointed executive, the percentage of total compensation allocated to </w:t>
      </w:r>
      <w:r>
        <w:rPr>
          <w:rFonts w:ascii="Arial" w:eastAsia="Arial" w:hAnsi="Arial" w:cs="Arial"/>
          <w:b w:val="0"/>
          <w:i w:val="0"/>
          <w:sz w:val="20"/>
        </w:rPr>
        <w:t>performance-based compensation may be lower, but the Compensation Committee believes the performance-based components remain material, particularly with respect to the long-standing executives. For example, the</w:t>
      </w:r>
      <w:r>
        <w:rPr>
          <w:rFonts w:ascii="Arial" w:eastAsia="Arial" w:hAnsi="Arial" w:cs="Arial"/>
          <w:b w:val="0"/>
          <w:i w:val="0"/>
          <w:sz w:val="20"/>
        </w:rPr>
        <w:t xml:space="preserve"> PSUs within</w:t>
      </w:r>
      <w:r>
        <w:rPr>
          <w:rFonts w:ascii="Arial" w:eastAsia="Arial" w:hAnsi="Arial" w:cs="Arial"/>
          <w:b w:val="0"/>
          <w:i w:val="0"/>
          <w:sz w:val="20"/>
        </w:rPr>
        <w:t xml:space="preserve"> the</w:t>
      </w:r>
      <w:r>
        <w:rPr>
          <w:rFonts w:ascii="Arial" w:eastAsia="Arial" w:hAnsi="Arial" w:cs="Arial"/>
          <w:b w:val="0"/>
          <w:i w:val="0"/>
          <w:sz w:val="20"/>
        </w:rPr>
        <w:t xml:space="preserve"> once-every-three-year LTI awards granted to</w:t>
      </w:r>
      <w:r>
        <w:rPr>
          <w:rFonts w:ascii="Arial" w:eastAsia="Arial" w:hAnsi="Arial" w:cs="Arial"/>
          <w:b w:val="0"/>
          <w:i w:val="0"/>
          <w:sz w:val="20"/>
        </w:rPr>
        <w:t xml:space="preserve"> Ms. Gregory in 2020 failed to vest at the end of 2022</w:t>
      </w:r>
      <w:r>
        <w:rPr>
          <w:rFonts w:ascii="Arial" w:eastAsia="Arial" w:hAnsi="Arial" w:cs="Arial"/>
          <w:b w:val="0"/>
          <w:i w:val="0"/>
          <w:sz w:val="20"/>
        </w:rPr>
        <w:t>, as</w:t>
      </w:r>
      <w:r>
        <w:rPr>
          <w:rFonts w:ascii="Arial" w:eastAsia="Arial" w:hAnsi="Arial" w:cs="Arial"/>
          <w:b w:val="0"/>
          <w:i w:val="0"/>
          <w:sz w:val="20"/>
        </w:rPr>
        <w:t xml:space="preserve"> financial results </w:t>
      </w:r>
      <w:r>
        <w:rPr>
          <w:rFonts w:ascii="Arial" w:eastAsia="Arial" w:hAnsi="Arial" w:cs="Arial"/>
          <w:b w:val="0"/>
          <w:i w:val="0"/>
          <w:sz w:val="20"/>
        </w:rPr>
        <w:t>were below</w:t>
      </w:r>
      <w:r>
        <w:rPr>
          <w:rFonts w:ascii="Arial" w:eastAsia="Arial" w:hAnsi="Arial" w:cs="Arial"/>
          <w:b w:val="0"/>
          <w:i w:val="0"/>
          <w:sz w:val="20"/>
        </w:rPr>
        <w:t xml:space="preserve"> the applicable threshold level of </w:t>
      </w:r>
      <w:r>
        <w:rPr>
          <w:rFonts w:ascii="Arial" w:eastAsia="Arial" w:hAnsi="Arial" w:cs="Arial"/>
          <w:b w:val="0"/>
          <w:i w:val="0"/>
          <w:sz w:val="20"/>
        </w:rPr>
        <w:t>performance</w:t>
      </w:r>
      <w:r>
        <w:rPr>
          <w:rFonts w:ascii="Arial" w:eastAsia="Arial" w:hAnsi="Arial" w:cs="Arial"/>
          <w:b w:val="0"/>
          <w:i w:val="0"/>
          <w:sz w:val="20"/>
        </w:rPr>
        <w:t>.</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212"/>
          <w:footerReference w:type="default" r:id="rId213"/>
          <w:type w:val="continuous"/>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71" w:name="Section74"/>
      <w:bookmarkEnd w:id="71"/>
    </w:p>
    <w:p>
      <w:pPr>
        <w:keepNext/>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Role of Compensation Consultants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000000"/>
          <w:sz w:val="20"/>
          <w:u w:val="none"/>
        </w:rPr>
      </w:pPr>
      <w:r>
        <w:rPr>
          <w:rFonts w:ascii="Arial" w:eastAsia="Arial" w:hAnsi="Arial" w:cs="Arial"/>
          <w:b w:val="0"/>
          <w:i w:val="0"/>
          <w:color w:val="000000"/>
          <w:sz w:val="20"/>
          <w:u w:val="none"/>
        </w:rPr>
        <w:t xml:space="preserve">The Compensation Committee has the authority under its charter to retain compensation consultants and outside legal counsel or other advisors and, before selecting a consultant or advisor, must consider its independence. In </w:t>
      </w:r>
      <w:r>
        <w:rPr>
          <w:rFonts w:ascii="Arial" w:eastAsia="Arial" w:hAnsi="Arial" w:cs="Arial"/>
          <w:b w:val="0"/>
          <w:i w:val="0"/>
          <w:color w:val="000000"/>
          <w:sz w:val="20"/>
          <w:u w:val="none"/>
        </w:rPr>
        <w:t>2023</w:t>
      </w:r>
      <w:r>
        <w:rPr>
          <w:rFonts w:ascii="Arial" w:eastAsia="Arial" w:hAnsi="Arial" w:cs="Arial"/>
          <w:b w:val="0"/>
          <w:i w:val="0"/>
          <w:color w:val="000000"/>
          <w:sz w:val="20"/>
          <w:u w:val="none"/>
        </w:rPr>
        <w:t>, the Compensation Committee directly engaged McLagan, a human capital solutions division of Aon plc ("Aon") for</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LTI</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des</w:t>
      </w:r>
      <w:r>
        <w:rPr>
          <w:rFonts w:ascii="Arial" w:eastAsia="Arial" w:hAnsi="Arial" w:cs="Arial"/>
          <w:b w:val="0"/>
          <w:i w:val="0"/>
          <w:color w:val="000000"/>
          <w:sz w:val="20"/>
          <w:u w:val="none"/>
        </w:rPr>
        <w:t>ign and advice</w:t>
      </w:r>
      <w:r>
        <w:rPr>
          <w:rFonts w:ascii="Arial" w:eastAsia="Arial" w:hAnsi="Arial" w:cs="Arial"/>
          <w:b w:val="0"/>
          <w:i w:val="0"/>
          <w:color w:val="000000"/>
          <w:sz w:val="20"/>
          <w:u w:val="none"/>
        </w:rPr>
        <w:t xml:space="preserve"> and</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benchmarking </w:t>
      </w:r>
      <w:r>
        <w:rPr>
          <w:rFonts w:ascii="Arial" w:eastAsia="Arial" w:hAnsi="Arial" w:cs="Arial"/>
          <w:b w:val="0"/>
          <w:i w:val="0"/>
          <w:color w:val="000000"/>
          <w:sz w:val="20"/>
          <w:u w:val="none"/>
        </w:rPr>
        <w:t xml:space="preserve">total compensation </w:t>
      </w:r>
      <w:r>
        <w:rPr>
          <w:rFonts w:ascii="Arial" w:eastAsia="Arial" w:hAnsi="Arial" w:cs="Arial"/>
          <w:b w:val="0"/>
          <w:i w:val="0"/>
          <w:color w:val="000000"/>
          <w:sz w:val="20"/>
          <w:u w:val="none"/>
        </w:rPr>
        <w:t>for certain executives</w:t>
      </w:r>
      <w:r>
        <w:rPr>
          <w:rFonts w:ascii="Arial" w:eastAsia="Arial" w:hAnsi="Arial" w:cs="Arial"/>
          <w:b w:val="0"/>
          <w:i w:val="0"/>
          <w:color w:val="000000"/>
          <w:sz w:val="20"/>
          <w:u w:val="none"/>
        </w:rPr>
        <w:t xml:space="preserve"> and non-executive functional leaders</w:t>
      </w:r>
      <w:r>
        <w:rPr>
          <w:rFonts w:ascii="Arial" w:eastAsia="Arial" w:hAnsi="Arial" w:cs="Arial"/>
          <w:b w:val="0"/>
          <w:i w:val="0"/>
          <w:color w:val="000000"/>
          <w:sz w:val="20"/>
          <w:u w:val="none"/>
        </w:rPr>
        <w:t xml:space="preserve">. McLagan's fees for its services during </w:t>
      </w:r>
      <w:r>
        <w:rPr>
          <w:rFonts w:ascii="Arial" w:eastAsia="Arial" w:hAnsi="Arial" w:cs="Arial"/>
          <w:b w:val="0"/>
          <w:i w:val="0"/>
          <w:color w:val="000000"/>
          <w:sz w:val="20"/>
          <w:u w:val="none"/>
        </w:rPr>
        <w:t>2023</w:t>
      </w:r>
      <w:r>
        <w:rPr>
          <w:rFonts w:ascii="Arial" w:eastAsia="Arial" w:hAnsi="Arial" w:cs="Arial"/>
          <w:b w:val="0"/>
          <w:i w:val="0"/>
          <w:color w:val="000000"/>
          <w:sz w:val="20"/>
          <w:u w:val="none"/>
        </w:rPr>
        <w:t xml:space="preserve"> were </w:t>
      </w:r>
      <w:r>
        <w:rPr>
          <w:rFonts w:ascii="Arial" w:eastAsia="Arial" w:hAnsi="Arial" w:cs="Arial"/>
          <w:b w:val="0"/>
          <w:i w:val="0"/>
          <w:color w:val="000000"/>
          <w:sz w:val="20"/>
          <w:u w:val="none"/>
        </w:rPr>
        <w:t>$</w:t>
      </w:r>
      <w:r>
        <w:rPr>
          <w:rFonts w:ascii="Arial" w:eastAsia="Arial" w:hAnsi="Arial" w:cs="Arial"/>
          <w:b w:val="0"/>
          <w:i w:val="0"/>
          <w:color w:val="000000"/>
          <w:sz w:val="20"/>
          <w:u w:val="none"/>
        </w:rPr>
        <w:t>102,580</w:t>
      </w:r>
      <w:r>
        <w:rPr>
          <w:rFonts w:ascii="Arial" w:eastAsia="Arial" w:hAnsi="Arial" w:cs="Arial"/>
          <w:b w:val="0"/>
          <w:i w:val="0"/>
          <w:color w:val="000000"/>
          <w:sz w:val="20"/>
          <w:u w:val="none"/>
        </w:rPr>
        <w:t xml:space="preserve">. Aon is the parent company of subsidiaries that provide insurance brokerage-related services to our subsidiaries and affiliates unrelated to the compensation consulting services. Fees for these Aon services were </w:t>
      </w:r>
      <w:r>
        <w:rPr>
          <w:rFonts w:ascii="Arial" w:eastAsia="Arial" w:hAnsi="Arial" w:cs="Arial"/>
          <w:b w:val="0"/>
          <w:i w:val="0"/>
          <w:color w:val="000000"/>
          <w:sz w:val="20"/>
          <w:u w:val="none"/>
        </w:rPr>
        <w:t>$</w:t>
      </w:r>
      <w:r>
        <w:rPr>
          <w:rFonts w:ascii="Arial" w:eastAsia="Arial" w:hAnsi="Arial" w:cs="Arial"/>
          <w:b w:val="0"/>
          <w:i w:val="0"/>
          <w:color w:val="000000"/>
          <w:sz w:val="20"/>
          <w:u w:val="none"/>
        </w:rPr>
        <w:t>16,684</w:t>
      </w:r>
      <w:r>
        <w:rPr>
          <w:rFonts w:ascii="Arial" w:eastAsia="Arial" w:hAnsi="Arial" w:cs="Arial"/>
          <w:b w:val="0"/>
          <w:i w:val="0"/>
          <w:color w:val="000000"/>
          <w:sz w:val="20"/>
          <w:u w:val="none"/>
        </w:rPr>
        <w:t xml:space="preserve"> for </w:t>
      </w:r>
      <w:r>
        <w:rPr>
          <w:rFonts w:ascii="Arial" w:eastAsia="Arial" w:hAnsi="Arial" w:cs="Arial"/>
          <w:b w:val="0"/>
          <w:i w:val="0"/>
          <w:color w:val="000000"/>
          <w:sz w:val="20"/>
          <w:u w:val="none"/>
        </w:rPr>
        <w:t>2023</w:t>
      </w:r>
      <w:r>
        <w:rPr>
          <w:rFonts w:ascii="Arial" w:eastAsia="Arial" w:hAnsi="Arial" w:cs="Arial"/>
          <w:b w:val="0"/>
          <w:i w:val="0"/>
          <w:color w:val="000000"/>
          <w:sz w:val="20"/>
          <w:u w:val="none"/>
        </w:rPr>
        <w:t xml:space="preserve">, and constituted a de minimis portion of Aon's </w:t>
      </w:r>
      <w:r>
        <w:rPr>
          <w:rFonts w:ascii="Arial" w:eastAsia="Arial" w:hAnsi="Arial" w:cs="Arial"/>
          <w:b w:val="0"/>
          <w:i w:val="0"/>
          <w:color w:val="000000"/>
          <w:sz w:val="20"/>
          <w:u w:val="none"/>
        </w:rPr>
        <w:t>2023</w:t>
      </w:r>
      <w:r>
        <w:rPr>
          <w:rFonts w:ascii="Arial" w:eastAsia="Arial" w:hAnsi="Arial" w:cs="Arial"/>
          <w:b w:val="0"/>
          <w:i w:val="0"/>
          <w:color w:val="000000"/>
          <w:sz w:val="20"/>
          <w:u w:val="none"/>
        </w:rPr>
        <w:t xml:space="preserve"> revenue (less than 1%). The Compensation Committee assessed the independence of McLagan in light of applicable SEC and Nasdaq rules and reviewed responses from the consultant addressing factors related to its independence. Following this review, the Compensation Committee concluded that the firm was independent and that their advisory services did not raise any conflicts of interest.</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214"/>
          <w:footerReference w:type="default" r:id="rId215"/>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171449"/>
          <w:sz w:val="24"/>
          <w:u w:val="none"/>
        </w:rPr>
      </w:pPr>
      <w:bookmarkStart w:id="72" w:name="Section75"/>
      <w:bookmarkEnd w:id="72"/>
    </w:p>
    <w:p>
      <w:pPr>
        <w:keepNext w:val="0"/>
        <w:keepLines w:val="0"/>
        <w:pageBreakBefore w:val="0"/>
        <w:widowControl/>
        <w:numPr>
          <w:ilvl w:val="0"/>
          <w:numId w:val="0"/>
        </w:numPr>
        <w:spacing w:before="0" w:after="60" w:line="288" w:lineRule="auto"/>
        <w:ind w:left="0" w:right="0" w:firstLine="0"/>
        <w:jc w:val="both"/>
        <w:outlineLvl w:val="2"/>
        <w:rPr>
          <w:rFonts w:ascii="Arial" w:eastAsia="Arial" w:hAnsi="Arial" w:cs="Arial"/>
          <w:b/>
          <w:i w:val="0"/>
          <w:color w:val="171449"/>
          <w:sz w:val="24"/>
          <w:u w:val="none"/>
        </w:rPr>
      </w:pPr>
      <w:r>
        <w:rPr>
          <w:rFonts w:ascii="Arial" w:eastAsia="Arial" w:hAnsi="Arial" w:cs="Arial"/>
          <w:b/>
          <w:i w:val="0"/>
          <w:color w:val="171449"/>
          <w:sz w:val="24"/>
          <w:u w:val="none"/>
        </w:rPr>
        <w:t>Peer Group</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In making compensatory decisions with respect to the </w:t>
      </w:r>
      <w:r>
        <w:rPr>
          <w:rFonts w:ascii="Arial" w:eastAsia="Arial" w:hAnsi="Arial" w:cs="Arial"/>
          <w:b w:val="0"/>
          <w:i w:val="0"/>
          <w:color w:val="000000"/>
          <w:sz w:val="20"/>
          <w:u w:val="none"/>
        </w:rPr>
        <w:t>2023</w:t>
      </w:r>
      <w:r>
        <w:rPr>
          <w:rFonts w:ascii="Arial" w:eastAsia="Arial" w:hAnsi="Arial" w:cs="Arial"/>
          <w:b w:val="0"/>
          <w:i w:val="0"/>
          <w:sz w:val="20"/>
        </w:rPr>
        <w:t xml:space="preserve"> performance year, including assessing whether we were meeting our goal of providing competitive compensation, the Compensation Committee reviewed publicly available executive officer compensation information described in the periodic filings of a group of other publicly traded companies in our industry. </w:t>
      </w:r>
      <w:r>
        <w:rPr>
          <w:rFonts w:ascii="Arial" w:eastAsia="Arial" w:hAnsi="Arial" w:cs="Arial"/>
          <w:b w:val="0"/>
          <w:i w:val="0"/>
          <w:sz w:val="20"/>
        </w:rPr>
        <w:t xml:space="preserve">During </w:t>
      </w:r>
      <w:r>
        <w:rPr>
          <w:rFonts w:ascii="Arial" w:eastAsia="Arial" w:hAnsi="Arial" w:cs="Arial"/>
          <w:b w:val="0"/>
          <w:i w:val="0"/>
          <w:sz w:val="20"/>
        </w:rPr>
        <w:t xml:space="preserve">its review of our </w:t>
      </w:r>
      <w:r>
        <w:rPr>
          <w:rFonts w:ascii="Arial" w:eastAsia="Arial" w:hAnsi="Arial" w:cs="Arial"/>
          <w:b w:val="0"/>
          <w:i w:val="0"/>
          <w:sz w:val="20"/>
        </w:rPr>
        <w:t>pe</w:t>
      </w:r>
      <w:r>
        <w:rPr>
          <w:rFonts w:ascii="Arial" w:eastAsia="Arial" w:hAnsi="Arial" w:cs="Arial"/>
          <w:b w:val="0"/>
          <w:i w:val="0"/>
          <w:sz w:val="20"/>
        </w:rPr>
        <w:t xml:space="preserve">er </w:t>
      </w:r>
      <w:r>
        <w:rPr>
          <w:rFonts w:ascii="Arial" w:eastAsia="Arial" w:hAnsi="Arial" w:cs="Arial"/>
          <w:b w:val="0"/>
          <w:i w:val="0"/>
          <w:sz w:val="20"/>
        </w:rPr>
        <w:t>grou</w:t>
      </w:r>
      <w:r>
        <w:rPr>
          <w:rFonts w:ascii="Arial" w:eastAsia="Arial" w:hAnsi="Arial" w:cs="Arial"/>
          <w:b w:val="0"/>
          <w:i w:val="0"/>
          <w:sz w:val="20"/>
        </w:rPr>
        <w:t xml:space="preserve">p in </w:t>
      </w:r>
      <w:r>
        <w:rPr>
          <w:rFonts w:ascii="Arial" w:eastAsia="Arial" w:hAnsi="Arial" w:cs="Arial"/>
          <w:b w:val="0"/>
          <w:i w:val="0"/>
          <w:color w:val="000000"/>
          <w:sz w:val="20"/>
          <w:u w:val="none"/>
        </w:rPr>
        <w:t>2023</w:t>
      </w:r>
      <w:r>
        <w:rPr>
          <w:rFonts w:ascii="Arial" w:eastAsia="Arial" w:hAnsi="Arial" w:cs="Arial"/>
          <w:b w:val="0"/>
          <w:i w:val="0"/>
          <w:sz w:val="20"/>
        </w:rPr>
        <w:t xml:space="preserve">, </w:t>
      </w:r>
      <w:r>
        <w:rPr>
          <w:rFonts w:ascii="Arial" w:eastAsia="Arial" w:hAnsi="Arial" w:cs="Arial"/>
          <w:b w:val="0"/>
          <w:i w:val="0"/>
          <w:sz w:val="20"/>
        </w:rPr>
        <w:t>t</w:t>
      </w:r>
      <w:r>
        <w:rPr>
          <w:rFonts w:ascii="Arial" w:eastAsia="Arial" w:hAnsi="Arial" w:cs="Arial"/>
          <w:b w:val="0"/>
          <w:i w:val="0"/>
          <w:sz w:val="20"/>
        </w:rPr>
        <w:t xml:space="preserve">he Compensation Committee </w:t>
      </w:r>
      <w:r>
        <w:rPr>
          <w:rFonts w:ascii="Arial" w:eastAsia="Arial" w:hAnsi="Arial" w:cs="Arial"/>
          <w:b w:val="0"/>
          <w:i w:val="0"/>
          <w:sz w:val="20"/>
        </w:rPr>
        <w:t>remov</w:t>
      </w:r>
      <w:r>
        <w:rPr>
          <w:rFonts w:ascii="Arial" w:eastAsia="Arial" w:hAnsi="Arial" w:cs="Arial"/>
          <w:b w:val="0"/>
          <w:i w:val="0"/>
          <w:sz w:val="20"/>
        </w:rPr>
        <w:t>ed one peer company due to merger ac</w:t>
      </w:r>
      <w:r>
        <w:rPr>
          <w:rFonts w:ascii="Arial" w:eastAsia="Arial" w:hAnsi="Arial" w:cs="Arial"/>
          <w:b w:val="0"/>
          <w:i w:val="0"/>
          <w:sz w:val="20"/>
        </w:rPr>
        <w:t>t</w:t>
      </w:r>
      <w:r>
        <w:rPr>
          <w:rFonts w:ascii="Arial" w:eastAsia="Arial" w:hAnsi="Arial" w:cs="Arial"/>
          <w:b w:val="0"/>
          <w:i w:val="0"/>
          <w:sz w:val="20"/>
        </w:rPr>
        <w:t xml:space="preserve">ivity, </w:t>
      </w:r>
      <w:r>
        <w:rPr>
          <w:rFonts w:ascii="Arial" w:eastAsia="Arial" w:hAnsi="Arial" w:cs="Arial"/>
          <w:b w:val="0"/>
          <w:i w:val="0"/>
          <w:sz w:val="20"/>
        </w:rPr>
        <w:t xml:space="preserve">and </w:t>
      </w:r>
      <w:r>
        <w:rPr>
          <w:rFonts w:ascii="Arial" w:eastAsia="Arial" w:hAnsi="Arial" w:cs="Arial"/>
          <w:b w:val="0"/>
          <w:i w:val="0"/>
          <w:sz w:val="20"/>
        </w:rPr>
        <w:t>determined</w:t>
      </w:r>
      <w:r>
        <w:rPr>
          <w:rFonts w:ascii="Arial" w:eastAsia="Arial" w:hAnsi="Arial" w:cs="Arial"/>
          <w:b w:val="0"/>
          <w:i w:val="0"/>
          <w:sz w:val="20"/>
        </w:rPr>
        <w:t xml:space="preserve"> that</w:t>
      </w:r>
      <w:r>
        <w:rPr>
          <w:rFonts w:ascii="Arial" w:eastAsia="Arial" w:hAnsi="Arial" w:cs="Arial"/>
          <w:b w:val="0"/>
          <w:i w:val="0"/>
          <w:sz w:val="20"/>
        </w:rPr>
        <w:t xml:space="preserve"> it was appropriate to </w:t>
      </w:r>
      <w:r>
        <w:rPr>
          <w:rFonts w:ascii="Arial" w:eastAsia="Arial" w:hAnsi="Arial" w:cs="Arial"/>
          <w:b w:val="0"/>
          <w:i w:val="0"/>
          <w:sz w:val="20"/>
        </w:rPr>
        <w:t xml:space="preserve">otherwise </w:t>
      </w:r>
      <w:r>
        <w:rPr>
          <w:rFonts w:ascii="Arial" w:eastAsia="Arial" w:hAnsi="Arial" w:cs="Arial"/>
          <w:b w:val="0"/>
          <w:i w:val="0"/>
          <w:sz w:val="20"/>
        </w:rPr>
        <w:t xml:space="preserve">maintain the same </w:t>
      </w:r>
      <w:r>
        <w:rPr>
          <w:rFonts w:ascii="Arial" w:eastAsia="Arial" w:hAnsi="Arial" w:cs="Arial"/>
          <w:b w:val="0"/>
          <w:i w:val="0"/>
          <w:sz w:val="20"/>
        </w:rPr>
        <w:t xml:space="preserve">peer </w:t>
      </w:r>
      <w:r>
        <w:rPr>
          <w:rFonts w:ascii="Arial" w:eastAsia="Arial" w:hAnsi="Arial" w:cs="Arial"/>
          <w:b w:val="0"/>
          <w:i w:val="0"/>
          <w:sz w:val="20"/>
        </w:rPr>
        <w:t xml:space="preserve">group for 2024.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 Compensation Committee generally seeks to include in our peer group companies that fall approximately within our size guidelines and include comparable aspects of our business. However, establishing a reliable peer group presents challenges for Enstar because our primary business is acquiring and operating (re)insurance companies and portfolios in run-off, whereas most in our industry focus primarily on writing new (re)insurance business. Run-off is a niche within the insurance industry, fragmented with several privately-held specialist managers, and divisions within significantly larger insurance franchises.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While pay at our peer companies is generally relevant to provide a frame of reference to the Compensation Committee in determining executive compensation, the Compensation Committee reviewed the compensation paid by these companies for informational and overall comparison purposes only. </w:t>
      </w:r>
      <w:r>
        <w:rPr>
          <w:rFonts w:ascii="Arial" w:eastAsia="Arial" w:hAnsi="Arial" w:cs="Arial"/>
          <w:b w:val="0"/>
          <w:i w:val="0"/>
          <w:sz w:val="20"/>
        </w:rPr>
        <w:t xml:space="preserve">While we </w:t>
      </w:r>
      <w:r>
        <w:rPr>
          <w:rFonts w:ascii="Arial" w:eastAsia="Arial" w:hAnsi="Arial" w:cs="Arial"/>
          <w:b w:val="0"/>
          <w:i w:val="0"/>
          <w:sz w:val="20"/>
        </w:rPr>
        <w:t>sometimes</w:t>
      </w:r>
      <w:r>
        <w:rPr>
          <w:rFonts w:ascii="Arial" w:eastAsia="Arial" w:hAnsi="Arial" w:cs="Arial"/>
          <w:b w:val="0"/>
          <w:i w:val="0"/>
          <w:sz w:val="20"/>
        </w:rPr>
        <w:t xml:space="preserve"> use </w:t>
      </w:r>
      <w:r>
        <w:rPr>
          <w:rFonts w:ascii="Arial" w:eastAsia="Arial" w:hAnsi="Arial" w:cs="Arial"/>
          <w:b w:val="0"/>
          <w:i w:val="0"/>
          <w:sz w:val="20"/>
        </w:rPr>
        <w:t xml:space="preserve">peer benchmarking as a guide </w:t>
      </w:r>
      <w:r>
        <w:rPr>
          <w:rFonts w:ascii="Arial" w:eastAsia="Arial" w:hAnsi="Arial" w:cs="Arial"/>
          <w:b w:val="0"/>
          <w:i w:val="0"/>
          <w:sz w:val="20"/>
        </w:rPr>
        <w:t xml:space="preserve">in setting executive compensation, </w:t>
      </w:r>
      <w:r>
        <w:rPr>
          <w:rFonts w:ascii="Arial" w:eastAsia="Arial" w:hAnsi="Arial" w:cs="Arial"/>
          <w:b w:val="0"/>
          <w:i w:val="0"/>
          <w:sz w:val="20"/>
        </w:rPr>
        <w:t>w</w:t>
      </w:r>
      <w:r>
        <w:rPr>
          <w:rFonts w:ascii="Arial" w:eastAsia="Arial" w:hAnsi="Arial" w:cs="Arial"/>
          <w:b w:val="0"/>
          <w:i w:val="0"/>
          <w:sz w:val="20"/>
        </w:rPr>
        <w:t xml:space="preserve">e did not compensate our executives to align with a specific benchmark or target percentile or precise position within our peer group. Instead, we sought only to be generally competitive relative to our peers with the compensation we offer our executives. </w:t>
      </w:r>
      <w:r>
        <w:rPr>
          <w:rFonts w:ascii="Arial" w:eastAsia="Arial" w:hAnsi="Arial" w:cs="Arial"/>
          <w:b w:val="0"/>
          <w:i w:val="0"/>
          <w:color w:val="000000"/>
          <w:sz w:val="20"/>
          <w:u w:val="none"/>
        </w:rPr>
        <w:t xml:space="preserve">We take this approach </w:t>
      </w:r>
      <w:r>
        <w:rPr>
          <w:rFonts w:ascii="Arial" w:eastAsia="Arial" w:hAnsi="Arial" w:cs="Arial"/>
          <w:b w:val="0"/>
          <w:i w:val="0"/>
          <w:color w:val="000000"/>
          <w:sz w:val="20"/>
          <w:u w:val="none"/>
        </w:rPr>
        <w:t>due to the</w:t>
      </w:r>
      <w:r>
        <w:rPr>
          <w:rFonts w:ascii="Arial" w:eastAsia="Arial" w:hAnsi="Arial" w:cs="Arial"/>
          <w:b w:val="0"/>
          <w:i w:val="0"/>
          <w:color w:val="000000"/>
          <w:sz w:val="20"/>
          <w:u w:val="none"/>
        </w:rPr>
        <w:t xml:space="preserve"> significant </w:t>
      </w:r>
      <w:r>
        <w:rPr>
          <w:rFonts w:ascii="Arial" w:eastAsia="Arial" w:hAnsi="Arial" w:cs="Arial"/>
          <w:b w:val="0"/>
          <w:i w:val="0"/>
          <w:color w:val="000000"/>
          <w:sz w:val="20"/>
          <w:u w:val="none"/>
        </w:rPr>
        <w:t xml:space="preserve">business model and operational </w:t>
      </w:r>
      <w:r>
        <w:rPr>
          <w:rFonts w:ascii="Arial" w:eastAsia="Arial" w:hAnsi="Arial" w:cs="Arial"/>
          <w:b w:val="0"/>
          <w:i w:val="0"/>
          <w:color w:val="000000"/>
          <w:sz w:val="20"/>
          <w:u w:val="none"/>
        </w:rPr>
        <w:t>differences between us and our most similar peers</w:t>
      </w:r>
      <w:r>
        <w:rPr>
          <w:rFonts w:ascii="Arial" w:eastAsia="Arial" w:hAnsi="Arial" w:cs="Arial"/>
          <w:b w:val="0"/>
          <w:i w:val="0"/>
          <w:color w:val="000000"/>
          <w:sz w:val="20"/>
          <w:u w:val="none"/>
        </w:rPr>
        <w:t>.</w:t>
      </w:r>
    </w:p>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 following companies were reviewed to provide an overall backdrop to the Compensation Committee’s decisions:</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25"/>
        <w:gridCol w:w="3195"/>
        <w:gridCol w:w="225"/>
        <w:gridCol w:w="3195"/>
        <w:gridCol w:w="225"/>
        <w:gridCol w:w="3195"/>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00"/>
          <w:jc w:val="center"/>
        </w:trPr>
        <w:tc>
          <w:tcPr>
            <w:tcW w:w="22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Wingdings" w:eastAsia="Wingdings" w:hAnsi="Wingdings" w:cs="Wingdings"/>
                <w:b w:val="0"/>
                <w:i w:val="0"/>
                <w:color w:val="4494D1"/>
                <w:sz w:val="20"/>
                <w:u w:val="none"/>
              </w:rPr>
              <w:t></w:t>
            </w:r>
          </w:p>
        </w:tc>
        <w:tc>
          <w:tcPr>
            <w:tcW w:w="319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20"/>
                <w:u w:val="none"/>
              </w:rPr>
              <w:t>Arch Capital Group Ltd.</w:t>
            </w:r>
          </w:p>
        </w:tc>
        <w:tc>
          <w:tcPr>
            <w:tcW w:w="22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Wingdings" w:eastAsia="Wingdings" w:hAnsi="Wingdings" w:cs="Wingdings"/>
                <w:b w:val="0"/>
                <w:i w:val="0"/>
                <w:color w:val="4494D1"/>
                <w:sz w:val="20"/>
                <w:u w:val="none"/>
              </w:rPr>
              <w:t></w:t>
            </w:r>
          </w:p>
        </w:tc>
        <w:tc>
          <w:tcPr>
            <w:tcW w:w="319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20"/>
                <w:u w:val="none"/>
              </w:rPr>
              <w:t>Hanover Insurance Group</w:t>
            </w:r>
          </w:p>
        </w:tc>
        <w:tc>
          <w:tcPr>
            <w:tcW w:w="22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Wingdings" w:eastAsia="Wingdings" w:hAnsi="Wingdings" w:cs="Wingdings"/>
                <w:b w:val="0"/>
                <w:i w:val="0"/>
                <w:color w:val="4494D1"/>
                <w:sz w:val="20"/>
                <w:u w:val="none"/>
              </w:rPr>
              <w:t></w:t>
            </w:r>
          </w:p>
        </w:tc>
        <w:tc>
          <w:tcPr>
            <w:tcW w:w="319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20"/>
                <w:u w:val="none"/>
              </w:rPr>
              <w:t>Selective Insurance Group</w:t>
            </w:r>
          </w:p>
        </w:tc>
      </w:tr>
      <w:tr>
        <w:tblPrEx>
          <w:tblW w:w="10260" w:type="dxa"/>
          <w:jc w:val="center"/>
          <w:tblLayout w:type="fixed"/>
          <w:tblCellMar>
            <w:left w:w="108" w:type="dxa"/>
            <w:right w:w="108" w:type="dxa"/>
          </w:tblCellMar>
        </w:tblPrEx>
        <w:trPr>
          <w:cantSplit/>
          <w:trHeight w:hRule="exact" w:val="300"/>
          <w:jc w:val="center"/>
        </w:trPr>
        <w:tc>
          <w:tcPr>
            <w:tcW w:w="22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Wingdings" w:eastAsia="Wingdings" w:hAnsi="Wingdings" w:cs="Wingdings"/>
                <w:b w:val="0"/>
                <w:i w:val="0"/>
                <w:color w:val="4494D1"/>
                <w:sz w:val="20"/>
                <w:u w:val="none"/>
              </w:rPr>
              <w:t></w:t>
            </w:r>
          </w:p>
        </w:tc>
        <w:tc>
          <w:tcPr>
            <w:tcW w:w="319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76" w:lineRule="auto"/>
              <w:ind w:left="0" w:right="0" w:firstLine="0"/>
              <w:jc w:val="left"/>
              <w:outlineLvl w:val="9"/>
              <w:rPr>
                <w:rFonts w:ascii="Arial" w:eastAsia="Arial" w:hAnsi="Arial" w:cs="Arial"/>
                <w:b w:val="0"/>
                <w:i w:val="0"/>
                <w:sz w:val="20"/>
              </w:rPr>
            </w:pPr>
            <w:r>
              <w:rPr>
                <w:rFonts w:ascii="Arial" w:eastAsia="Arial" w:hAnsi="Arial" w:cs="Arial"/>
                <w:b w:val="0"/>
                <w:i w:val="0"/>
                <w:sz w:val="20"/>
              </w:rPr>
              <w:t>Assured Guaranty Ltd.</w:t>
            </w:r>
          </w:p>
        </w:tc>
        <w:tc>
          <w:tcPr>
            <w:tcW w:w="22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Wingdings" w:eastAsia="Wingdings" w:hAnsi="Wingdings" w:cs="Wingdings"/>
                <w:b w:val="0"/>
                <w:i w:val="0"/>
                <w:color w:val="4494D1"/>
                <w:sz w:val="20"/>
                <w:u w:val="none"/>
              </w:rPr>
              <w:t></w:t>
            </w:r>
          </w:p>
        </w:tc>
        <w:tc>
          <w:tcPr>
            <w:tcW w:w="319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20"/>
                <w:u w:val="none"/>
              </w:rPr>
              <w:t>Hiscox Ltd.</w:t>
            </w:r>
          </w:p>
        </w:tc>
        <w:tc>
          <w:tcPr>
            <w:tcW w:w="22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Wingdings" w:eastAsia="Wingdings" w:hAnsi="Wingdings" w:cs="Wingdings"/>
                <w:b w:val="0"/>
                <w:i w:val="0"/>
                <w:color w:val="4494D1"/>
                <w:sz w:val="20"/>
                <w:u w:val="none"/>
              </w:rPr>
              <w:t></w:t>
            </w:r>
          </w:p>
        </w:tc>
        <w:tc>
          <w:tcPr>
            <w:tcW w:w="319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20"/>
                <w:u w:val="none"/>
              </w:rPr>
              <w:t>SiriusPoint Ltd.</w:t>
            </w:r>
          </w:p>
        </w:tc>
      </w:tr>
      <w:tr>
        <w:tblPrEx>
          <w:tblW w:w="10260" w:type="dxa"/>
          <w:jc w:val="center"/>
          <w:tblLayout w:type="fixed"/>
          <w:tblCellMar>
            <w:left w:w="108" w:type="dxa"/>
            <w:right w:w="108" w:type="dxa"/>
          </w:tblCellMar>
        </w:tblPrEx>
        <w:trPr>
          <w:cantSplit/>
          <w:trHeight w:hRule="exact" w:val="300"/>
          <w:jc w:val="center"/>
        </w:trPr>
        <w:tc>
          <w:tcPr>
            <w:tcW w:w="22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Wingdings" w:eastAsia="Wingdings" w:hAnsi="Wingdings" w:cs="Wingdings"/>
                <w:b w:val="0"/>
                <w:i w:val="0"/>
                <w:color w:val="4494D1"/>
                <w:sz w:val="20"/>
                <w:u w:val="none"/>
              </w:rPr>
              <w:t></w:t>
            </w:r>
          </w:p>
        </w:tc>
        <w:tc>
          <w:tcPr>
            <w:tcW w:w="319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20"/>
                <w:u w:val="none"/>
              </w:rPr>
              <w:t>AXIS Capital Holdings</w:t>
            </w:r>
          </w:p>
        </w:tc>
        <w:tc>
          <w:tcPr>
            <w:tcW w:w="22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Wingdings" w:eastAsia="Wingdings" w:hAnsi="Wingdings" w:cs="Wingdings"/>
                <w:b w:val="0"/>
                <w:i w:val="0"/>
                <w:color w:val="4494D1"/>
                <w:sz w:val="20"/>
                <w:u w:val="none"/>
              </w:rPr>
              <w:t></w:t>
            </w:r>
          </w:p>
        </w:tc>
        <w:tc>
          <w:tcPr>
            <w:tcW w:w="319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20"/>
                <w:u w:val="none"/>
              </w:rPr>
              <w:t>Markel Corporation</w:t>
            </w:r>
          </w:p>
        </w:tc>
        <w:tc>
          <w:tcPr>
            <w:tcW w:w="22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Wingdings" w:eastAsia="Wingdings" w:hAnsi="Wingdings" w:cs="Wingdings"/>
                <w:b w:val="0"/>
                <w:i w:val="0"/>
                <w:color w:val="4494D1"/>
                <w:sz w:val="20"/>
                <w:u w:val="none"/>
              </w:rPr>
              <w:t></w:t>
            </w:r>
          </w:p>
        </w:tc>
        <w:tc>
          <w:tcPr>
            <w:tcW w:w="319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20"/>
                <w:u w:val="none"/>
              </w:rPr>
              <w:t xml:space="preserve">White Mountains Insurance Group </w:t>
            </w:r>
          </w:p>
        </w:tc>
      </w:tr>
      <w:tr>
        <w:tblPrEx>
          <w:tblW w:w="10260" w:type="dxa"/>
          <w:jc w:val="center"/>
          <w:tblLayout w:type="fixed"/>
          <w:tblCellMar>
            <w:left w:w="108" w:type="dxa"/>
            <w:right w:w="108" w:type="dxa"/>
          </w:tblCellMar>
        </w:tblPrEx>
        <w:trPr>
          <w:cantSplit/>
          <w:trHeight w:hRule="exact" w:val="300"/>
          <w:jc w:val="center"/>
        </w:trPr>
        <w:tc>
          <w:tcPr>
            <w:tcW w:w="22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Wingdings" w:eastAsia="Wingdings" w:hAnsi="Wingdings" w:cs="Wingdings"/>
                <w:b w:val="0"/>
                <w:i w:val="0"/>
                <w:color w:val="4494D1"/>
                <w:sz w:val="20"/>
                <w:u w:val="none"/>
              </w:rPr>
              <w:t></w:t>
            </w:r>
          </w:p>
        </w:tc>
        <w:tc>
          <w:tcPr>
            <w:tcW w:w="319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20"/>
                <w:u w:val="none"/>
              </w:rPr>
              <w:t>Essent Group Ltd.</w:t>
            </w:r>
          </w:p>
        </w:tc>
        <w:tc>
          <w:tcPr>
            <w:tcW w:w="22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Wingdings" w:eastAsia="Wingdings" w:hAnsi="Wingdings" w:cs="Wingdings"/>
                <w:b w:val="0"/>
                <w:i w:val="0"/>
                <w:color w:val="4494D1"/>
                <w:sz w:val="20"/>
                <w:u w:val="none"/>
              </w:rPr>
              <w:t></w:t>
            </w:r>
          </w:p>
        </w:tc>
        <w:tc>
          <w:tcPr>
            <w:tcW w:w="319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20"/>
                <w:u w:val="none"/>
              </w:rPr>
              <w:t>RenaissanceRe Holdings Ltd.</w:t>
            </w:r>
          </w:p>
        </w:tc>
        <w:tc>
          <w:tcPr>
            <w:tcW w:w="22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center"/>
            </w:pPr>
            <w:r>
              <w:rPr>
                <w:rFonts w:ascii="Wingdings" w:eastAsia="Wingdings" w:hAnsi="Wingdings" w:cs="Wingdings"/>
                <w:b w:val="0"/>
                <w:i w:val="0"/>
                <w:color w:val="4494D1"/>
                <w:sz w:val="20"/>
                <w:u w:val="none"/>
              </w:rPr>
              <w:t></w:t>
            </w:r>
          </w:p>
        </w:tc>
        <w:tc>
          <w:tcPr>
            <w:tcW w:w="319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20"/>
                <w:u w:val="none"/>
              </w:rPr>
              <w:t>W.R. Berkley</w:t>
            </w:r>
          </w:p>
        </w:tc>
      </w:tr>
      <w:tr>
        <w:tblPrEx>
          <w:tblW w:w="10260" w:type="dxa"/>
          <w:jc w:val="center"/>
          <w:tblLayout w:type="fixed"/>
          <w:tblCellMar>
            <w:left w:w="108" w:type="dxa"/>
            <w:right w:w="108" w:type="dxa"/>
          </w:tblCellMar>
        </w:tblPrEx>
        <w:trPr>
          <w:cantSplit/>
          <w:trHeight w:hRule="exact" w:val="300"/>
          <w:jc w:val="center"/>
        </w:trPr>
        <w:tc>
          <w:tcPr>
            <w:tcW w:w="225" w:type="dxa"/>
            <w:tcBorders>
              <w:top w:val="nil"/>
              <w:left w:val="nil"/>
              <w:bottom w:val="nil"/>
              <w:right w:val="nil"/>
            </w:tcBorders>
            <w:shd w:val="clear" w:color="auto" w:fill="FFFFFF"/>
            <w:tcMar>
              <w:top w:w="0" w:type="dxa"/>
              <w:left w:w="53" w:type="dxa"/>
              <w:bottom w:w="0" w:type="dxa"/>
              <w:right w:w="53" w:type="dxa"/>
            </w:tcMar>
            <w:vAlign w:val="center"/>
          </w:tcPr>
          <w:p>
            <w:pPr>
              <w:pageBreakBefore w:val="0"/>
              <w:spacing w:before="0" w:after="0" w:line="240" w:lineRule="auto"/>
              <w:jc w:val="center"/>
            </w:pPr>
            <w:r>
              <w:rPr>
                <w:rFonts w:ascii="Wingdings" w:eastAsia="Wingdings" w:hAnsi="Wingdings" w:cs="Wingdings"/>
                <w:b w:val="0"/>
                <w:i w:val="0"/>
                <w:color w:val="4494D1"/>
                <w:sz w:val="20"/>
                <w:u w:val="none"/>
              </w:rPr>
              <w:t></w:t>
            </w:r>
          </w:p>
        </w:tc>
        <w:tc>
          <w:tcPr>
            <w:tcW w:w="3195" w:type="dxa"/>
            <w:tcBorders>
              <w:top w:val="nil"/>
              <w:left w:val="nil"/>
              <w:bottom w:val="nil"/>
              <w:right w:val="nil"/>
            </w:tcBorders>
            <w:shd w:val="clear" w:color="auto" w:fill="FFFFFF"/>
            <w:tcMar>
              <w:top w:w="0" w:type="dxa"/>
              <w:left w:w="53" w:type="dxa"/>
              <w:bottom w:w="0" w:type="dxa"/>
              <w:right w:w="53" w:type="dxa"/>
            </w:tcMar>
            <w:vAlign w:val="center"/>
          </w:tcPr>
          <w:p>
            <w:pPr>
              <w:pageBreakBefore w:val="0"/>
              <w:spacing w:before="0" w:after="0" w:line="240" w:lineRule="auto"/>
              <w:jc w:val="left"/>
            </w:pPr>
            <w:r>
              <w:rPr>
                <w:rFonts w:ascii="Arial" w:eastAsia="Arial" w:hAnsi="Arial" w:cs="Arial"/>
                <w:b w:val="0"/>
                <w:i w:val="0"/>
                <w:color w:val="000000"/>
                <w:sz w:val="20"/>
                <w:u w:val="none"/>
              </w:rPr>
              <w:t>Everest Re Group Ltd.</w:t>
            </w:r>
          </w:p>
        </w:tc>
        <w:tc>
          <w:tcPr>
            <w:tcW w:w="225" w:type="dxa"/>
            <w:tcBorders>
              <w:top w:val="nil"/>
              <w:left w:val="nil"/>
              <w:bottom w:val="nil"/>
              <w:right w:val="nil"/>
            </w:tcBorders>
            <w:shd w:val="clear" w:color="auto" w:fill="FFFFFF"/>
            <w:tcMar>
              <w:top w:w="0" w:type="dxa"/>
              <w:left w:w="53" w:type="dxa"/>
              <w:bottom w:w="0" w:type="dxa"/>
              <w:right w:w="53" w:type="dxa"/>
            </w:tcMar>
            <w:vAlign w:val="center"/>
          </w:tcPr>
          <w:p>
            <w:pPr>
              <w:pageBreakBefore w:val="0"/>
              <w:spacing w:before="0" w:after="0" w:line="240" w:lineRule="auto"/>
              <w:jc w:val="center"/>
            </w:pPr>
          </w:p>
        </w:tc>
        <w:tc>
          <w:tcPr>
            <w:tcW w:w="3195" w:type="dxa"/>
            <w:tcBorders>
              <w:top w:val="nil"/>
              <w:left w:val="nil"/>
              <w:bottom w:val="nil"/>
              <w:right w:val="nil"/>
            </w:tcBorders>
            <w:tcMar>
              <w:top w:w="0" w:type="dxa"/>
              <w:left w:w="53" w:type="dxa"/>
              <w:bottom w:w="0" w:type="dxa"/>
              <w:right w:w="53" w:type="dxa"/>
            </w:tcMar>
            <w:vAlign w:val="bottom"/>
          </w:tcPr>
          <w:p>
            <w:pPr>
              <w:pageBreakBefore w:val="0"/>
              <w:spacing w:before="53" w:after="30" w:line="240" w:lineRule="auto"/>
              <w:jc w:val="left"/>
            </w:pPr>
          </w:p>
        </w:tc>
        <w:tc>
          <w:tcPr>
            <w:tcW w:w="225" w:type="dxa"/>
            <w:tcBorders>
              <w:top w:val="nil"/>
              <w:left w:val="nil"/>
              <w:bottom w:val="nil"/>
              <w:right w:val="nil"/>
            </w:tcBorders>
            <w:shd w:val="clear" w:color="auto" w:fill="FFFFFF"/>
            <w:tcMar>
              <w:top w:w="0" w:type="dxa"/>
              <w:left w:w="0" w:type="dxa"/>
              <w:bottom w:w="0" w:type="dxa"/>
              <w:right w:w="0" w:type="dxa"/>
            </w:tcMar>
            <w:vAlign w:val="bottom"/>
          </w:tcPr>
          <w:p>
            <w:pPr>
              <w:pageBreakBefore w:val="0"/>
              <w:spacing w:before="0" w:after="0"/>
            </w:pPr>
          </w:p>
        </w:tc>
        <w:tc>
          <w:tcPr>
            <w:tcW w:w="31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peer group selection process focused on three criteria, which was consistent with prior years: (i) industry; (ii) geography (with a significant preference for the use of Bermuda companies); and (iii) size, with reference to: (A) total shareholders’ equity within approximately 0.5 to 2.5 times of our total shareholders’ equity and (B) total assets within approximately 0.5 to 2.5 times of our total assets.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color w:val="4494D1"/>
          <w:sz w:val="20"/>
          <w:u w:val="none"/>
        </w:rPr>
        <w:t xml:space="preserve">Industry. </w:t>
      </w:r>
      <w:r>
        <w:rPr>
          <w:rFonts w:ascii="Arial" w:eastAsia="Arial" w:hAnsi="Arial" w:cs="Arial"/>
          <w:b w:val="0"/>
          <w:i w:val="0"/>
          <w:sz w:val="20"/>
        </w:rPr>
        <w:t xml:space="preserve"> Given the lack of companies directly comparable to Enstar, we have designed our peer group around companies primarily focused on property and casualty (re)insurance, which are the companies against which we compete for talent. Where possible, we look for aspects of other companies that reflect elements similar to operations or strategies we have.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color w:val="4494D1"/>
          <w:sz w:val="20"/>
          <w:u w:val="none"/>
        </w:rPr>
        <w:t>Geography.</w:t>
      </w:r>
      <w:r>
        <w:rPr>
          <w:rFonts w:ascii="Arial" w:eastAsia="Arial" w:hAnsi="Arial" w:cs="Arial"/>
          <w:b w:val="0"/>
          <w:i w:val="0"/>
          <w:sz w:val="20"/>
        </w:rPr>
        <w:t xml:space="preserve">  Publicly traded Bermuda companies (or publicly traded companies domiciled elsewhere with prominent Bermuda operations) are most relevant because these are the companies against which we generally compete for talent, and the Compensation Committee believes market conditions across other Bermuda-based companies are largely what drives executives’ views as to whether they are compensated competitively. We also include several companies domiciled in the United States and one in the United Kingdom in our peer group for diversification given our subsidiaries' presence in these locations.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color w:val="4494D1"/>
          <w:sz w:val="20"/>
          <w:u w:val="none"/>
        </w:rPr>
        <w:t>Size.</w:t>
      </w:r>
      <w:r>
        <w:rPr>
          <w:rFonts w:ascii="Arial" w:eastAsia="Arial" w:hAnsi="Arial" w:cs="Arial"/>
          <w:b w:val="0"/>
          <w:i w:val="0"/>
          <w:color w:val="000000"/>
          <w:sz w:val="20"/>
          <w:u w:val="none"/>
        </w:rPr>
        <w:t xml:space="preserve">  Our earnings are derived primarily from Run-Off Liability Earnings and Total Investment Return rather than revenue, making peer comparison on the basis of revenue </w:t>
      </w:r>
      <w:r>
        <w:rPr>
          <w:rFonts w:ascii="Arial" w:eastAsia="Arial" w:hAnsi="Arial" w:cs="Arial"/>
          <w:b w:val="0"/>
          <w:i w:val="0"/>
          <w:color w:val="000000"/>
          <w:sz w:val="20"/>
          <w:u w:val="none"/>
        </w:rPr>
        <w:t>not a useful metr</w:t>
      </w:r>
      <w:r>
        <w:rPr>
          <w:rFonts w:ascii="Arial" w:eastAsia="Arial" w:hAnsi="Arial" w:cs="Arial"/>
          <w:b w:val="0"/>
          <w:i w:val="0"/>
          <w:color w:val="000000"/>
          <w:sz w:val="20"/>
          <w:u w:val="none"/>
        </w:rPr>
        <w:t>ic</w:t>
      </w:r>
      <w:r>
        <w:rPr>
          <w:rFonts w:ascii="Arial" w:eastAsia="Arial" w:hAnsi="Arial" w:cs="Arial"/>
          <w:b w:val="0"/>
          <w:i w:val="0"/>
          <w:color w:val="000000"/>
          <w:sz w:val="20"/>
          <w:u w:val="none"/>
        </w:rPr>
        <w:t xml:space="preserve"> for us. The Compensation Committee designed our peer group targeting companies with approximately 0.5 to 2.5 times our shareholder equity or total assets (measured using financial data available at the time of consideration)</w:t>
      </w:r>
      <w:r>
        <w:rPr>
          <w:rFonts w:ascii="Arial" w:eastAsia="Arial" w:hAnsi="Arial" w:cs="Arial"/>
          <w:b w:val="0"/>
          <w:i w:val="0"/>
          <w:color w:val="000000"/>
          <w:sz w:val="20"/>
          <w:u w:val="none"/>
        </w:rPr>
        <w:t>.</w:t>
      </w:r>
      <w:r>
        <w:rPr>
          <w:rFonts w:ascii="Arial" w:eastAsia="Arial" w:hAnsi="Arial" w:cs="Arial"/>
          <w:b w:val="0"/>
          <w:i w:val="0"/>
          <w:color w:val="000000"/>
          <w:sz w:val="20"/>
          <w:u w:val="none"/>
        </w:rPr>
        <w:t xml:space="preserve"> A</w:t>
      </w:r>
      <w:r>
        <w:rPr>
          <w:rFonts w:ascii="Arial" w:eastAsia="Arial" w:hAnsi="Arial" w:cs="Arial"/>
          <w:b w:val="0"/>
          <w:i w:val="0"/>
          <w:color w:val="000000"/>
          <w:sz w:val="20"/>
          <w:u w:val="none"/>
        </w:rPr>
        <w:t>s a balance sheet driven company</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with a business model that does not generate </w:t>
      </w:r>
      <w:r>
        <w:rPr>
          <w:rFonts w:ascii="Arial" w:eastAsia="Arial" w:hAnsi="Arial" w:cs="Arial"/>
          <w:b w:val="0"/>
          <w:i w:val="0"/>
          <w:color w:val="000000"/>
          <w:sz w:val="20"/>
          <w:u w:val="none"/>
        </w:rPr>
        <w:t>significant gross written p</w:t>
      </w:r>
      <w:r>
        <w:rPr>
          <w:rFonts w:ascii="Arial" w:eastAsia="Arial" w:hAnsi="Arial" w:cs="Arial"/>
          <w:b w:val="0"/>
          <w:i w:val="0"/>
          <w:color w:val="000000"/>
          <w:sz w:val="20"/>
          <w:u w:val="none"/>
        </w:rPr>
        <w:t>remium or other revenue</w:t>
      </w:r>
      <w:r>
        <w:rPr>
          <w:rFonts w:ascii="Arial" w:eastAsia="Arial" w:hAnsi="Arial" w:cs="Arial"/>
          <w:b w:val="0"/>
          <w:i w:val="0"/>
          <w:color w:val="000000"/>
          <w:sz w:val="20"/>
          <w:u w:val="none"/>
        </w:rPr>
        <w:t>-like measure</w:t>
      </w:r>
      <w:r>
        <w:rPr>
          <w:rFonts w:ascii="Arial" w:eastAsia="Arial" w:hAnsi="Arial" w:cs="Arial"/>
          <w:b w:val="0"/>
          <w:i w:val="0"/>
          <w:color w:val="000000"/>
          <w:sz w:val="20"/>
          <w:u w:val="none"/>
        </w:rPr>
        <w:t>,</w:t>
      </w:r>
      <w:r>
        <w:rPr>
          <w:rFonts w:ascii="Arial" w:eastAsia="Arial" w:hAnsi="Arial" w:cs="Arial"/>
          <w:b w:val="0"/>
          <w:i w:val="0"/>
          <w:color w:val="000000"/>
          <w:sz w:val="20"/>
          <w:u w:val="none"/>
        </w:rPr>
        <w:t xml:space="preserve"> we believe these </w:t>
      </w:r>
      <w:r>
        <w:rPr>
          <w:rFonts w:ascii="Arial" w:eastAsia="Arial" w:hAnsi="Arial" w:cs="Arial"/>
          <w:b w:val="0"/>
          <w:i w:val="0"/>
          <w:color w:val="000000"/>
          <w:sz w:val="20"/>
          <w:u w:val="none"/>
        </w:rPr>
        <w:t xml:space="preserve">metrics </w:t>
      </w:r>
      <w:r>
        <w:rPr>
          <w:rFonts w:ascii="Arial" w:eastAsia="Arial" w:hAnsi="Arial" w:cs="Arial"/>
          <w:b w:val="0"/>
          <w:i w:val="0"/>
          <w:color w:val="000000"/>
          <w:sz w:val="20"/>
          <w:u w:val="none"/>
        </w:rPr>
        <w:t>are the</w:t>
      </w:r>
      <w:r>
        <w:rPr>
          <w:rFonts w:ascii="Arial" w:eastAsia="Arial" w:hAnsi="Arial" w:cs="Arial"/>
          <w:b w:val="0"/>
          <w:i w:val="0"/>
          <w:color w:val="000000"/>
          <w:sz w:val="20"/>
          <w:u w:val="none"/>
        </w:rPr>
        <w:t xml:space="preserve"> most relevant for </w:t>
      </w:r>
      <w:r>
        <w:rPr>
          <w:rFonts w:ascii="Arial" w:eastAsia="Arial" w:hAnsi="Arial" w:cs="Arial"/>
          <w:b w:val="0"/>
          <w:i w:val="0"/>
          <w:color w:val="000000"/>
          <w:sz w:val="20"/>
          <w:u w:val="none"/>
        </w:rPr>
        <w:t xml:space="preserve">the </w:t>
      </w:r>
      <w:r>
        <w:rPr>
          <w:rFonts w:ascii="Arial" w:eastAsia="Arial" w:hAnsi="Arial" w:cs="Arial"/>
          <w:b w:val="0"/>
          <w:i w:val="0"/>
          <w:color w:val="000000"/>
          <w:sz w:val="20"/>
          <w:u w:val="none"/>
        </w:rPr>
        <w:t>purpose</w:t>
      </w:r>
      <w:r>
        <w:rPr>
          <w:rFonts w:ascii="Arial" w:eastAsia="Arial" w:hAnsi="Arial" w:cs="Arial"/>
          <w:b w:val="0"/>
          <w:i w:val="0"/>
          <w:color w:val="000000"/>
          <w:sz w:val="20"/>
          <w:u w:val="none"/>
        </w:rPr>
        <w:t xml:space="preserve"> of </w:t>
      </w:r>
      <w:r>
        <w:rPr>
          <w:rFonts w:ascii="Arial" w:eastAsia="Arial" w:hAnsi="Arial" w:cs="Arial"/>
          <w:b w:val="0"/>
          <w:i w:val="0"/>
          <w:color w:val="000000"/>
          <w:sz w:val="20"/>
          <w:u w:val="none"/>
        </w:rPr>
        <w:t xml:space="preserve">making a peer </w:t>
      </w:r>
      <w:r>
        <w:rPr>
          <w:rFonts w:ascii="Arial" w:eastAsia="Arial" w:hAnsi="Arial" w:cs="Arial"/>
          <w:b w:val="0"/>
          <w:i w:val="0"/>
          <w:color w:val="000000"/>
          <w:sz w:val="20"/>
          <w:u w:val="none"/>
        </w:rPr>
        <w:t xml:space="preserve">size comparison. </w:t>
      </w:r>
      <w:r>
        <w:rPr>
          <w:rFonts w:ascii="Arial" w:eastAsia="Arial" w:hAnsi="Arial" w:cs="Arial"/>
          <w:b w:val="0"/>
          <w:i w:val="0"/>
          <w:color w:val="000000"/>
          <w:sz w:val="20"/>
          <w:u w:val="none"/>
        </w:rPr>
        <w:t>The Compensation Committee also considers market capitalization in selecting our peer group.</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sectPr>
          <w:headerReference w:type="default" r:id="rId216"/>
          <w:footerReference w:type="default" r:id="rId217"/>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73" w:name="Section76"/>
      <w:bookmarkEnd w:id="73"/>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Base Salaries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We set the base salaries of our executive officers based on the scope of the executives’ responsibilities and roles at Enstar, taking into account the Compensation Committee's view of the appropriate level of salary for each individual as compared to the executive's other compensation elements.  The Compensation Committee considers a variety of factors in adjusting base salaries, including Company and individual performance, retention, cost of living estimates and competitive market total compensation figures for similar executive officer positions based on publicly available information. Our goal is to provide base salary amounts at levels necessary to achieve our compensation objectives of competitively compensating our executives and retaining and attracting qualified executives who are able to contribute to our long-term success. The market in which we operate is very competitive for highly qualified employees.</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Any ch</w:t>
      </w:r>
      <w:r>
        <w:rPr>
          <w:rFonts w:ascii="Arial" w:eastAsia="Arial" w:hAnsi="Arial" w:cs="Arial"/>
          <w:b w:val="0"/>
          <w:i w:val="0"/>
          <w:sz w:val="20"/>
        </w:rPr>
        <w:t>anges</w:t>
      </w:r>
      <w:r>
        <w:rPr>
          <w:rFonts w:ascii="Arial" w:eastAsia="Arial" w:hAnsi="Arial" w:cs="Arial"/>
          <w:b w:val="0"/>
          <w:i w:val="0"/>
          <w:sz w:val="20"/>
        </w:rPr>
        <w:t xml:space="preserve"> </w:t>
      </w:r>
      <w:r>
        <w:rPr>
          <w:rFonts w:ascii="Arial" w:eastAsia="Arial" w:hAnsi="Arial" w:cs="Arial"/>
          <w:b w:val="0"/>
          <w:i w:val="0"/>
          <w:sz w:val="20"/>
        </w:rPr>
        <w:t xml:space="preserve">to each </w:t>
      </w:r>
      <w:r>
        <w:rPr>
          <w:rFonts w:ascii="Arial" w:eastAsia="Arial" w:hAnsi="Arial" w:cs="Arial"/>
          <w:b w:val="0"/>
          <w:i w:val="0"/>
          <w:sz w:val="20"/>
        </w:rPr>
        <w:t>NEO</w:t>
      </w:r>
      <w:r>
        <w:rPr>
          <w:rFonts w:ascii="Arial" w:eastAsia="Arial" w:hAnsi="Arial" w:cs="Arial"/>
          <w:b w:val="0"/>
          <w:i w:val="0"/>
          <w:sz w:val="20"/>
        </w:rPr>
        <w:t xml:space="preserve">'s </w:t>
      </w:r>
      <w:r>
        <w:rPr>
          <w:rFonts w:ascii="Arial" w:eastAsia="Arial" w:hAnsi="Arial" w:cs="Arial"/>
          <w:b w:val="0"/>
          <w:i w:val="0"/>
          <w:sz w:val="20"/>
        </w:rPr>
        <w:t xml:space="preserve">annual base salary </w:t>
      </w:r>
      <w:r>
        <w:rPr>
          <w:rFonts w:ascii="Arial" w:eastAsia="Arial" w:hAnsi="Arial" w:cs="Arial"/>
          <w:b w:val="0"/>
          <w:i w:val="0"/>
          <w:sz w:val="20"/>
        </w:rPr>
        <w:t xml:space="preserve">in 2023 </w:t>
      </w:r>
      <w:r>
        <w:rPr>
          <w:rFonts w:ascii="Arial" w:eastAsia="Arial" w:hAnsi="Arial" w:cs="Arial"/>
          <w:b w:val="0"/>
          <w:i w:val="0"/>
          <w:sz w:val="20"/>
        </w:rPr>
        <w:t>are</w:t>
      </w:r>
      <w:r>
        <w:rPr>
          <w:rFonts w:ascii="Arial" w:eastAsia="Arial" w:hAnsi="Arial" w:cs="Arial"/>
          <w:b w:val="0"/>
          <w:i w:val="0"/>
          <w:sz w:val="20"/>
        </w:rPr>
        <w:t xml:space="preserve"> summarized</w:t>
      </w:r>
      <w:r>
        <w:rPr>
          <w:rFonts w:ascii="Arial" w:eastAsia="Arial" w:hAnsi="Arial" w:cs="Arial"/>
          <w:b w:val="0"/>
          <w:i w:val="0"/>
          <w:sz w:val="20"/>
        </w:rPr>
        <w:t xml:space="preserve"> </w:t>
      </w:r>
      <w:r>
        <w:rPr>
          <w:rFonts w:ascii="Arial" w:eastAsia="Arial" w:hAnsi="Arial" w:cs="Arial"/>
          <w:b w:val="0"/>
          <w:i w:val="0"/>
          <w:sz w:val="20"/>
        </w:rPr>
        <w:t>below in the section ent</w:t>
      </w:r>
      <w:r>
        <w:rPr>
          <w:rFonts w:ascii="Arial" w:eastAsia="Arial" w:hAnsi="Arial" w:cs="Arial"/>
          <w:b w:val="0"/>
          <w:i w:val="0"/>
          <w:sz w:val="20"/>
        </w:rPr>
        <w:t>i</w:t>
      </w:r>
      <w:r>
        <w:rPr>
          <w:rFonts w:ascii="Arial" w:eastAsia="Arial" w:hAnsi="Arial" w:cs="Arial"/>
          <w:b w:val="0"/>
          <w:i w:val="0"/>
          <w:sz w:val="20"/>
        </w:rPr>
        <w:t>t</w:t>
      </w:r>
      <w:r>
        <w:rPr>
          <w:rFonts w:ascii="Arial" w:eastAsia="Arial" w:hAnsi="Arial" w:cs="Arial"/>
          <w:b w:val="0"/>
          <w:i w:val="0"/>
          <w:sz w:val="20"/>
        </w:rPr>
        <w:t xml:space="preserve">led "NEO Compensation Summaries" </w:t>
      </w:r>
      <w:r>
        <w:rPr>
          <w:rFonts w:ascii="Arial" w:eastAsia="Arial" w:hAnsi="Arial" w:cs="Arial"/>
          <w:b w:val="0"/>
          <w:i w:val="0"/>
          <w:sz w:val="20"/>
        </w:rPr>
        <w:t xml:space="preserve">beginning on page </w:t>
      </w:r>
      <w:r>
        <w:rPr>
          <w:rFonts w:ascii="Arial" w:eastAsia="Arial" w:hAnsi="Arial" w:cs="Arial"/>
          <w:b w:val="0"/>
          <w:i w:val="0"/>
          <w:color w:val="0000FF"/>
          <w:sz w:val="20"/>
          <w:u w:val="single"/>
        </w:rPr>
        <w:fldChar w:fldCharType="begin"/>
      </w:r>
      <w:r>
        <w:rPr>
          <w:rFonts w:ascii="Arial" w:eastAsia="Arial" w:hAnsi="Arial" w:cs="Arial"/>
          <w:b w:val="0"/>
          <w:i w:val="0"/>
          <w:color w:val="0000FF"/>
          <w:sz w:val="20"/>
          <w:u w:val="single"/>
        </w:rPr>
        <w:instrText xml:space="preserve"> PAGEREF </w:instrText>
      </w:r>
      <w:r>
        <w:rPr>
          <w:rFonts w:ascii="Arial" w:eastAsia="Arial" w:hAnsi="Arial" w:cs="Arial"/>
          <w:b w:val="0"/>
          <w:i w:val="0"/>
          <w:color w:val="0000FF"/>
          <w:sz w:val="20"/>
          <w:u w:val="single"/>
        </w:rPr>
        <w:instrText xml:space="preserve"> </w:instrText>
      </w:r>
      <w:r>
        <w:rPr>
          <w:rFonts w:ascii="Arial" w:eastAsia="Arial" w:hAnsi="Arial" w:cs="Arial"/>
          <w:b w:val="0"/>
          <w:i w:val="0"/>
          <w:color w:val="0000FF"/>
          <w:sz w:val="20"/>
          <w:u w:val="single"/>
        </w:rPr>
        <w:instrText>Section87</w:instrText>
      </w:r>
      <w:r>
        <w:rPr>
          <w:rFonts w:ascii="Arial" w:eastAsia="Arial" w:hAnsi="Arial" w:cs="Arial"/>
          <w:b w:val="0"/>
          <w:i w:val="0"/>
          <w:color w:val="0000FF"/>
          <w:sz w:val="20"/>
          <w:u w:val="single"/>
        </w:rPr>
        <w:instrText xml:space="preserve"> \h</w:instrText>
      </w:r>
      <w:r>
        <w:rPr>
          <w:rFonts w:ascii="Arial" w:eastAsia="Arial" w:hAnsi="Arial" w:cs="Arial"/>
          <w:b w:val="0"/>
          <w:i w:val="0"/>
          <w:color w:val="0000FF"/>
          <w:sz w:val="20"/>
          <w:u w:val="single"/>
        </w:rPr>
        <w:fldChar w:fldCharType="separate"/>
      </w:r>
      <w:r>
        <w:rPr>
          <w:rFonts w:ascii="Arial" w:eastAsia="Arial" w:hAnsi="Arial" w:cs="Arial"/>
          <w:b w:val="0"/>
          <w:i w:val="0"/>
          <w:color w:val="0000FF"/>
          <w:sz w:val="20"/>
          <w:u w:val="single"/>
        </w:rPr>
        <w:t>57</w:t>
      </w:r>
      <w:r>
        <w:rPr>
          <w:rFonts w:ascii="Arial" w:eastAsia="Arial" w:hAnsi="Arial" w:cs="Arial"/>
          <w:b w:val="0"/>
          <w:i w:val="0"/>
          <w:color w:val="0000FF"/>
          <w:sz w:val="20"/>
          <w:u w:val="single"/>
        </w:rPr>
        <w:fldChar w:fldCharType="end"/>
      </w:r>
      <w:r>
        <w:rPr>
          <w:rFonts w:ascii="Arial" w:eastAsia="Arial" w:hAnsi="Arial" w:cs="Arial"/>
          <w:b w:val="0"/>
          <w:i w:val="0"/>
          <w:sz w:val="20"/>
        </w:rPr>
        <w:t>.</w:t>
      </w:r>
    </w:p>
    <w:p>
      <w:pPr>
        <w:keepNext/>
        <w:keepLines w:val="0"/>
        <w:pageBreakBefore w:val="0"/>
        <w:widowControl/>
        <w:numPr>
          <w:ilvl w:val="0"/>
          <w:numId w:val="0"/>
        </w:numPr>
        <w:spacing w:before="0" w:after="120" w:line="300" w:lineRule="auto"/>
        <w:ind w:left="0" w:right="0" w:firstLine="0"/>
        <w:jc w:val="both"/>
        <w:outlineLvl w:val="9"/>
        <w:sectPr>
          <w:headerReference w:type="default" r:id="rId218"/>
          <w:footerReference w:type="default" r:id="rId219"/>
          <w:type w:val="continuous"/>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74" w:name="Section77"/>
      <w:bookmarkEnd w:id="74"/>
    </w:p>
    <w:p>
      <w:pPr>
        <w:keepNext/>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Annual Incentive Compensation</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 2022-2024 Annual Incentive Compensation Program (the "AIP") provides for the grant of annual bonus compensation (a "bonus award") to our eligible employees, including our executive officers.</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220"/>
          <w:footerReference w:type="default" r:id="rId221"/>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4495D1"/>
          <w:sz w:val="20"/>
          <w:u w:val="none"/>
        </w:rPr>
      </w:pPr>
      <w:bookmarkStart w:id="75" w:name="Section78"/>
      <w:bookmarkEnd w:id="75"/>
    </w:p>
    <w:p>
      <w:pPr>
        <w:keepNext w:val="0"/>
        <w:keepLines w:val="0"/>
        <w:pageBreakBefore w:val="0"/>
        <w:widowControl/>
        <w:numPr>
          <w:ilvl w:val="0"/>
          <w:numId w:val="0"/>
        </w:numPr>
        <w:spacing w:before="0" w:after="60" w:line="288" w:lineRule="auto"/>
        <w:ind w:left="0" w:right="0" w:firstLine="0"/>
        <w:jc w:val="both"/>
        <w:outlineLvl w:val="3"/>
        <w:rPr>
          <w:rFonts w:ascii="Arial" w:eastAsia="Arial" w:hAnsi="Arial" w:cs="Arial"/>
          <w:b/>
          <w:i w:val="0"/>
          <w:color w:val="4495D1"/>
          <w:sz w:val="20"/>
          <w:u w:val="none"/>
        </w:rPr>
      </w:pPr>
      <w:r>
        <w:rPr>
          <w:rFonts w:ascii="Arial" w:eastAsia="Arial" w:hAnsi="Arial" w:cs="Arial"/>
          <w:b/>
          <w:i w:val="0"/>
          <w:color w:val="4495D1"/>
          <w:sz w:val="20"/>
          <w:u w:val="none"/>
        </w:rPr>
        <w:t xml:space="preserve">Changes to the Annual Incentive Compensation Program for Executive Officers for </w:t>
      </w:r>
      <w:r>
        <w:rPr>
          <w:rFonts w:ascii="Arial" w:eastAsia="Arial" w:hAnsi="Arial" w:cs="Arial"/>
          <w:b/>
          <w:i w:val="0"/>
          <w:color w:val="4495D1"/>
          <w:sz w:val="20"/>
          <w:u w:val="none"/>
        </w:rPr>
        <w:t>2023</w:t>
      </w:r>
      <w:r>
        <w:rPr>
          <w:rFonts w:ascii="Arial" w:eastAsia="Arial" w:hAnsi="Arial" w:cs="Arial"/>
          <w:b/>
          <w:i w:val="0"/>
          <w:color w:val="4495D1"/>
          <w:sz w:val="20"/>
          <w:u w:val="none"/>
        </w:rPr>
        <w:t xml:space="preserve">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For </w:t>
      </w:r>
      <w:r>
        <w:rPr>
          <w:rFonts w:ascii="Arial" w:eastAsia="Arial" w:hAnsi="Arial" w:cs="Arial"/>
          <w:b w:val="0"/>
          <w:i w:val="0"/>
          <w:color w:val="000000"/>
          <w:sz w:val="20"/>
          <w:u w:val="none"/>
        </w:rPr>
        <w:t>2023</w:t>
      </w:r>
      <w:r>
        <w:rPr>
          <w:rFonts w:ascii="Arial" w:eastAsia="Arial" w:hAnsi="Arial" w:cs="Arial"/>
          <w:b w:val="0"/>
          <w:i w:val="0"/>
          <w:sz w:val="20"/>
        </w:rPr>
        <w:t xml:space="preserve">, we </w:t>
      </w:r>
      <w:r>
        <w:rPr>
          <w:rFonts w:ascii="Arial" w:eastAsia="Arial" w:hAnsi="Arial" w:cs="Arial"/>
          <w:b w:val="0"/>
          <w:i w:val="0"/>
          <w:sz w:val="20"/>
        </w:rPr>
        <w:t>conti</w:t>
      </w:r>
      <w:r>
        <w:rPr>
          <w:rFonts w:ascii="Arial" w:eastAsia="Arial" w:hAnsi="Arial" w:cs="Arial"/>
          <w:b w:val="0"/>
          <w:i w:val="0"/>
          <w:sz w:val="20"/>
        </w:rPr>
        <w:t>nued us</w:t>
      </w:r>
      <w:r>
        <w:rPr>
          <w:rFonts w:ascii="Arial" w:eastAsia="Arial" w:hAnsi="Arial" w:cs="Arial"/>
          <w:b w:val="0"/>
          <w:i w:val="0"/>
          <w:sz w:val="20"/>
        </w:rPr>
        <w:t xml:space="preserve">ing </w:t>
      </w:r>
      <w:r>
        <w:rPr>
          <w:rFonts w:ascii="Arial" w:eastAsia="Arial" w:hAnsi="Arial" w:cs="Arial"/>
          <w:b w:val="0"/>
          <w:i w:val="0"/>
          <w:sz w:val="20"/>
        </w:rPr>
        <w:t xml:space="preserve">a balanced scorecard approach for executive compensation awarded under our AIP. </w:t>
      </w:r>
      <w:r>
        <w:rPr>
          <w:rFonts w:ascii="Arial" w:eastAsia="Arial" w:hAnsi="Arial" w:cs="Arial"/>
          <w:b w:val="0"/>
          <w:i w:val="0"/>
          <w:sz w:val="20"/>
        </w:rPr>
        <w:t xml:space="preserve">Adopted in </w:t>
      </w:r>
      <w:r>
        <w:rPr>
          <w:rFonts w:ascii="Arial" w:eastAsia="Arial" w:hAnsi="Arial" w:cs="Arial"/>
          <w:b w:val="0"/>
          <w:i w:val="0"/>
          <w:sz w:val="20"/>
        </w:rPr>
        <w:t>2022</w:t>
      </w:r>
      <w:r>
        <w:rPr>
          <w:rFonts w:ascii="Arial" w:eastAsia="Arial" w:hAnsi="Arial" w:cs="Arial"/>
          <w:b w:val="0"/>
          <w:i w:val="0"/>
          <w:sz w:val="20"/>
        </w:rPr>
        <w:t xml:space="preserve">, </w:t>
      </w:r>
      <w:r>
        <w:rPr>
          <w:rFonts w:ascii="Arial" w:eastAsia="Arial" w:hAnsi="Arial" w:cs="Arial"/>
          <w:b w:val="0"/>
          <w:i w:val="0"/>
          <w:sz w:val="20"/>
        </w:rPr>
        <w:t>the approach</w:t>
      </w:r>
      <w:r>
        <w:rPr>
          <w:rFonts w:ascii="Arial" w:eastAsia="Arial" w:hAnsi="Arial" w:cs="Arial"/>
          <w:b w:val="0"/>
          <w:i w:val="0"/>
          <w:sz w:val="20"/>
        </w:rPr>
        <w:t xml:space="preserve"> </w:t>
      </w:r>
      <w:r>
        <w:rPr>
          <w:rFonts w:ascii="Arial" w:eastAsia="Arial" w:hAnsi="Arial" w:cs="Arial"/>
          <w:b w:val="0"/>
          <w:i w:val="0"/>
          <w:sz w:val="20"/>
        </w:rPr>
        <w:t>emphasizes</w:t>
      </w:r>
      <w:r>
        <w:rPr>
          <w:rFonts w:ascii="Arial" w:eastAsia="Arial" w:hAnsi="Arial" w:cs="Arial"/>
          <w:b w:val="0"/>
          <w:i w:val="0"/>
          <w:sz w:val="20"/>
        </w:rPr>
        <w:t xml:space="preserve"> selected Company and individual performance objectives</w:t>
      </w:r>
      <w:r>
        <w:rPr>
          <w:rFonts w:ascii="Arial" w:eastAsia="Arial" w:hAnsi="Arial" w:cs="Arial"/>
          <w:b w:val="0"/>
          <w:i w:val="0"/>
          <w:sz w:val="20"/>
        </w:rPr>
        <w:t xml:space="preserve"> to ensure that our executives are incentivized to take actions that support long-term value creation.</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scorecard is made up of three components: a </w:t>
      </w:r>
      <w:r>
        <w:rPr>
          <w:rFonts w:ascii="Arial" w:eastAsia="Arial" w:hAnsi="Arial" w:cs="Arial"/>
          <w:b/>
          <w:i/>
          <w:sz w:val="20"/>
        </w:rPr>
        <w:t>financial component</w:t>
      </w:r>
      <w:r>
        <w:rPr>
          <w:rFonts w:ascii="Arial" w:eastAsia="Arial" w:hAnsi="Arial" w:cs="Arial"/>
          <w:b w:val="0"/>
          <w:i w:val="0"/>
          <w:sz w:val="20"/>
        </w:rPr>
        <w:t xml:space="preserve">, a </w:t>
      </w:r>
      <w:r>
        <w:rPr>
          <w:rFonts w:ascii="Arial" w:eastAsia="Arial" w:hAnsi="Arial" w:cs="Arial"/>
          <w:b/>
          <w:i/>
          <w:sz w:val="20"/>
        </w:rPr>
        <w:t>corporate component</w:t>
      </w:r>
      <w:r>
        <w:rPr>
          <w:rFonts w:ascii="Arial" w:eastAsia="Arial" w:hAnsi="Arial" w:cs="Arial"/>
          <w:b w:val="0"/>
          <w:i w:val="0"/>
          <w:sz w:val="20"/>
        </w:rPr>
        <w:t xml:space="preserve"> and an </w:t>
      </w:r>
      <w:r>
        <w:rPr>
          <w:rFonts w:ascii="Arial" w:eastAsia="Arial" w:hAnsi="Arial" w:cs="Arial"/>
          <w:b/>
          <w:i/>
          <w:sz w:val="20"/>
        </w:rPr>
        <w:t>individual component</w:t>
      </w:r>
      <w:r>
        <w:rPr>
          <w:rFonts w:ascii="Arial" w:eastAsia="Arial" w:hAnsi="Arial" w:cs="Arial"/>
          <w:b w:val="0"/>
          <w:i w:val="0"/>
          <w:sz w:val="20"/>
        </w:rPr>
        <w:t>. The components are assigned different weightings for different executives, as described below.</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222"/>
          <w:footerReference w:type="default" r:id="rId223"/>
          <w:type w:val="continuous"/>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4495D1"/>
          <w:sz w:val="20"/>
          <w:u w:val="none"/>
        </w:rPr>
      </w:pPr>
      <w:bookmarkStart w:id="76" w:name="Section79"/>
      <w:bookmarkEnd w:id="76"/>
    </w:p>
    <w:p>
      <w:pPr>
        <w:keepNext/>
        <w:keepLines w:val="0"/>
        <w:pageBreakBefore w:val="0"/>
        <w:widowControl/>
        <w:numPr>
          <w:ilvl w:val="0"/>
          <w:numId w:val="0"/>
        </w:numPr>
        <w:spacing w:before="0" w:after="60" w:line="288" w:lineRule="auto"/>
        <w:ind w:left="0" w:right="0" w:firstLine="0"/>
        <w:jc w:val="both"/>
        <w:outlineLvl w:val="3"/>
        <w:rPr>
          <w:rFonts w:ascii="Arial" w:eastAsia="Arial" w:hAnsi="Arial" w:cs="Arial"/>
          <w:b/>
          <w:i w:val="0"/>
          <w:color w:val="4495D1"/>
          <w:sz w:val="20"/>
          <w:u w:val="none"/>
        </w:rPr>
      </w:pPr>
      <w:r>
        <w:rPr>
          <w:rFonts w:ascii="Arial" w:eastAsia="Arial" w:hAnsi="Arial" w:cs="Arial"/>
          <w:b/>
          <w:i w:val="0"/>
          <w:color w:val="4495D1"/>
          <w:sz w:val="20"/>
          <w:u w:val="none"/>
        </w:rPr>
        <w:t>2023</w:t>
      </w:r>
      <w:r>
        <w:rPr>
          <w:rFonts w:ascii="Arial" w:eastAsia="Arial" w:hAnsi="Arial" w:cs="Arial"/>
          <w:b/>
          <w:i w:val="0"/>
          <w:color w:val="4495D1"/>
          <w:sz w:val="20"/>
          <w:u w:val="none"/>
        </w:rPr>
        <w:t xml:space="preserve"> Bonus Award Component Weightings</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Weightings among the components of each executive's potential bonus award are set forth in the table below.</w:t>
      </w: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065"/>
        <w:gridCol w:w="2040"/>
        <w:gridCol w:w="2040"/>
        <w:gridCol w:w="2040"/>
      </w:tblGrid>
      <w:tr>
        <w:tblPrEx>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35"/>
          <w:jc w:val="center"/>
        </w:trPr>
        <w:tc>
          <w:tcPr>
            <w:tcW w:w="406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ind w:left="90"/>
              <w:jc w:val="left"/>
            </w:pPr>
            <w:r>
              <w:rPr>
                <w:rFonts w:ascii="Arial" w:eastAsia="Arial" w:hAnsi="Arial" w:cs="Arial"/>
                <w:b/>
                <w:i w:val="0"/>
                <w:color w:val="FFFFFF"/>
                <w:sz w:val="16"/>
                <w:u w:val="none"/>
              </w:rPr>
              <w:t>Executive</w:t>
            </w:r>
          </w:p>
        </w:tc>
        <w:tc>
          <w:tcPr>
            <w:tcW w:w="2040"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jc w:val="center"/>
            </w:pPr>
            <w:r>
              <w:rPr>
                <w:rFonts w:ascii="Arial" w:eastAsia="Arial" w:hAnsi="Arial" w:cs="Arial"/>
                <w:b/>
                <w:i w:val="0"/>
                <w:color w:val="FFFFFF"/>
                <w:sz w:val="16"/>
                <w:u w:val="none"/>
              </w:rPr>
              <w:t>Financial Component Weighting</w:t>
            </w:r>
          </w:p>
        </w:tc>
        <w:tc>
          <w:tcPr>
            <w:tcW w:w="2040"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jc w:val="center"/>
            </w:pPr>
            <w:r>
              <w:rPr>
                <w:rFonts w:ascii="Arial" w:eastAsia="Arial" w:hAnsi="Arial" w:cs="Arial"/>
                <w:b/>
                <w:i w:val="0"/>
                <w:color w:val="FFFFFF"/>
                <w:sz w:val="16"/>
                <w:u w:val="none"/>
              </w:rPr>
              <w:t>Corporate Component Weighting</w:t>
            </w:r>
          </w:p>
        </w:tc>
        <w:tc>
          <w:tcPr>
            <w:tcW w:w="2040"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jc w:val="center"/>
            </w:pPr>
            <w:r>
              <w:rPr>
                <w:rFonts w:ascii="Arial" w:eastAsia="Arial" w:hAnsi="Arial" w:cs="Arial"/>
                <w:b/>
                <w:i w:val="0"/>
                <w:color w:val="FFFFFF"/>
                <w:sz w:val="16"/>
                <w:u w:val="none"/>
              </w:rPr>
              <w:t>Individual Component Weighting</w:t>
            </w:r>
          </w:p>
        </w:tc>
      </w:tr>
      <w:tr>
        <w:tblPrEx>
          <w:tblW w:w="10185" w:type="dxa"/>
          <w:jc w:val="center"/>
          <w:tblLayout w:type="fixed"/>
          <w:tblCellMar>
            <w:left w:w="108" w:type="dxa"/>
            <w:right w:w="108" w:type="dxa"/>
          </w:tblCellMar>
        </w:tblPrEx>
        <w:trPr>
          <w:cantSplit/>
          <w:trHeight w:hRule="exact" w:val="105"/>
          <w:jc w:val="center"/>
        </w:trPr>
        <w:tc>
          <w:tcPr>
            <w:tcW w:w="406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204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204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204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r>
      <w:tr>
        <w:tblPrEx>
          <w:tblW w:w="10185" w:type="dxa"/>
          <w:jc w:val="center"/>
          <w:tblLayout w:type="fixed"/>
          <w:tblCellMar>
            <w:left w:w="108" w:type="dxa"/>
            <w:right w:w="108" w:type="dxa"/>
          </w:tblCellMar>
        </w:tblPrEx>
        <w:trPr>
          <w:cantSplit/>
          <w:trHeight w:hRule="exact" w:val="300"/>
          <w:jc w:val="center"/>
        </w:trPr>
        <w:tc>
          <w:tcPr>
            <w:tcW w:w="406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Dominic Silvester</w:t>
            </w:r>
          </w:p>
        </w:tc>
        <w:tc>
          <w:tcPr>
            <w:tcW w:w="2040"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45%</w:t>
            </w:r>
          </w:p>
        </w:tc>
        <w:tc>
          <w:tcPr>
            <w:tcW w:w="2040"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35%</w:t>
            </w:r>
          </w:p>
        </w:tc>
        <w:tc>
          <w:tcPr>
            <w:tcW w:w="2040"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20%</w:t>
            </w:r>
          </w:p>
        </w:tc>
      </w:tr>
      <w:tr>
        <w:tblPrEx>
          <w:tblW w:w="10185" w:type="dxa"/>
          <w:jc w:val="center"/>
          <w:tblLayout w:type="fixed"/>
          <w:tblCellMar>
            <w:left w:w="108" w:type="dxa"/>
            <w:right w:w="108" w:type="dxa"/>
          </w:tblCellMar>
        </w:tblPrEx>
        <w:trPr>
          <w:cantSplit/>
          <w:trHeight w:hRule="exact" w:val="300"/>
          <w:jc w:val="center"/>
        </w:trPr>
        <w:tc>
          <w:tcPr>
            <w:tcW w:w="406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Matthew Kirk</w:t>
            </w:r>
          </w:p>
        </w:tc>
        <w:tc>
          <w:tcPr>
            <w:tcW w:w="204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20%</w:t>
            </w:r>
          </w:p>
        </w:tc>
        <w:tc>
          <w:tcPr>
            <w:tcW w:w="204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50%</w:t>
            </w:r>
          </w:p>
        </w:tc>
        <w:tc>
          <w:tcPr>
            <w:tcW w:w="204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30%</w:t>
            </w:r>
          </w:p>
        </w:tc>
      </w:tr>
      <w:tr>
        <w:tblPrEx>
          <w:tblW w:w="10185" w:type="dxa"/>
          <w:jc w:val="center"/>
          <w:tblLayout w:type="fixed"/>
          <w:tblCellMar>
            <w:left w:w="108" w:type="dxa"/>
            <w:right w:w="108" w:type="dxa"/>
          </w:tblCellMar>
        </w:tblPrEx>
        <w:trPr>
          <w:cantSplit/>
          <w:trHeight w:hRule="exact" w:val="300"/>
          <w:jc w:val="center"/>
        </w:trPr>
        <w:tc>
          <w:tcPr>
            <w:tcW w:w="406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Orla Gregory</w:t>
            </w:r>
          </w:p>
        </w:tc>
        <w:tc>
          <w:tcPr>
            <w:tcW w:w="2040"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45%</w:t>
            </w:r>
          </w:p>
        </w:tc>
        <w:tc>
          <w:tcPr>
            <w:tcW w:w="2040"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35%</w:t>
            </w:r>
          </w:p>
        </w:tc>
        <w:tc>
          <w:tcPr>
            <w:tcW w:w="2040"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20%</w:t>
            </w:r>
          </w:p>
        </w:tc>
      </w:tr>
      <w:tr>
        <w:tblPrEx>
          <w:tblW w:w="10185" w:type="dxa"/>
          <w:jc w:val="center"/>
          <w:tblLayout w:type="fixed"/>
          <w:tblCellMar>
            <w:left w:w="108" w:type="dxa"/>
            <w:right w:w="108" w:type="dxa"/>
          </w:tblCellMar>
        </w:tblPrEx>
        <w:trPr>
          <w:cantSplit/>
          <w:trHeight w:hRule="exact" w:val="300"/>
          <w:jc w:val="center"/>
        </w:trPr>
        <w:tc>
          <w:tcPr>
            <w:tcW w:w="406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Paul Brockman</w:t>
            </w:r>
          </w:p>
        </w:tc>
        <w:tc>
          <w:tcPr>
            <w:tcW w:w="204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20%</w:t>
            </w:r>
          </w:p>
        </w:tc>
        <w:tc>
          <w:tcPr>
            <w:tcW w:w="204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50%</w:t>
            </w:r>
          </w:p>
        </w:tc>
        <w:tc>
          <w:tcPr>
            <w:tcW w:w="204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30%</w:t>
            </w:r>
          </w:p>
        </w:tc>
      </w:tr>
      <w:tr>
        <w:tblPrEx>
          <w:tblW w:w="10185" w:type="dxa"/>
          <w:jc w:val="center"/>
          <w:tblLayout w:type="fixed"/>
          <w:tblCellMar>
            <w:left w:w="108" w:type="dxa"/>
            <w:right w:w="108" w:type="dxa"/>
          </w:tblCellMar>
        </w:tblPrEx>
        <w:trPr>
          <w:cantSplit/>
          <w:trHeight w:hRule="exact" w:val="300"/>
          <w:jc w:val="center"/>
        </w:trPr>
        <w:tc>
          <w:tcPr>
            <w:tcW w:w="406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David Ni</w:t>
            </w:r>
          </w:p>
        </w:tc>
        <w:tc>
          <w:tcPr>
            <w:tcW w:w="2040"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20%</w:t>
            </w:r>
          </w:p>
        </w:tc>
        <w:tc>
          <w:tcPr>
            <w:tcW w:w="2040"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50%</w:t>
            </w:r>
          </w:p>
        </w:tc>
        <w:tc>
          <w:tcPr>
            <w:tcW w:w="2040"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30%</w:t>
            </w:r>
          </w:p>
        </w:tc>
      </w:tr>
      <w:tr>
        <w:tblPrEx>
          <w:tblW w:w="10185" w:type="dxa"/>
          <w:jc w:val="center"/>
          <w:tblLayout w:type="fixed"/>
          <w:tblCellMar>
            <w:left w:w="108" w:type="dxa"/>
            <w:right w:w="108" w:type="dxa"/>
          </w:tblCellMar>
        </w:tblPrEx>
        <w:trPr>
          <w:cantSplit/>
          <w:trHeight w:hRule="exact" w:val="300"/>
          <w:jc w:val="center"/>
        </w:trPr>
        <w:tc>
          <w:tcPr>
            <w:tcW w:w="4065" w:type="dxa"/>
            <w:tcBorders>
              <w:top w:val="nil"/>
              <w:left w:val="nil"/>
              <w:bottom w:val="nil"/>
              <w:right w:val="nil"/>
            </w:tcBorders>
            <w:shd w:val="clear" w:color="auto" w:fill="FFFFFF"/>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N</w:t>
            </w:r>
            <w:r>
              <w:rPr>
                <w:rFonts w:ascii="Arial" w:eastAsia="Arial" w:hAnsi="Arial" w:cs="Arial"/>
                <w:b w:val="0"/>
                <w:i w:val="0"/>
                <w:sz w:val="18"/>
              </w:rPr>
              <w:t>azar Alobaidat</w:t>
            </w:r>
          </w:p>
        </w:tc>
        <w:tc>
          <w:tcPr>
            <w:tcW w:w="2040" w:type="dxa"/>
            <w:tcBorders>
              <w:top w:val="nil"/>
              <w:left w:val="nil"/>
              <w:bottom w:val="nil"/>
              <w:right w:val="nil"/>
            </w:tcBorders>
            <w:shd w:val="clear" w:color="auto" w:fill="FFFFFF"/>
            <w:tcMar>
              <w:top w:w="0" w:type="dxa"/>
              <w:left w:w="53" w:type="dxa"/>
              <w:bottom w:w="0" w:type="dxa"/>
              <w:right w:w="15" w:type="dxa"/>
            </w:tcMar>
            <w:vAlign w:val="center"/>
          </w:tcPr>
          <w:p>
            <w:pPr>
              <w:pageBreakBefore w:val="0"/>
              <w:spacing w:before="0" w:after="0" w:line="240" w:lineRule="auto"/>
              <w:jc w:val="center"/>
            </w:pPr>
            <w:r>
              <w:rPr>
                <w:rFonts w:ascii="Arial" w:eastAsia="Arial" w:hAnsi="Arial" w:cs="Arial"/>
                <w:b w:val="0"/>
                <w:i w:val="0"/>
                <w:color w:val="000000"/>
                <w:sz w:val="18"/>
                <w:u w:val="none"/>
              </w:rPr>
              <w:t>20%</w:t>
            </w:r>
          </w:p>
        </w:tc>
        <w:tc>
          <w:tcPr>
            <w:tcW w:w="2040" w:type="dxa"/>
            <w:tcBorders>
              <w:top w:val="nil"/>
              <w:left w:val="nil"/>
              <w:bottom w:val="nil"/>
              <w:right w:val="nil"/>
            </w:tcBorders>
            <w:shd w:val="clear" w:color="auto" w:fill="FFFFFF"/>
            <w:tcMar>
              <w:top w:w="0" w:type="dxa"/>
              <w:left w:w="53" w:type="dxa"/>
              <w:bottom w:w="0" w:type="dxa"/>
              <w:right w:w="15" w:type="dxa"/>
            </w:tcMar>
            <w:vAlign w:val="center"/>
          </w:tcPr>
          <w:p>
            <w:pPr>
              <w:pageBreakBefore w:val="0"/>
              <w:spacing w:before="0" w:after="0" w:line="240" w:lineRule="auto"/>
              <w:jc w:val="center"/>
            </w:pPr>
            <w:r>
              <w:rPr>
                <w:rFonts w:ascii="Arial" w:eastAsia="Arial" w:hAnsi="Arial" w:cs="Arial"/>
                <w:b w:val="0"/>
                <w:i w:val="0"/>
                <w:color w:val="000000"/>
                <w:sz w:val="18"/>
                <w:u w:val="none"/>
              </w:rPr>
              <w:t>50%</w:t>
            </w:r>
          </w:p>
        </w:tc>
        <w:tc>
          <w:tcPr>
            <w:tcW w:w="2040" w:type="dxa"/>
            <w:tcBorders>
              <w:top w:val="nil"/>
              <w:left w:val="nil"/>
              <w:bottom w:val="nil"/>
              <w:right w:val="nil"/>
            </w:tcBorders>
            <w:shd w:val="clear" w:color="auto" w:fill="FFFFFF"/>
            <w:tcMar>
              <w:top w:w="0" w:type="dxa"/>
              <w:left w:w="53" w:type="dxa"/>
              <w:bottom w:w="0" w:type="dxa"/>
              <w:right w:w="15" w:type="dxa"/>
            </w:tcMar>
            <w:vAlign w:val="center"/>
          </w:tcPr>
          <w:p>
            <w:pPr>
              <w:pageBreakBefore w:val="0"/>
              <w:spacing w:before="0" w:after="0" w:line="240" w:lineRule="auto"/>
              <w:jc w:val="center"/>
            </w:pPr>
            <w:r>
              <w:rPr>
                <w:rFonts w:ascii="Arial" w:eastAsia="Arial" w:hAnsi="Arial" w:cs="Arial"/>
                <w:b w:val="0"/>
                <w:i w:val="0"/>
                <w:color w:val="000000"/>
                <w:sz w:val="18"/>
                <w:u w:val="none"/>
              </w:rPr>
              <w:t>30%</w:t>
            </w: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 Compensation Committee placed a relatively greater weighting on the financial component of the potential bonus award for M</w:t>
      </w:r>
      <w:r>
        <w:rPr>
          <w:rFonts w:ascii="Arial" w:eastAsia="Arial" w:hAnsi="Arial" w:cs="Arial"/>
          <w:b w:val="0"/>
          <w:i w:val="0"/>
          <w:sz w:val="20"/>
        </w:rPr>
        <w:t>r</w:t>
      </w:r>
      <w:r>
        <w:rPr>
          <w:rFonts w:ascii="Arial" w:eastAsia="Arial" w:hAnsi="Arial" w:cs="Arial"/>
          <w:b w:val="0"/>
          <w:i w:val="0"/>
          <w:sz w:val="20"/>
        </w:rPr>
        <w:t xml:space="preserve">. Silvester </w:t>
      </w:r>
      <w:r>
        <w:rPr>
          <w:rFonts w:ascii="Arial" w:eastAsia="Arial" w:hAnsi="Arial" w:cs="Arial"/>
          <w:b w:val="0"/>
          <w:i w:val="0"/>
          <w:sz w:val="20"/>
        </w:rPr>
        <w:t xml:space="preserve">and Ms. Gregory, who </w:t>
      </w:r>
      <w:r>
        <w:rPr>
          <w:rFonts w:ascii="Arial" w:eastAsia="Arial" w:hAnsi="Arial" w:cs="Arial"/>
          <w:b w:val="0"/>
          <w:i w:val="0"/>
          <w:sz w:val="20"/>
        </w:rPr>
        <w:t>both</w:t>
      </w:r>
      <w:r>
        <w:rPr>
          <w:rFonts w:ascii="Arial" w:eastAsia="Arial" w:hAnsi="Arial" w:cs="Arial"/>
          <w:b w:val="0"/>
          <w:i w:val="0"/>
          <w:sz w:val="20"/>
        </w:rPr>
        <w:t xml:space="preserve"> serve on our Board, to reflect their greater ability, given their roles and our organizational structure, to direct company actions and subsequently influence our financial results. In addition, the Compensation Committee believes that M</w:t>
      </w:r>
      <w:r>
        <w:rPr>
          <w:rFonts w:ascii="Arial" w:eastAsia="Arial" w:hAnsi="Arial" w:cs="Arial"/>
          <w:b w:val="0"/>
          <w:i w:val="0"/>
          <w:sz w:val="20"/>
        </w:rPr>
        <w:t>r</w:t>
      </w:r>
      <w:r>
        <w:rPr>
          <w:rFonts w:ascii="Arial" w:eastAsia="Arial" w:hAnsi="Arial" w:cs="Arial"/>
          <w:b w:val="0"/>
          <w:i w:val="0"/>
          <w:sz w:val="20"/>
        </w:rPr>
        <w:t xml:space="preserve">. Silvester and </w:t>
      </w:r>
      <w:r>
        <w:rPr>
          <w:rFonts w:ascii="Arial" w:eastAsia="Arial" w:hAnsi="Arial" w:cs="Arial"/>
          <w:b w:val="0"/>
          <w:i w:val="0"/>
          <w:sz w:val="20"/>
        </w:rPr>
        <w:t xml:space="preserve">Ms. Gregory, given their shareholdings, unvested LTI awards, tenure on the executive team, and total compensation structure, should experience relatively more volatility in their bonus awards than our other executives based on our financial results.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Compensation Committee believes overly weighting the financial component of the bonus awards could </w:t>
      </w:r>
      <w:r>
        <w:rPr>
          <w:rFonts w:ascii="Arial" w:eastAsia="Arial" w:hAnsi="Arial" w:cs="Arial"/>
          <w:b w:val="0"/>
          <w:i w:val="0"/>
          <w:sz w:val="20"/>
        </w:rPr>
        <w:t>incentivize</w:t>
      </w:r>
      <w:r>
        <w:rPr>
          <w:rFonts w:ascii="Arial" w:eastAsia="Arial" w:hAnsi="Arial" w:cs="Arial"/>
          <w:b w:val="0"/>
          <w:i w:val="0"/>
          <w:sz w:val="20"/>
        </w:rPr>
        <w:t xml:space="preserve"> executives to take actions (or refrain from taking actions) that prioritize near term performance at the expense of long-term strategy execution. The Compensation Committee therefore applies </w:t>
      </w:r>
      <w:r>
        <w:rPr>
          <w:rFonts w:ascii="Arial" w:eastAsia="Arial" w:hAnsi="Arial" w:cs="Arial"/>
          <w:b w:val="0"/>
          <w:i w:val="0"/>
          <w:sz w:val="20"/>
        </w:rPr>
        <w:t>meaningful</w:t>
      </w:r>
      <w:r>
        <w:rPr>
          <w:rFonts w:ascii="Arial" w:eastAsia="Arial" w:hAnsi="Arial" w:cs="Arial"/>
          <w:b w:val="0"/>
          <w:i w:val="0"/>
          <w:sz w:val="20"/>
        </w:rPr>
        <w:t xml:space="preserve"> weighting to the corporate and individual components of bonus awards to incentivize executives to focus on process goals that support the Company's Board-approved long-term strategy, operational performance and other important initiatives that are expected to create long-term value for shareholders and further our acquisitive and opportunistic business model.</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sectPr>
          <w:headerReference w:type="default" r:id="rId224"/>
          <w:footerReference w:type="default" r:id="rId225"/>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0"/>
          <w:u w:val="none"/>
        </w:rPr>
      </w:pPr>
      <w:bookmarkStart w:id="77" w:name="Section80"/>
      <w:bookmarkEnd w:id="77"/>
    </w:p>
    <w:p>
      <w:pPr>
        <w:keepNext w:val="0"/>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2023</w:t>
      </w:r>
      <w:r>
        <w:rPr>
          <w:rFonts w:ascii="Arial" w:eastAsia="Arial" w:hAnsi="Arial" w:cs="Arial"/>
          <w:b/>
          <w:i w:val="0"/>
          <w:color w:val="4495D1"/>
          <w:sz w:val="20"/>
          <w:u w:val="none"/>
        </w:rPr>
        <w:t xml:space="preserve"> Bonus Award Opportunity</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For each of the financial, corporate and individual components of our scorecard, the Compensation Committee establishes threshold, target, and maximum bonus award opportunity levels for each executive officer, which are expressed as a percentage of base salary. The award opportunity levels were established consistent with the Compensation Committee's view of the appropriate level of AIP compensation for the executive's role as well as market practice, competitive conditions for similar roles, and the executive's historic level of bonus award opportunities. There were no changes </w:t>
      </w:r>
      <w:r>
        <w:rPr>
          <w:rFonts w:ascii="Arial" w:eastAsia="Arial" w:hAnsi="Arial" w:cs="Arial"/>
          <w:b w:val="0"/>
          <w:i w:val="0"/>
          <w:sz w:val="20"/>
        </w:rPr>
        <w:t xml:space="preserve">to individual award opportunity levels for </w:t>
      </w:r>
      <w:r>
        <w:rPr>
          <w:rFonts w:ascii="Arial" w:eastAsia="Arial" w:hAnsi="Arial" w:cs="Arial"/>
          <w:b w:val="0"/>
          <w:i w:val="0"/>
          <w:sz w:val="20"/>
        </w:rPr>
        <w:t>2023 for our named executive</w:t>
      </w:r>
      <w:r>
        <w:rPr>
          <w:rFonts w:ascii="Arial" w:eastAsia="Arial" w:hAnsi="Arial" w:cs="Arial"/>
          <w:b w:val="0"/>
          <w:i w:val="0"/>
          <w:sz w:val="20"/>
        </w:rPr>
        <w:t xml:space="preserve"> officers</w:t>
      </w:r>
      <w:r>
        <w:rPr>
          <w:rFonts w:ascii="Arial" w:eastAsia="Arial" w:hAnsi="Arial" w:cs="Arial"/>
          <w:b w:val="0"/>
          <w:i w:val="0"/>
          <w:sz w:val="20"/>
        </w:rPr>
        <w: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table below sets forth each executive's bonus award opportunity, expressed as a percentage of base salary. Actual payouts for performance between threshold, target and maximum are determined by straight-line interpolation. </w:t>
      </w: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100"/>
        <w:gridCol w:w="2040"/>
        <w:gridCol w:w="2040"/>
        <w:gridCol w:w="2040"/>
        <w:gridCol w:w="2040"/>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35"/>
          <w:jc w:val="left"/>
        </w:trPr>
        <w:tc>
          <w:tcPr>
            <w:tcW w:w="2100"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ind w:left="90"/>
              <w:jc w:val="left"/>
            </w:pPr>
            <w:r>
              <w:rPr>
                <w:rFonts w:ascii="Arial" w:eastAsia="Arial" w:hAnsi="Arial" w:cs="Arial"/>
                <w:b/>
                <w:i w:val="0"/>
                <w:color w:val="FFFFFF"/>
                <w:sz w:val="16"/>
                <w:u w:val="none"/>
              </w:rPr>
              <w:t>Executive</w:t>
            </w:r>
          </w:p>
        </w:tc>
        <w:tc>
          <w:tcPr>
            <w:tcW w:w="2040" w:type="dxa"/>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after="30" w:line="288" w:lineRule="auto"/>
              <w:jc w:val="right"/>
            </w:pPr>
            <w:r>
              <w:rPr>
                <w:rFonts w:ascii="Arial" w:eastAsia="Arial" w:hAnsi="Arial" w:cs="Arial"/>
                <w:b/>
                <w:i w:val="0"/>
                <w:color w:val="FFFFFF"/>
                <w:sz w:val="16"/>
                <w:u w:val="none"/>
              </w:rPr>
              <w:t>Reference Base Salary</w:t>
            </w:r>
          </w:p>
        </w:tc>
        <w:tc>
          <w:tcPr>
            <w:tcW w:w="2040"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line="288" w:lineRule="auto"/>
              <w:jc w:val="center"/>
            </w:pPr>
            <w:r>
              <w:rPr>
                <w:rFonts w:ascii="Arial" w:eastAsia="Arial" w:hAnsi="Arial" w:cs="Arial"/>
                <w:b/>
                <w:i w:val="0"/>
                <w:color w:val="FFFFFF"/>
                <w:sz w:val="16"/>
                <w:u w:val="none"/>
              </w:rPr>
              <w:t xml:space="preserve">Threshold </w:t>
            </w:r>
          </w:p>
          <w:p>
            <w:pPr>
              <w:spacing w:after="30" w:line="288" w:lineRule="auto"/>
              <w:jc w:val="center"/>
            </w:pPr>
            <w:r>
              <w:rPr>
                <w:rFonts w:ascii="Arial" w:eastAsia="Arial" w:hAnsi="Arial" w:cs="Arial"/>
                <w:b/>
                <w:i w:val="0"/>
                <w:color w:val="FFFFFF"/>
                <w:sz w:val="16"/>
                <w:u w:val="none"/>
              </w:rPr>
              <w:t>(% of Base Salary)</w:t>
            </w:r>
          </w:p>
        </w:tc>
        <w:tc>
          <w:tcPr>
            <w:tcW w:w="2040"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line="288" w:lineRule="auto"/>
              <w:jc w:val="center"/>
            </w:pPr>
            <w:r>
              <w:rPr>
                <w:rFonts w:ascii="Arial" w:eastAsia="Arial" w:hAnsi="Arial" w:cs="Arial"/>
                <w:b/>
                <w:i w:val="0"/>
                <w:color w:val="FFFFFF"/>
                <w:sz w:val="16"/>
                <w:u w:val="none"/>
              </w:rPr>
              <w:t xml:space="preserve">Target </w:t>
            </w:r>
          </w:p>
          <w:p>
            <w:pPr>
              <w:spacing w:after="30" w:line="288" w:lineRule="auto"/>
              <w:jc w:val="center"/>
            </w:pPr>
            <w:r>
              <w:rPr>
                <w:rFonts w:ascii="Arial" w:eastAsia="Arial" w:hAnsi="Arial" w:cs="Arial"/>
                <w:b/>
                <w:i w:val="0"/>
                <w:color w:val="FFFFFF"/>
                <w:sz w:val="16"/>
                <w:u w:val="none"/>
              </w:rPr>
              <w:t>(% of Base Salary)</w:t>
            </w:r>
          </w:p>
        </w:tc>
        <w:tc>
          <w:tcPr>
            <w:tcW w:w="2040"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line="288" w:lineRule="auto"/>
              <w:jc w:val="center"/>
            </w:pPr>
            <w:r>
              <w:rPr>
                <w:rFonts w:ascii="Arial" w:eastAsia="Arial" w:hAnsi="Arial" w:cs="Arial"/>
                <w:b/>
                <w:i w:val="0"/>
                <w:color w:val="FFFFFF"/>
                <w:sz w:val="16"/>
                <w:u w:val="none"/>
              </w:rPr>
              <w:t>Maximum</w:t>
            </w:r>
          </w:p>
          <w:p>
            <w:pPr>
              <w:spacing w:after="30" w:line="288" w:lineRule="auto"/>
              <w:jc w:val="center"/>
            </w:pPr>
            <w:r>
              <w:rPr>
                <w:rFonts w:ascii="Arial" w:eastAsia="Arial" w:hAnsi="Arial" w:cs="Arial"/>
                <w:b/>
                <w:i w:val="0"/>
                <w:color w:val="FFFFFF"/>
                <w:sz w:val="16"/>
                <w:u w:val="none"/>
              </w:rPr>
              <w:t>(% of Base Salary)</w:t>
            </w:r>
          </w:p>
        </w:tc>
      </w:tr>
      <w:tr>
        <w:tblPrEx>
          <w:tblW w:w="10260" w:type="dxa"/>
          <w:jc w:val="left"/>
          <w:tblInd w:w="0" w:type="dxa"/>
          <w:tblLayout w:type="fixed"/>
          <w:tblCellMar>
            <w:left w:w="108" w:type="dxa"/>
            <w:right w:w="108" w:type="dxa"/>
          </w:tblCellMar>
        </w:tblPrEx>
        <w:trPr>
          <w:cantSplit/>
          <w:trHeight w:hRule="exact" w:val="105"/>
          <w:jc w:val="left"/>
        </w:trPr>
        <w:tc>
          <w:tcPr>
            <w:tcW w:w="210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204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204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204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204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300"/>
          <w:jc w:val="left"/>
        </w:trPr>
        <w:tc>
          <w:tcPr>
            <w:tcW w:w="2100"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Dominic Silvester</w:t>
            </w:r>
          </w:p>
        </w:tc>
        <w:tc>
          <w:tcPr>
            <w:tcW w:w="2040" w:type="dxa"/>
            <w:tcBorders>
              <w:top w:val="nil"/>
              <w:left w:val="nil"/>
              <w:bottom w:val="nil"/>
              <w:right w:val="nil"/>
            </w:tcBorders>
            <w:shd w:val="clear" w:color="auto" w:fill="DBDBDB"/>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8"/>
                <w:u w:val="none"/>
              </w:rPr>
              <w:t>$2,500,000</w:t>
            </w:r>
          </w:p>
        </w:tc>
        <w:tc>
          <w:tcPr>
            <w:tcW w:w="2040"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100%</w:t>
            </w:r>
          </w:p>
        </w:tc>
        <w:tc>
          <w:tcPr>
            <w:tcW w:w="2040"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150%</w:t>
            </w:r>
          </w:p>
        </w:tc>
        <w:tc>
          <w:tcPr>
            <w:tcW w:w="2040"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180%</w:t>
            </w:r>
          </w:p>
        </w:tc>
      </w:tr>
      <w:tr>
        <w:tblPrEx>
          <w:tblW w:w="10260" w:type="dxa"/>
          <w:jc w:val="left"/>
          <w:tblInd w:w="0" w:type="dxa"/>
          <w:tblLayout w:type="fixed"/>
          <w:tblCellMar>
            <w:left w:w="108" w:type="dxa"/>
            <w:right w:w="108" w:type="dxa"/>
          </w:tblCellMar>
        </w:tblPrEx>
        <w:trPr>
          <w:cantSplit/>
          <w:trHeight w:hRule="exact" w:val="300"/>
          <w:jc w:val="left"/>
        </w:trPr>
        <w:tc>
          <w:tcPr>
            <w:tcW w:w="2100"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M</w:t>
            </w:r>
            <w:r>
              <w:rPr>
                <w:rFonts w:ascii="Arial" w:eastAsia="Arial" w:hAnsi="Arial" w:cs="Arial"/>
                <w:b w:val="0"/>
                <w:i w:val="0"/>
                <w:sz w:val="18"/>
              </w:rPr>
              <w:t>atthew Kirk</w:t>
            </w:r>
          </w:p>
        </w:tc>
        <w:tc>
          <w:tcPr>
            <w:tcW w:w="204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$550,000</w:t>
            </w:r>
          </w:p>
        </w:tc>
        <w:tc>
          <w:tcPr>
            <w:tcW w:w="204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60%</w:t>
            </w:r>
          </w:p>
        </w:tc>
        <w:tc>
          <w:tcPr>
            <w:tcW w:w="204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100%</w:t>
            </w:r>
          </w:p>
        </w:tc>
        <w:tc>
          <w:tcPr>
            <w:tcW w:w="204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140%</w:t>
            </w:r>
          </w:p>
        </w:tc>
      </w:tr>
      <w:tr>
        <w:tblPrEx>
          <w:tblW w:w="10260" w:type="dxa"/>
          <w:jc w:val="left"/>
          <w:tblInd w:w="0" w:type="dxa"/>
          <w:tblLayout w:type="fixed"/>
          <w:tblCellMar>
            <w:left w:w="108" w:type="dxa"/>
            <w:right w:w="108" w:type="dxa"/>
          </w:tblCellMar>
        </w:tblPrEx>
        <w:trPr>
          <w:cantSplit/>
          <w:trHeight w:hRule="exact" w:val="300"/>
          <w:jc w:val="left"/>
        </w:trPr>
        <w:tc>
          <w:tcPr>
            <w:tcW w:w="2100"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Orla Gregory</w:t>
            </w:r>
          </w:p>
        </w:tc>
        <w:tc>
          <w:tcPr>
            <w:tcW w:w="2040"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$1,400,000</w:t>
            </w:r>
          </w:p>
        </w:tc>
        <w:tc>
          <w:tcPr>
            <w:tcW w:w="2040"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75%</w:t>
            </w:r>
          </w:p>
        </w:tc>
        <w:tc>
          <w:tcPr>
            <w:tcW w:w="2040"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145%</w:t>
            </w:r>
          </w:p>
        </w:tc>
        <w:tc>
          <w:tcPr>
            <w:tcW w:w="2040"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175%</w:t>
            </w:r>
          </w:p>
        </w:tc>
      </w:tr>
      <w:tr>
        <w:tblPrEx>
          <w:tblW w:w="10260" w:type="dxa"/>
          <w:jc w:val="left"/>
          <w:tblInd w:w="0" w:type="dxa"/>
          <w:tblLayout w:type="fixed"/>
          <w:tblCellMar>
            <w:left w:w="108" w:type="dxa"/>
            <w:right w:w="108" w:type="dxa"/>
          </w:tblCellMar>
        </w:tblPrEx>
        <w:trPr>
          <w:cantSplit/>
          <w:trHeight w:hRule="exact" w:val="300"/>
          <w:jc w:val="left"/>
        </w:trPr>
        <w:tc>
          <w:tcPr>
            <w:tcW w:w="2100"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Paul Brockman</w:t>
            </w:r>
          </w:p>
        </w:tc>
        <w:tc>
          <w:tcPr>
            <w:tcW w:w="204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$800,000</w:t>
            </w:r>
          </w:p>
        </w:tc>
        <w:tc>
          <w:tcPr>
            <w:tcW w:w="204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75%</w:t>
            </w:r>
          </w:p>
        </w:tc>
        <w:tc>
          <w:tcPr>
            <w:tcW w:w="204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125%</w:t>
            </w:r>
          </w:p>
        </w:tc>
        <w:tc>
          <w:tcPr>
            <w:tcW w:w="204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150%</w:t>
            </w:r>
          </w:p>
        </w:tc>
      </w:tr>
      <w:tr>
        <w:tblPrEx>
          <w:tblW w:w="10260" w:type="dxa"/>
          <w:jc w:val="left"/>
          <w:tblInd w:w="0" w:type="dxa"/>
          <w:tblLayout w:type="fixed"/>
          <w:tblCellMar>
            <w:left w:w="108" w:type="dxa"/>
            <w:right w:w="108" w:type="dxa"/>
          </w:tblCellMar>
        </w:tblPrEx>
        <w:trPr>
          <w:cantSplit/>
          <w:trHeight w:hRule="exact" w:val="300"/>
          <w:jc w:val="left"/>
        </w:trPr>
        <w:tc>
          <w:tcPr>
            <w:tcW w:w="2100"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David Ni</w:t>
            </w:r>
          </w:p>
        </w:tc>
        <w:tc>
          <w:tcPr>
            <w:tcW w:w="2040"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$900,000</w:t>
            </w:r>
          </w:p>
        </w:tc>
        <w:tc>
          <w:tcPr>
            <w:tcW w:w="2040"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75%</w:t>
            </w:r>
          </w:p>
        </w:tc>
        <w:tc>
          <w:tcPr>
            <w:tcW w:w="2040"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150%</w:t>
            </w:r>
          </w:p>
        </w:tc>
        <w:tc>
          <w:tcPr>
            <w:tcW w:w="2040"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8"/>
                <w:u w:val="none"/>
              </w:rPr>
              <w:t>175%</w:t>
            </w:r>
          </w:p>
        </w:tc>
      </w:tr>
      <w:tr>
        <w:tblPrEx>
          <w:tblW w:w="10260" w:type="dxa"/>
          <w:jc w:val="left"/>
          <w:tblInd w:w="0" w:type="dxa"/>
          <w:tblLayout w:type="fixed"/>
          <w:tblCellMar>
            <w:left w:w="108" w:type="dxa"/>
            <w:right w:w="108" w:type="dxa"/>
          </w:tblCellMar>
        </w:tblPrEx>
        <w:trPr>
          <w:cantSplit/>
          <w:trHeight w:hRule="exact" w:val="300"/>
          <w:jc w:val="left"/>
        </w:trPr>
        <w:tc>
          <w:tcPr>
            <w:tcW w:w="2100" w:type="dxa"/>
            <w:tcBorders>
              <w:top w:val="nil"/>
              <w:left w:val="nil"/>
              <w:bottom w:val="nil"/>
              <w:right w:val="nil"/>
            </w:tcBorders>
            <w:shd w:val="clear" w:color="auto" w:fill="FFFFFF"/>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N</w:t>
            </w:r>
            <w:r>
              <w:rPr>
                <w:rFonts w:ascii="Arial" w:eastAsia="Arial" w:hAnsi="Arial" w:cs="Arial"/>
                <w:b w:val="0"/>
                <w:i w:val="0"/>
                <w:sz w:val="18"/>
              </w:rPr>
              <w:t>azar Alobaidat</w:t>
            </w:r>
          </w:p>
        </w:tc>
        <w:tc>
          <w:tcPr>
            <w:tcW w:w="2040" w:type="dxa"/>
            <w:tcBorders>
              <w:top w:val="nil"/>
              <w:left w:val="nil"/>
              <w:bottom w:val="nil"/>
              <w:right w:val="nil"/>
            </w:tcBorders>
            <w:shd w:val="clear" w:color="auto" w:fill="FFFFFF"/>
            <w:tcMar>
              <w:top w:w="0" w:type="dxa"/>
              <w:left w:w="53" w:type="dxa"/>
              <w:bottom w:w="0" w:type="dxa"/>
              <w:right w:w="15" w:type="dxa"/>
            </w:tcMar>
            <w:vAlign w:val="center"/>
          </w:tcPr>
          <w:p>
            <w:pPr>
              <w:pageBreakBefore w:val="0"/>
              <w:spacing w:before="0" w:after="0" w:line="240" w:lineRule="auto"/>
              <w:jc w:val="center"/>
            </w:pPr>
            <w:r>
              <w:rPr>
                <w:rFonts w:ascii="Arial" w:eastAsia="Arial" w:hAnsi="Arial" w:cs="Arial"/>
                <w:b w:val="0"/>
                <w:i w:val="0"/>
                <w:color w:val="000000"/>
                <w:sz w:val="18"/>
                <w:u w:val="none"/>
              </w:rPr>
              <w:t>$650,000</w:t>
            </w:r>
          </w:p>
        </w:tc>
        <w:tc>
          <w:tcPr>
            <w:tcW w:w="2040" w:type="dxa"/>
            <w:tcBorders>
              <w:top w:val="nil"/>
              <w:left w:val="nil"/>
              <w:bottom w:val="nil"/>
              <w:right w:val="nil"/>
            </w:tcBorders>
            <w:shd w:val="clear" w:color="auto" w:fill="FFFFFF"/>
            <w:tcMar>
              <w:top w:w="0" w:type="dxa"/>
              <w:left w:w="53" w:type="dxa"/>
              <w:bottom w:w="0" w:type="dxa"/>
              <w:right w:w="15" w:type="dxa"/>
            </w:tcMar>
            <w:vAlign w:val="center"/>
          </w:tcPr>
          <w:p>
            <w:pPr>
              <w:pageBreakBefore w:val="0"/>
              <w:spacing w:before="0" w:after="0" w:line="240" w:lineRule="auto"/>
              <w:jc w:val="center"/>
            </w:pPr>
            <w:r>
              <w:rPr>
                <w:rFonts w:ascii="Arial" w:eastAsia="Arial" w:hAnsi="Arial" w:cs="Arial"/>
                <w:b w:val="0"/>
                <w:i w:val="0"/>
                <w:color w:val="000000"/>
                <w:sz w:val="18"/>
                <w:u w:val="none"/>
              </w:rPr>
              <w:t>60%</w:t>
            </w:r>
          </w:p>
        </w:tc>
        <w:tc>
          <w:tcPr>
            <w:tcW w:w="2040" w:type="dxa"/>
            <w:tcBorders>
              <w:top w:val="nil"/>
              <w:left w:val="nil"/>
              <w:bottom w:val="nil"/>
              <w:right w:val="nil"/>
            </w:tcBorders>
            <w:shd w:val="clear" w:color="auto" w:fill="FFFFFF"/>
            <w:tcMar>
              <w:top w:w="0" w:type="dxa"/>
              <w:left w:w="53" w:type="dxa"/>
              <w:bottom w:w="0" w:type="dxa"/>
              <w:right w:w="15" w:type="dxa"/>
            </w:tcMar>
            <w:vAlign w:val="center"/>
          </w:tcPr>
          <w:p>
            <w:pPr>
              <w:pageBreakBefore w:val="0"/>
              <w:spacing w:before="0" w:after="0" w:line="240" w:lineRule="auto"/>
              <w:jc w:val="center"/>
            </w:pPr>
            <w:r>
              <w:rPr>
                <w:rFonts w:ascii="Arial" w:eastAsia="Arial" w:hAnsi="Arial" w:cs="Arial"/>
                <w:b w:val="0"/>
                <w:i w:val="0"/>
                <w:color w:val="000000"/>
                <w:sz w:val="18"/>
                <w:u w:val="none"/>
              </w:rPr>
              <w:t>125%</w:t>
            </w:r>
          </w:p>
        </w:tc>
        <w:tc>
          <w:tcPr>
            <w:tcW w:w="2040" w:type="dxa"/>
            <w:tcBorders>
              <w:top w:val="nil"/>
              <w:left w:val="nil"/>
              <w:bottom w:val="nil"/>
              <w:right w:val="nil"/>
            </w:tcBorders>
            <w:shd w:val="clear" w:color="auto" w:fill="FFFFFF"/>
            <w:tcMar>
              <w:top w:w="0" w:type="dxa"/>
              <w:left w:w="53" w:type="dxa"/>
              <w:bottom w:w="0" w:type="dxa"/>
              <w:right w:w="15" w:type="dxa"/>
            </w:tcMar>
            <w:vAlign w:val="center"/>
          </w:tcPr>
          <w:p>
            <w:pPr>
              <w:pageBreakBefore w:val="0"/>
              <w:spacing w:before="0" w:after="0" w:line="240" w:lineRule="auto"/>
              <w:jc w:val="center"/>
            </w:pPr>
            <w:r>
              <w:rPr>
                <w:rFonts w:ascii="Arial" w:eastAsia="Arial" w:hAnsi="Arial" w:cs="Arial"/>
                <w:b w:val="0"/>
                <w:i w:val="0"/>
                <w:color w:val="000000"/>
                <w:sz w:val="18"/>
                <w:u w:val="none"/>
              </w:rPr>
              <w:t>150%</w:t>
            </w:r>
          </w:p>
        </w:tc>
      </w:tr>
    </w:tbl>
    <w:p>
      <w:pPr>
        <w:keepNext w:val="0"/>
        <w:keepLines/>
        <w:pageBreakBefore w:val="0"/>
        <w:widowControl w:val="0"/>
        <w:numPr>
          <w:ilvl w:val="0"/>
          <w:numId w:val="0"/>
        </w:numPr>
        <w:spacing w:before="0" w:after="120" w:line="288" w:lineRule="auto"/>
        <w:ind w:left="0" w:right="0" w:firstLine="0"/>
        <w:jc w:val="left"/>
        <w:outlineLvl w:val="9"/>
        <w:rPr>
          <w:rFonts w:ascii="Times New Roman" w:eastAsia="Times New Roman" w:hAnsi="Times New Roman" w:cs="Times New Roman"/>
          <w:b w:val="0"/>
          <w:i w:val="0"/>
          <w:color w:val="FF0090"/>
          <w:sz w:val="2"/>
          <w:u w:val="none"/>
        </w:rPr>
      </w:pPr>
    </w:p>
    <w:p>
      <w:pPr>
        <w:keepNext w:val="0"/>
        <w:keepLines/>
        <w:pageBreakBefore w:val="0"/>
        <w:widowControl w:val="0"/>
        <w:numPr>
          <w:ilvl w:val="0"/>
          <w:numId w:val="0"/>
        </w:numPr>
        <w:spacing w:before="0" w:after="120" w:line="288" w:lineRule="auto"/>
        <w:ind w:left="0" w:right="0" w:firstLine="0"/>
        <w:jc w:val="left"/>
        <w:outlineLvl w:val="9"/>
        <w:rPr>
          <w:rFonts w:ascii="Times New Roman" w:eastAsia="Times New Roman" w:hAnsi="Times New Roman" w:cs="Times New Roman"/>
          <w:b w:val="0"/>
          <w:i w:val="0"/>
          <w:color w:val="FF0090"/>
          <w:sz w:val="2"/>
          <w:u w:val="none"/>
        </w:rPr>
        <w:sectPr>
          <w:headerReference w:type="default" r:id="rId226"/>
          <w:footerReference w:type="default" r:id="rId227"/>
          <w:type w:val="continuous"/>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180" w:right="0" w:firstLine="180"/>
        <w:jc w:val="both"/>
        <w:outlineLvl w:val="9"/>
        <w:rPr>
          <w:rFonts w:ascii="Arial" w:eastAsia="Arial" w:hAnsi="Arial" w:cs="Arial"/>
          <w:b/>
          <w:i w:val="0"/>
          <w:color w:val="4495D1"/>
          <w:sz w:val="20"/>
          <w:u w:val="none"/>
        </w:rPr>
      </w:pPr>
      <w:bookmarkStart w:id="78" w:name="Section81"/>
      <w:bookmarkEnd w:id="78"/>
    </w:p>
    <w:p>
      <w:pPr>
        <w:keepNext/>
        <w:keepLines w:val="0"/>
        <w:pageBreakBefore w:val="0"/>
        <w:widowControl/>
        <w:numPr>
          <w:ilvl w:val="0"/>
          <w:numId w:val="0"/>
        </w:numPr>
        <w:spacing w:before="0" w:after="60" w:line="288" w:lineRule="auto"/>
        <w:ind w:left="0" w:right="0" w:firstLine="0"/>
        <w:jc w:val="both"/>
        <w:outlineLvl w:val="3"/>
        <w:rPr>
          <w:rFonts w:ascii="Arial" w:eastAsia="Arial" w:hAnsi="Arial" w:cs="Arial"/>
          <w:b/>
          <w:i w:val="0"/>
          <w:color w:val="4495D1"/>
          <w:sz w:val="20"/>
          <w:u w:val="none"/>
        </w:rPr>
      </w:pPr>
      <w:r>
        <w:rPr>
          <w:rFonts w:ascii="Arial" w:eastAsia="Arial" w:hAnsi="Arial" w:cs="Arial"/>
          <w:b/>
          <w:i w:val="0"/>
          <w:color w:val="4495D1"/>
          <w:sz w:val="20"/>
          <w:u w:val="none"/>
        </w:rPr>
        <w:t>Financial Component</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Compensation Committee reviewed the Company's </w:t>
      </w:r>
      <w:r>
        <w:rPr>
          <w:rFonts w:ascii="Arial" w:eastAsia="Arial" w:hAnsi="Arial" w:cs="Arial"/>
          <w:b w:val="0"/>
          <w:i w:val="0"/>
          <w:color w:val="000000"/>
          <w:sz w:val="20"/>
          <w:u w:val="none"/>
        </w:rPr>
        <w:t>2023</w:t>
      </w:r>
      <w:r>
        <w:rPr>
          <w:rFonts w:ascii="Arial" w:eastAsia="Arial" w:hAnsi="Arial" w:cs="Arial"/>
          <w:b w:val="0"/>
          <w:i w:val="0"/>
          <w:sz w:val="20"/>
        </w:rPr>
        <w:t xml:space="preserve"> business plan with the full Board and selected Adjusted ROE as the sole financial metric for the financial component of the executives' bonus awards</w:t>
      </w:r>
      <w:r>
        <w:rPr>
          <w:rFonts w:ascii="Arial" w:eastAsia="Arial" w:hAnsi="Arial" w:cs="Arial"/>
          <w:b w:val="0"/>
          <w:i w:val="0"/>
          <w:sz w:val="20"/>
        </w:rPr>
        <w:t>, consistent with the prior year</w:t>
      </w:r>
      <w:r>
        <w:rPr>
          <w:rFonts w:ascii="Arial" w:eastAsia="Arial" w:hAnsi="Arial" w:cs="Arial"/>
          <w:b w:val="0"/>
          <w:i w:val="0"/>
          <w:sz w:val="20"/>
        </w:rPr>
        <w:t xml:space="preserve">. </w:t>
      </w:r>
      <w:r>
        <w:rPr>
          <w:rFonts w:ascii="Arial" w:eastAsia="Arial" w:hAnsi="Arial" w:cs="Arial"/>
          <w:b w:val="0"/>
          <w:i w:val="0"/>
          <w:sz w:val="20"/>
        </w:rPr>
        <w:t xml:space="preserve">The Adjusted ROE metric </w:t>
      </w:r>
      <w:r>
        <w:rPr>
          <w:rFonts w:ascii="Arial" w:eastAsia="Arial" w:hAnsi="Arial" w:cs="Arial"/>
          <w:b w:val="0"/>
          <w:i w:val="0"/>
          <w:sz w:val="20"/>
        </w:rPr>
        <w:t xml:space="preserve">provides </w:t>
      </w:r>
      <w:r>
        <w:rPr>
          <w:rFonts w:ascii="Arial" w:eastAsia="Arial" w:hAnsi="Arial" w:cs="Arial"/>
          <w:b w:val="0"/>
          <w:i w:val="0"/>
          <w:sz w:val="20"/>
        </w:rPr>
        <w:t xml:space="preserve">a basis for evaluating </w:t>
      </w:r>
      <w:r>
        <w:rPr>
          <w:rFonts w:ascii="Arial" w:eastAsia="Arial" w:hAnsi="Arial" w:cs="Arial"/>
          <w:b w:val="0"/>
          <w:i w:val="0"/>
          <w:sz w:val="20"/>
        </w:rPr>
        <w:t>our core operational performance across periods</w:t>
      </w:r>
      <w:r>
        <w:rPr>
          <w:rFonts w:ascii="Arial" w:eastAsia="Arial" w:hAnsi="Arial" w:cs="Arial"/>
          <w:b w:val="0"/>
          <w:i w:val="0"/>
          <w:sz w:val="20"/>
        </w:rPr>
        <w:t xml:space="preserve">. </w:t>
      </w:r>
      <w:r>
        <w:rPr>
          <w:rFonts w:ascii="Arial" w:eastAsia="Arial" w:hAnsi="Arial" w:cs="Arial"/>
          <w:b w:val="0"/>
          <w:i w:val="0"/>
          <w:sz w:val="20"/>
        </w:rPr>
        <w:t xml:space="preserve">The measure </w:t>
      </w:r>
      <w:r>
        <w:rPr>
          <w:rFonts w:ascii="Arial" w:eastAsia="Arial" w:hAnsi="Arial" w:cs="Arial"/>
          <w:b w:val="0"/>
          <w:i w:val="0"/>
          <w:sz w:val="20"/>
        </w:rPr>
        <w:t>adjusts</w:t>
      </w:r>
      <w:r>
        <w:rPr>
          <w:rFonts w:ascii="Arial" w:eastAsia="Arial" w:hAnsi="Arial" w:cs="Arial"/>
          <w:b w:val="0"/>
          <w:i w:val="0"/>
          <w:sz w:val="20"/>
        </w:rPr>
        <w:t xml:space="preserve"> for items such as net realized and unrealized (gains) losses on fixed maturity investments and funds held</w:t>
      </w:r>
      <w:r>
        <w:rPr>
          <w:rFonts w:ascii="Arial" w:eastAsia="Arial" w:hAnsi="Arial" w:cs="Arial"/>
          <w:b w:val="0"/>
          <w:i w:val="0"/>
          <w:sz w:val="20"/>
        </w:rPr>
        <w:t xml:space="preserve"> </w:t>
      </w:r>
      <w:r>
        <w:rPr>
          <w:rFonts w:ascii="Arial" w:eastAsia="Arial" w:hAnsi="Arial" w:cs="Arial"/>
          <w:b w:val="0"/>
          <w:i w:val="0"/>
          <w:sz w:val="20"/>
        </w:rPr>
        <w:t xml:space="preserve">directly managed assets, which are impacted by </w:t>
      </w:r>
      <w:r>
        <w:rPr>
          <w:rFonts w:ascii="Arial" w:eastAsia="Arial" w:hAnsi="Arial" w:cs="Arial"/>
          <w:b w:val="0"/>
          <w:i w:val="0"/>
          <w:sz w:val="20"/>
        </w:rPr>
        <w:t xml:space="preserve">external market </w:t>
      </w:r>
      <w:r>
        <w:rPr>
          <w:rFonts w:ascii="Arial" w:eastAsia="Arial" w:hAnsi="Arial" w:cs="Arial"/>
          <w:b w:val="0"/>
          <w:i w:val="0"/>
          <w:sz w:val="20"/>
        </w:rPr>
        <w:t>factors such as credit spreads and interest rates</w:t>
      </w:r>
      <w:r>
        <w:rPr>
          <w:rFonts w:ascii="Arial" w:eastAsia="Arial" w:hAnsi="Arial" w:cs="Arial"/>
          <w:b w:val="0"/>
          <w:i w:val="0"/>
          <w:sz w:val="20"/>
        </w:rPr>
        <w:t xml:space="preserve"> and deemed less relevant to measuring performance because our long term strategy is to hold most of our fixed maturity securities until the earlier of maturity or the time that they are used to fund any settlement of related liabilities. </w:t>
      </w:r>
      <w:r>
        <w:rPr>
          <w:rFonts w:ascii="Arial" w:eastAsia="Arial" w:hAnsi="Arial" w:cs="Arial"/>
          <w:b w:val="0"/>
          <w:i w:val="0"/>
          <w:sz w:val="20"/>
        </w:rPr>
        <w:t xml:space="preserve">The measure </w:t>
      </w:r>
      <w:r>
        <w:rPr>
          <w:rFonts w:ascii="Arial" w:eastAsia="Arial" w:hAnsi="Arial" w:cs="Arial"/>
          <w:b w:val="0"/>
          <w:i w:val="0"/>
          <w:sz w:val="20"/>
        </w:rPr>
        <w:t xml:space="preserve">also removes the impact of </w:t>
      </w:r>
      <w:r>
        <w:rPr>
          <w:rFonts w:ascii="Arial" w:eastAsia="Arial" w:hAnsi="Arial" w:cs="Arial"/>
          <w:b w:val="0"/>
          <w:i w:val="0"/>
          <w:sz w:val="20"/>
        </w:rPr>
        <w:t xml:space="preserve">the </w:t>
      </w:r>
      <w:r>
        <w:rPr>
          <w:rFonts w:ascii="Arial" w:eastAsia="Arial" w:hAnsi="Arial" w:cs="Arial"/>
          <w:b w:val="0"/>
          <w:i w:val="0"/>
          <w:sz w:val="20"/>
        </w:rPr>
        <w:t>fair value option accounting election and the amortization of fair value adjustments, which comprise</w:t>
      </w:r>
      <w:r>
        <w:rPr>
          <w:rFonts w:ascii="Arial" w:eastAsia="Arial" w:hAnsi="Arial" w:cs="Arial"/>
          <w:b w:val="0"/>
          <w:i w:val="0"/>
          <w:sz w:val="20"/>
        </w:rPr>
        <w:t xml:space="preserve"> non-cash charges not reflective of the impact of our claims management strategies on our </w:t>
      </w:r>
      <w:r>
        <w:rPr>
          <w:rFonts w:ascii="Arial" w:eastAsia="Arial" w:hAnsi="Arial" w:cs="Arial"/>
          <w:b w:val="0"/>
          <w:i w:val="0"/>
          <w:sz w:val="20"/>
        </w:rPr>
        <w:t>insu</w:t>
      </w:r>
      <w:r>
        <w:rPr>
          <w:rFonts w:ascii="Arial" w:eastAsia="Arial" w:hAnsi="Arial" w:cs="Arial"/>
          <w:b w:val="0"/>
          <w:i w:val="0"/>
          <w:sz w:val="20"/>
        </w:rPr>
        <w:t xml:space="preserve">rance </w:t>
      </w:r>
      <w:r>
        <w:rPr>
          <w:rFonts w:ascii="Arial" w:eastAsia="Arial" w:hAnsi="Arial" w:cs="Arial"/>
          <w:b w:val="0"/>
          <w:i w:val="0"/>
          <w:sz w:val="20"/>
        </w:rPr>
        <w:t>portfolios.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In setting the Adjusted ROE performance levels for </w:t>
      </w:r>
      <w:r>
        <w:rPr>
          <w:rFonts w:ascii="Arial" w:eastAsia="Arial" w:hAnsi="Arial" w:cs="Arial"/>
          <w:b w:val="0"/>
          <w:i w:val="0"/>
          <w:color w:val="000000"/>
          <w:sz w:val="20"/>
          <w:u w:val="none"/>
        </w:rPr>
        <w:t>2023</w:t>
      </w:r>
      <w:r>
        <w:rPr>
          <w:rFonts w:ascii="Arial" w:eastAsia="Arial" w:hAnsi="Arial" w:cs="Arial"/>
          <w:b w:val="0"/>
          <w:i w:val="0"/>
          <w:sz w:val="20"/>
        </w:rPr>
        <w:t xml:space="preserve"> (shown in the table below), the Compensation Committee established a target level aligned to the Company's business plan forecast. We </w:t>
      </w:r>
      <w:r>
        <w:rPr>
          <w:rFonts w:ascii="Arial" w:eastAsia="Arial" w:hAnsi="Arial" w:cs="Arial"/>
          <w:b w:val="0"/>
          <w:i w:val="0"/>
          <w:sz w:val="20"/>
        </w:rPr>
        <w:t xml:space="preserve">align </w:t>
      </w:r>
      <w:r>
        <w:rPr>
          <w:rFonts w:ascii="Arial" w:eastAsia="Arial" w:hAnsi="Arial" w:cs="Arial"/>
          <w:b w:val="0"/>
          <w:i w:val="0"/>
          <w:sz w:val="20"/>
        </w:rPr>
        <w:t xml:space="preserve">annual incentive financial metric performance levels </w:t>
      </w:r>
      <w:r>
        <w:rPr>
          <w:rFonts w:ascii="Arial" w:eastAsia="Arial" w:hAnsi="Arial" w:cs="Arial"/>
          <w:b w:val="0"/>
          <w:i w:val="0"/>
          <w:sz w:val="20"/>
        </w:rPr>
        <w:t xml:space="preserve">to </w:t>
      </w:r>
      <w:r>
        <w:rPr>
          <w:rFonts w:ascii="Arial" w:eastAsia="Arial" w:hAnsi="Arial" w:cs="Arial"/>
          <w:b w:val="0"/>
          <w:i w:val="0"/>
          <w:sz w:val="20"/>
        </w:rPr>
        <w:t>our</w:t>
      </w:r>
      <w:r>
        <w:rPr>
          <w:rFonts w:ascii="Arial" w:eastAsia="Arial" w:hAnsi="Arial" w:cs="Arial"/>
          <w:b w:val="0"/>
          <w:i w:val="0"/>
          <w:sz w:val="20"/>
        </w:rPr>
        <w:t xml:space="preserve"> </w:t>
      </w:r>
      <w:r>
        <w:rPr>
          <w:rFonts w:ascii="Arial" w:eastAsia="Arial" w:hAnsi="Arial" w:cs="Arial"/>
          <w:b w:val="0"/>
          <w:i w:val="0"/>
          <w:sz w:val="20"/>
        </w:rPr>
        <w:t xml:space="preserve">annual </w:t>
      </w:r>
      <w:r>
        <w:rPr>
          <w:rFonts w:ascii="Arial" w:eastAsia="Arial" w:hAnsi="Arial" w:cs="Arial"/>
          <w:b w:val="0"/>
          <w:i w:val="0"/>
          <w:sz w:val="20"/>
        </w:rPr>
        <w:t>business plan</w:t>
      </w:r>
      <w:r>
        <w:rPr>
          <w:rFonts w:ascii="Arial" w:eastAsia="Arial" w:hAnsi="Arial" w:cs="Arial"/>
          <w:b w:val="0"/>
          <w:i w:val="0"/>
          <w:sz w:val="20"/>
        </w:rPr>
        <w:t xml:space="preserve"> </w:t>
      </w:r>
      <w:r>
        <w:rPr>
          <w:rFonts w:ascii="Arial" w:eastAsia="Arial" w:hAnsi="Arial" w:cs="Arial"/>
          <w:b w:val="0"/>
          <w:i w:val="0"/>
          <w:sz w:val="20"/>
        </w:rPr>
        <w:t>to ensure executives are incentivized to meet the plan targets without taking on undue risk. For 202</w:t>
      </w:r>
      <w:r>
        <w:rPr>
          <w:rFonts w:ascii="Arial" w:eastAsia="Arial" w:hAnsi="Arial" w:cs="Arial"/>
          <w:b w:val="0"/>
          <w:i w:val="0"/>
          <w:sz w:val="20"/>
        </w:rPr>
        <w:t>3</w:t>
      </w:r>
      <w:r>
        <w:rPr>
          <w:rFonts w:ascii="Arial" w:eastAsia="Arial" w:hAnsi="Arial" w:cs="Arial"/>
          <w:b w:val="0"/>
          <w:i w:val="0"/>
          <w:sz w:val="20"/>
        </w:rPr>
        <w:t xml:space="preserve">, the Company's business plan forecast was </w:t>
      </w:r>
      <w:r>
        <w:rPr>
          <w:rFonts w:ascii="Arial" w:eastAsia="Arial" w:hAnsi="Arial" w:cs="Arial"/>
          <w:b w:val="0"/>
          <w:i w:val="0"/>
          <w:sz w:val="20"/>
        </w:rPr>
        <w:t>relatively higher than previous years</w:t>
      </w:r>
      <w:r>
        <w:rPr>
          <w:rFonts w:ascii="Arial" w:eastAsia="Arial" w:hAnsi="Arial" w:cs="Arial"/>
          <w:b w:val="0"/>
          <w:i w:val="0"/>
          <w:sz w:val="20"/>
        </w:rPr>
        <w:t xml:space="preserve">, </w:t>
      </w:r>
      <w:r>
        <w:rPr>
          <w:rFonts w:ascii="Arial" w:eastAsia="Arial" w:hAnsi="Arial" w:cs="Arial"/>
          <w:b w:val="0"/>
          <w:i w:val="0"/>
          <w:color w:val="000000"/>
          <w:sz w:val="20"/>
          <w:u w:val="none"/>
        </w:rPr>
        <w:t xml:space="preserve">reflecting the impact of the </w:t>
      </w:r>
      <w:r>
        <w:rPr>
          <w:rFonts w:ascii="Arial" w:eastAsia="Arial" w:hAnsi="Arial" w:cs="Arial"/>
          <w:b w:val="0"/>
          <w:i w:val="0"/>
          <w:color w:val="000000"/>
          <w:sz w:val="20"/>
          <w:u w:val="none"/>
        </w:rPr>
        <w:t xml:space="preserve">expected </w:t>
      </w:r>
      <w:r>
        <w:rPr>
          <w:rFonts w:ascii="Arial" w:eastAsia="Arial" w:hAnsi="Arial" w:cs="Arial"/>
          <w:b w:val="0"/>
          <w:i w:val="0"/>
          <w:color w:val="000000"/>
          <w:sz w:val="20"/>
          <w:u w:val="none"/>
        </w:rPr>
        <w:t xml:space="preserve">unwinding </w:t>
      </w:r>
      <w:r>
        <w:rPr>
          <w:rFonts w:ascii="Arial" w:eastAsia="Arial" w:hAnsi="Arial" w:cs="Arial"/>
          <w:b w:val="0"/>
          <w:i w:val="0"/>
          <w:color w:val="000000"/>
          <w:sz w:val="20"/>
          <w:u w:val="none"/>
        </w:rPr>
        <w:t xml:space="preserve">of </w:t>
      </w:r>
      <w:r>
        <w:rPr>
          <w:rFonts w:ascii="Arial" w:eastAsia="Arial" w:hAnsi="Arial" w:cs="Arial"/>
          <w:b w:val="0"/>
          <w:i w:val="0"/>
          <w:color w:val="000000"/>
          <w:sz w:val="20"/>
          <w:u w:val="none"/>
        </w:rPr>
        <w:t>certain</w:t>
      </w:r>
      <w:r>
        <w:rPr>
          <w:rFonts w:ascii="Arial" w:eastAsia="Arial" w:hAnsi="Arial" w:cs="Arial"/>
          <w:b w:val="0"/>
          <w:i w:val="0"/>
          <w:color w:val="000000"/>
          <w:sz w:val="20"/>
          <w:u w:val="none"/>
        </w:rPr>
        <w:t xml:space="preserve"> prior year </w:t>
      </w:r>
      <w:r>
        <w:rPr>
          <w:rFonts w:ascii="Arial" w:eastAsia="Arial" w:hAnsi="Arial" w:cs="Arial"/>
          <w:b w:val="0"/>
          <w:i w:val="0"/>
          <w:color w:val="000000"/>
          <w:sz w:val="20"/>
          <w:u w:val="none"/>
        </w:rPr>
        <w:t>investment losses</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and more</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favorable</w:t>
      </w:r>
      <w:r>
        <w:rPr>
          <w:rFonts w:ascii="Arial" w:eastAsia="Arial" w:hAnsi="Arial" w:cs="Arial"/>
          <w:b w:val="0"/>
          <w:i w:val="0"/>
          <w:color w:val="000000"/>
          <w:sz w:val="20"/>
          <w:u w:val="none"/>
        </w:rPr>
        <w:t xml:space="preserve"> market conditions</w:t>
      </w:r>
      <w:r>
        <w:rPr>
          <w:rFonts w:ascii="Arial" w:eastAsia="Arial" w:hAnsi="Arial" w:cs="Arial"/>
          <w:b w:val="0"/>
          <w:i w:val="0"/>
          <w:color w:val="000000"/>
          <w:sz w:val="20"/>
          <w:u w:val="none"/>
        </w:rPr>
        <w:t xml:space="preserve"> going forward</w:t>
      </w:r>
      <w:r>
        <w:rPr>
          <w:rFonts w:ascii="Arial" w:eastAsia="Arial" w:hAnsi="Arial" w:cs="Arial"/>
          <w:b w:val="0"/>
          <w:i w:val="0"/>
          <w:sz w:val="20"/>
        </w:rPr>
        <w:t>.</w:t>
      </w:r>
      <w:r>
        <w:rPr>
          <w:rFonts w:ascii="Arial" w:eastAsia="Arial" w:hAnsi="Arial" w:cs="Arial"/>
          <w:b w:val="0"/>
          <w:i w:val="0"/>
          <w:sz w:val="20"/>
        </w:rPr>
        <w:t xml:space="preserve"> The Compensation Committee set target Adjusted ROE levels that</w:t>
      </w:r>
      <w:r>
        <w:rPr>
          <w:rFonts w:ascii="Arial" w:eastAsia="Arial" w:hAnsi="Arial" w:cs="Arial"/>
          <w:b w:val="0"/>
          <w:i w:val="0"/>
          <w:sz w:val="20"/>
        </w:rPr>
        <w:t xml:space="preserve"> </w:t>
      </w:r>
      <w:r>
        <w:rPr>
          <w:rFonts w:ascii="Arial" w:eastAsia="Arial" w:hAnsi="Arial" w:cs="Arial"/>
          <w:b w:val="0"/>
          <w:i w:val="0"/>
          <w:color w:val="000000"/>
          <w:sz w:val="20"/>
          <w:u w:val="none"/>
        </w:rPr>
        <w:t>were</w:t>
      </w:r>
      <w:r>
        <w:rPr>
          <w:rFonts w:ascii="Arial" w:eastAsia="Arial" w:hAnsi="Arial" w:cs="Arial"/>
          <w:b w:val="0"/>
          <w:i w:val="0"/>
          <w:color w:val="000000"/>
          <w:sz w:val="20"/>
          <w:u w:val="none"/>
        </w:rPr>
        <w:t xml:space="preserve"> intended to be rigorous and</w:t>
      </w:r>
      <w:r>
        <w:rPr>
          <w:rFonts w:ascii="Arial" w:eastAsia="Arial" w:hAnsi="Arial" w:cs="Arial"/>
          <w:b w:val="0"/>
          <w:i w:val="0"/>
          <w:color w:val="000000"/>
          <w:sz w:val="20"/>
          <w:u w:val="none"/>
        </w:rPr>
        <w:t xml:space="preserve"> would</w:t>
      </w:r>
      <w:r>
        <w:rPr>
          <w:rFonts w:ascii="Arial" w:eastAsia="Arial" w:hAnsi="Arial" w:cs="Arial"/>
          <w:b w:val="0"/>
          <w:i w:val="0"/>
          <w:color w:val="000000"/>
          <w:sz w:val="20"/>
          <w:u w:val="none"/>
        </w:rPr>
        <w:t xml:space="preserve"> require</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s</w:t>
      </w:r>
      <w:r>
        <w:rPr>
          <w:rFonts w:ascii="Arial" w:eastAsia="Arial" w:hAnsi="Arial" w:cs="Arial"/>
          <w:b w:val="0"/>
          <w:i w:val="0"/>
          <w:color w:val="000000"/>
          <w:sz w:val="20"/>
          <w:u w:val="none"/>
        </w:rPr>
        <w:t>t</w:t>
      </w:r>
      <w:r>
        <w:rPr>
          <w:rFonts w:ascii="Arial" w:eastAsia="Arial" w:hAnsi="Arial" w:cs="Arial"/>
          <w:b w:val="0"/>
          <w:i w:val="0"/>
          <w:color w:val="000000"/>
          <w:sz w:val="20"/>
          <w:u w:val="none"/>
        </w:rPr>
        <w:t>r</w:t>
      </w:r>
      <w:r>
        <w:rPr>
          <w:rFonts w:ascii="Arial" w:eastAsia="Arial" w:hAnsi="Arial" w:cs="Arial"/>
          <w:b w:val="0"/>
          <w:i w:val="0"/>
          <w:color w:val="000000"/>
          <w:sz w:val="20"/>
          <w:u w:val="none"/>
        </w:rPr>
        <w:t>o</w:t>
      </w:r>
      <w:r>
        <w:rPr>
          <w:rFonts w:ascii="Arial" w:eastAsia="Arial" w:hAnsi="Arial" w:cs="Arial"/>
          <w:b w:val="0"/>
          <w:i w:val="0"/>
          <w:color w:val="000000"/>
          <w:sz w:val="20"/>
          <w:u w:val="none"/>
        </w:rPr>
        <w:t>n</w:t>
      </w:r>
      <w:r>
        <w:rPr>
          <w:rFonts w:ascii="Arial" w:eastAsia="Arial" w:hAnsi="Arial" w:cs="Arial"/>
          <w:b w:val="0"/>
          <w:i w:val="0"/>
          <w:color w:val="000000"/>
          <w:sz w:val="20"/>
          <w:u w:val="none"/>
        </w:rPr>
        <w:t>g</w:t>
      </w:r>
      <w:r>
        <w:rPr>
          <w:rFonts w:ascii="Arial" w:eastAsia="Arial" w:hAnsi="Arial" w:cs="Arial"/>
          <w:b w:val="0"/>
          <w:i w:val="0"/>
          <w:color w:val="000000"/>
          <w:sz w:val="20"/>
          <w:u w:val="none"/>
        </w:rPr>
        <w:t xml:space="preserve"> performance</w:t>
      </w:r>
      <w:r>
        <w:rPr>
          <w:rFonts w:ascii="Arial" w:eastAsia="Arial" w:hAnsi="Arial" w:cs="Arial"/>
          <w:b w:val="0"/>
          <w:i w:val="0"/>
          <w:color w:val="000000"/>
          <w:sz w:val="20"/>
          <w:u w:val="none"/>
        </w:rPr>
        <w:t xml:space="preserve"> to achieve maximum payout</w:t>
      </w:r>
      <w:r>
        <w:rPr>
          <w:rFonts w:ascii="Arial" w:eastAsia="Arial" w:hAnsi="Arial" w:cs="Arial"/>
          <w:b w:val="0"/>
          <w:i w:val="0"/>
          <w:sz w:val="20"/>
        </w:rPr>
        <w:t xml:space="preserve">. </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Company's financial results for </w:t>
      </w:r>
      <w:r>
        <w:rPr>
          <w:rFonts w:ascii="Arial" w:eastAsia="Arial" w:hAnsi="Arial" w:cs="Arial"/>
          <w:b w:val="0"/>
          <w:i w:val="0"/>
          <w:color w:val="000000"/>
          <w:sz w:val="20"/>
          <w:u w:val="none"/>
        </w:rPr>
        <w:t>2023</w:t>
      </w:r>
      <w:r>
        <w:rPr>
          <w:rFonts w:ascii="Arial" w:eastAsia="Arial" w:hAnsi="Arial" w:cs="Arial"/>
          <w:b w:val="0"/>
          <w:i w:val="0"/>
          <w:sz w:val="20"/>
        </w:rPr>
        <w:t xml:space="preserve"> resulted in Adjusted ROE achieving </w:t>
      </w:r>
      <w:r>
        <w:rPr>
          <w:rFonts w:ascii="Arial" w:eastAsia="Arial" w:hAnsi="Arial" w:cs="Arial"/>
          <w:b w:val="0"/>
          <w:i w:val="0"/>
          <w:sz w:val="20"/>
        </w:rPr>
        <w:t>slightly above</w:t>
      </w:r>
      <w:r>
        <w:rPr>
          <w:rFonts w:ascii="Arial" w:eastAsia="Arial" w:hAnsi="Arial" w:cs="Arial"/>
          <w:b w:val="0"/>
          <w:i w:val="0"/>
          <w:sz w:val="20"/>
        </w:rPr>
        <w:t xml:space="preserve"> "</w:t>
      </w:r>
      <w:r>
        <w:rPr>
          <w:rFonts w:ascii="Arial" w:eastAsia="Arial" w:hAnsi="Arial" w:cs="Arial"/>
          <w:b w:val="0"/>
          <w:i w:val="0"/>
          <w:sz w:val="20"/>
        </w:rPr>
        <w:t>target</w:t>
      </w:r>
      <w:r>
        <w:rPr>
          <w:rFonts w:ascii="Arial" w:eastAsia="Arial" w:hAnsi="Arial" w:cs="Arial"/>
          <w:b w:val="0"/>
          <w:i w:val="0"/>
          <w:sz w:val="20"/>
        </w:rPr>
        <w:t xml:space="preserve">." As a result, the overall "Financial Component" multiplier for each executive was </w:t>
      </w:r>
      <w:r>
        <w:rPr>
          <w:rFonts w:ascii="Arial" w:eastAsia="Arial" w:hAnsi="Arial" w:cs="Arial"/>
          <w:b w:val="0"/>
          <w:i w:val="0"/>
          <w:sz w:val="20"/>
        </w:rPr>
        <w:t xml:space="preserve">between </w:t>
      </w:r>
      <w:r>
        <w:rPr>
          <w:rFonts w:ascii="Arial" w:eastAsia="Arial" w:hAnsi="Arial" w:cs="Arial"/>
          <w:b w:val="0"/>
          <w:i w:val="0"/>
          <w:sz w:val="20"/>
        </w:rPr>
        <w:t xml:space="preserve">"target" and </w:t>
      </w:r>
      <w:r>
        <w:rPr>
          <w:rFonts w:ascii="Arial" w:eastAsia="Arial" w:hAnsi="Arial" w:cs="Arial"/>
          <w:b w:val="0"/>
          <w:i w:val="0"/>
          <w:sz w:val="20"/>
        </w:rPr>
        <w:t>"maximum</w:t>
      </w:r>
      <w:r>
        <w:rPr>
          <w:rFonts w:ascii="Arial" w:eastAsia="Arial" w:hAnsi="Arial" w:cs="Arial"/>
          <w:b w:val="0"/>
          <w:i w:val="0"/>
          <w:sz w:val="20"/>
        </w:rPr>
        <w:t>.</w:t>
      </w:r>
      <w:r>
        <w:rPr>
          <w:rFonts w:ascii="Arial" w:eastAsia="Arial" w:hAnsi="Arial" w:cs="Arial"/>
          <w:b w:val="0"/>
          <w:i w:val="0"/>
          <w:sz w:val="20"/>
        </w:rPr>
        <w:t>"</w:t>
      </w:r>
      <w:r>
        <w:rPr>
          <w:rFonts w:ascii="Arial" w:eastAsia="Arial" w:hAnsi="Arial" w:cs="Arial"/>
          <w:b w:val="0"/>
          <w:i w:val="0"/>
          <w:sz w:val="20"/>
        </w:rPr>
        <w:t xml:space="preserve"> The </w:t>
      </w:r>
      <w:r>
        <w:rPr>
          <w:rFonts w:ascii="Arial" w:eastAsia="Arial" w:hAnsi="Arial" w:cs="Arial"/>
          <w:b w:val="0"/>
          <w:i w:val="0"/>
          <w:sz w:val="20"/>
        </w:rPr>
        <w:t>Company</w:t>
      </w:r>
      <w:r>
        <w:rPr>
          <w:rFonts w:ascii="Arial" w:eastAsia="Arial" w:hAnsi="Arial" w:cs="Arial"/>
          <w:b w:val="0"/>
          <w:i w:val="0"/>
          <w:sz w:val="20"/>
        </w:rPr>
        <w:t xml:space="preserve"> </w:t>
      </w:r>
      <w:r>
        <w:rPr>
          <w:rFonts w:ascii="Arial" w:eastAsia="Arial" w:hAnsi="Arial" w:cs="Arial"/>
          <w:b w:val="0"/>
          <w:i w:val="0"/>
          <w:sz w:val="20"/>
        </w:rPr>
        <w:t>reported</w:t>
      </w:r>
      <w:r>
        <w:rPr>
          <w:rFonts w:ascii="Arial" w:eastAsia="Arial" w:hAnsi="Arial" w:cs="Arial"/>
          <w:b w:val="0"/>
          <w:i w:val="0"/>
          <w:sz w:val="20"/>
        </w:rPr>
        <w:t xml:space="preserve"> Adjust</w:t>
      </w:r>
      <w:r>
        <w:rPr>
          <w:rFonts w:ascii="Arial" w:eastAsia="Arial" w:hAnsi="Arial" w:cs="Arial"/>
          <w:b w:val="0"/>
          <w:i w:val="0"/>
          <w:sz w:val="20"/>
        </w:rPr>
        <w:t>ed</w:t>
      </w:r>
      <w:r>
        <w:rPr>
          <w:rFonts w:ascii="Arial" w:eastAsia="Arial" w:hAnsi="Arial" w:cs="Arial"/>
          <w:b w:val="0"/>
          <w:i w:val="0"/>
          <w:sz w:val="20"/>
        </w:rPr>
        <w:t xml:space="preserve"> ROE for 2023 of 1</w:t>
      </w:r>
      <w:r>
        <w:rPr>
          <w:rFonts w:ascii="Arial" w:eastAsia="Arial" w:hAnsi="Arial" w:cs="Arial"/>
          <w:b w:val="0"/>
          <w:i w:val="0"/>
          <w:sz w:val="20"/>
        </w:rPr>
        <w:t>8</w:t>
      </w:r>
      <w:r>
        <w:rPr>
          <w:rFonts w:ascii="Arial" w:eastAsia="Arial" w:hAnsi="Arial" w:cs="Arial"/>
          <w:b w:val="0"/>
          <w:i w:val="0"/>
          <w:sz w:val="20"/>
        </w:rPr>
        <w:t>.</w:t>
      </w:r>
      <w:r>
        <w:rPr>
          <w:rFonts w:ascii="Arial" w:eastAsia="Arial" w:hAnsi="Arial" w:cs="Arial"/>
          <w:b w:val="0"/>
          <w:i w:val="0"/>
          <w:sz w:val="20"/>
        </w:rPr>
        <w:t>8</w:t>
      </w:r>
      <w:r>
        <w:rPr>
          <w:rFonts w:ascii="Arial" w:eastAsia="Arial" w:hAnsi="Arial" w:cs="Arial"/>
          <w:b w:val="0"/>
          <w:i w:val="0"/>
          <w:sz w:val="20"/>
        </w:rPr>
        <w:t>%</w:t>
      </w:r>
      <w:r>
        <w:rPr>
          <w:rFonts w:ascii="Arial" w:eastAsia="Arial" w:hAnsi="Arial" w:cs="Arial"/>
          <w:b w:val="0"/>
          <w:i w:val="0"/>
          <w:sz w:val="20"/>
        </w:rPr>
        <w:t>.</w:t>
      </w:r>
      <w:r>
        <w:rPr>
          <w:rFonts w:ascii="Arial" w:eastAsia="Arial" w:hAnsi="Arial" w:cs="Arial"/>
          <w:b w:val="0"/>
          <w:i w:val="0"/>
          <w:sz w:val="20"/>
        </w:rPr>
        <w:t xml:space="preserve"> </w:t>
      </w:r>
      <w:r>
        <w:rPr>
          <w:rFonts w:ascii="Arial" w:eastAsia="Arial" w:hAnsi="Arial" w:cs="Arial"/>
          <w:b w:val="0"/>
          <w:i w:val="0"/>
          <w:sz w:val="20"/>
        </w:rPr>
        <w:t xml:space="preserve">In </w:t>
      </w:r>
      <w:r>
        <w:rPr>
          <w:rFonts w:ascii="Arial" w:eastAsia="Arial" w:hAnsi="Arial" w:cs="Arial"/>
          <w:b w:val="0"/>
          <w:i w:val="0"/>
          <w:sz w:val="20"/>
        </w:rPr>
        <w:t>asses</w:t>
      </w:r>
      <w:r>
        <w:rPr>
          <w:rFonts w:ascii="Arial" w:eastAsia="Arial" w:hAnsi="Arial" w:cs="Arial"/>
          <w:b w:val="0"/>
          <w:i w:val="0"/>
          <w:sz w:val="20"/>
        </w:rPr>
        <w:t>s</w:t>
      </w:r>
      <w:r>
        <w:rPr>
          <w:rFonts w:ascii="Arial" w:eastAsia="Arial" w:hAnsi="Arial" w:cs="Arial"/>
          <w:b w:val="0"/>
          <w:i w:val="0"/>
          <w:sz w:val="20"/>
        </w:rPr>
        <w:t xml:space="preserve">ing </w:t>
      </w:r>
      <w:r>
        <w:rPr>
          <w:rFonts w:ascii="Arial" w:eastAsia="Arial" w:hAnsi="Arial" w:cs="Arial"/>
          <w:b w:val="0"/>
          <w:i w:val="0"/>
          <w:sz w:val="20"/>
        </w:rPr>
        <w:t>achievement</w:t>
      </w:r>
      <w:r>
        <w:rPr>
          <w:rFonts w:ascii="Arial" w:eastAsia="Arial" w:hAnsi="Arial" w:cs="Arial"/>
          <w:b w:val="0"/>
          <w:i w:val="0"/>
          <w:sz w:val="20"/>
        </w:rPr>
        <w:t xml:space="preserve"> of the Adjusted ROE performance metric</w:t>
      </w:r>
      <w:r>
        <w:rPr>
          <w:rFonts w:ascii="Arial" w:eastAsia="Arial" w:hAnsi="Arial" w:cs="Arial"/>
          <w:b w:val="0"/>
          <w:i w:val="0"/>
          <w:sz w:val="20"/>
        </w:rPr>
        <w:t xml:space="preserve">, however, the Compensation </w:t>
      </w:r>
      <w:r>
        <w:rPr>
          <w:rFonts w:ascii="Arial" w:eastAsia="Arial" w:hAnsi="Arial" w:cs="Arial"/>
          <w:b w:val="0"/>
          <w:i w:val="0"/>
          <w:sz w:val="20"/>
        </w:rPr>
        <w:t>Committee</w:t>
      </w:r>
      <w:r>
        <w:rPr>
          <w:rFonts w:ascii="Arial" w:eastAsia="Arial" w:hAnsi="Arial" w:cs="Arial"/>
          <w:b w:val="0"/>
          <w:i w:val="0"/>
          <w:sz w:val="20"/>
        </w:rPr>
        <w:t xml:space="preserve"> made certain </w:t>
      </w:r>
      <w:r>
        <w:rPr>
          <w:rFonts w:ascii="Arial" w:eastAsia="Arial" w:hAnsi="Arial" w:cs="Arial"/>
          <w:b w:val="0"/>
          <w:i w:val="0"/>
          <w:sz w:val="20"/>
        </w:rPr>
        <w:t>modifications</w:t>
      </w:r>
      <w:r>
        <w:rPr>
          <w:rFonts w:ascii="Arial" w:eastAsia="Arial" w:hAnsi="Arial" w:cs="Arial"/>
          <w:b w:val="0"/>
          <w:i w:val="0"/>
          <w:sz w:val="20"/>
        </w:rPr>
        <w:t xml:space="preserve"> to the reported </w:t>
      </w:r>
      <w:r>
        <w:rPr>
          <w:rFonts w:ascii="Arial" w:eastAsia="Arial" w:hAnsi="Arial" w:cs="Arial"/>
          <w:b w:val="0"/>
          <w:i w:val="0"/>
          <w:sz w:val="20"/>
        </w:rPr>
        <w:t xml:space="preserve">Adjusted ROE </w:t>
      </w:r>
      <w:r>
        <w:rPr>
          <w:rFonts w:ascii="Arial" w:eastAsia="Arial" w:hAnsi="Arial" w:cs="Arial"/>
          <w:b w:val="0"/>
          <w:i w:val="0"/>
          <w:sz w:val="20"/>
        </w:rPr>
        <w:t>to</w:t>
      </w:r>
      <w:r>
        <w:rPr>
          <w:rFonts w:ascii="Arial" w:eastAsia="Arial" w:hAnsi="Arial" w:cs="Arial"/>
          <w:b w:val="0"/>
          <w:i w:val="0"/>
          <w:sz w:val="20"/>
        </w:rPr>
        <w:t xml:space="preserve"> (i) remove the</w:t>
      </w:r>
      <w:r>
        <w:rPr>
          <w:rFonts w:ascii="Arial" w:eastAsia="Arial" w:hAnsi="Arial" w:cs="Arial"/>
          <w:b w:val="0"/>
          <w:i w:val="0"/>
          <w:sz w:val="20"/>
        </w:rPr>
        <w:t xml:space="preserve"> impact </w:t>
      </w:r>
      <w:r>
        <w:rPr>
          <w:rFonts w:ascii="Arial" w:eastAsia="Arial" w:hAnsi="Arial" w:cs="Arial"/>
          <w:b w:val="0"/>
          <w:i w:val="0"/>
          <w:color w:val="000000"/>
          <w:sz w:val="20"/>
          <w:u w:val="none"/>
        </w:rPr>
        <w:t>on earnings</w:t>
      </w:r>
      <w:r>
        <w:rPr>
          <w:rFonts w:ascii="Arial" w:eastAsia="Arial" w:hAnsi="Arial" w:cs="Arial"/>
          <w:b w:val="0"/>
          <w:i w:val="0"/>
          <w:sz w:val="20"/>
        </w:rPr>
        <w:t xml:space="preserve"> </w:t>
      </w:r>
      <w:r>
        <w:rPr>
          <w:rFonts w:ascii="Arial" w:eastAsia="Arial" w:hAnsi="Arial" w:cs="Arial"/>
          <w:b w:val="0"/>
          <w:i w:val="0"/>
          <w:sz w:val="20"/>
        </w:rPr>
        <w:t xml:space="preserve">of the </w:t>
      </w:r>
      <w:r>
        <w:rPr>
          <w:rFonts w:ascii="Arial" w:eastAsia="Arial" w:hAnsi="Arial" w:cs="Arial"/>
          <w:b w:val="0"/>
          <w:i w:val="0"/>
          <w:sz w:val="20"/>
        </w:rPr>
        <w:t xml:space="preserve">recognition of a </w:t>
      </w:r>
      <w:r>
        <w:rPr>
          <w:rFonts w:ascii="Arial" w:eastAsia="Arial" w:hAnsi="Arial" w:cs="Arial"/>
          <w:b w:val="0"/>
          <w:i w:val="0"/>
          <w:sz w:val="20"/>
        </w:rPr>
        <w:t>$205 million</w:t>
      </w:r>
      <w:r>
        <w:rPr>
          <w:rFonts w:ascii="Arial" w:eastAsia="Arial" w:hAnsi="Arial" w:cs="Arial"/>
          <w:b w:val="0"/>
          <w:i w:val="0"/>
          <w:sz w:val="20"/>
        </w:rPr>
        <w:t xml:space="preserve"> net</w:t>
      </w:r>
      <w:r>
        <w:rPr>
          <w:rFonts w:ascii="Arial" w:eastAsia="Arial" w:hAnsi="Arial" w:cs="Arial"/>
          <w:b w:val="0"/>
          <w:i w:val="0"/>
          <w:sz w:val="20"/>
        </w:rPr>
        <w:t xml:space="preserve"> </w:t>
      </w:r>
      <w:r>
        <w:rPr>
          <w:rFonts w:ascii="Arial" w:eastAsia="Arial" w:hAnsi="Arial" w:cs="Arial"/>
          <w:b w:val="0"/>
          <w:i w:val="0"/>
          <w:sz w:val="20"/>
        </w:rPr>
        <w:t xml:space="preserve">deferred tax asset </w:t>
      </w:r>
      <w:r>
        <w:rPr>
          <w:rFonts w:ascii="Arial" w:eastAsia="Arial" w:hAnsi="Arial" w:cs="Arial"/>
          <w:b w:val="0"/>
          <w:i w:val="0"/>
          <w:sz w:val="20"/>
        </w:rPr>
        <w:t xml:space="preserve">arising out of adoption </w:t>
      </w:r>
      <w:r>
        <w:rPr>
          <w:rFonts w:ascii="Arial" w:eastAsia="Arial" w:hAnsi="Arial" w:cs="Arial"/>
          <w:b w:val="0"/>
          <w:i w:val="0"/>
          <w:sz w:val="20"/>
        </w:rPr>
        <w:t xml:space="preserve">of a </w:t>
      </w:r>
      <w:r>
        <w:rPr>
          <w:rFonts w:ascii="Arial" w:eastAsia="Arial" w:hAnsi="Arial" w:cs="Arial"/>
          <w:b w:val="0"/>
          <w:i w:val="0"/>
          <w:sz w:val="20"/>
        </w:rPr>
        <w:t>Bermuda c</w:t>
      </w:r>
      <w:r>
        <w:rPr>
          <w:rFonts w:ascii="Arial" w:eastAsia="Arial" w:hAnsi="Arial" w:cs="Arial"/>
          <w:b w:val="0"/>
          <w:i w:val="0"/>
          <w:sz w:val="20"/>
        </w:rPr>
        <w:t>orporate income ta</w:t>
      </w:r>
      <w:r>
        <w:rPr>
          <w:rFonts w:ascii="Arial" w:eastAsia="Arial" w:hAnsi="Arial" w:cs="Arial"/>
          <w:b w:val="0"/>
          <w:i w:val="0"/>
          <w:sz w:val="20"/>
        </w:rPr>
        <w:t xml:space="preserve">x and (ii) </w:t>
      </w:r>
      <w:r>
        <w:rPr>
          <w:rFonts w:ascii="Arial" w:eastAsia="Arial" w:hAnsi="Arial" w:cs="Arial"/>
          <w:b w:val="0"/>
          <w:i w:val="0"/>
          <w:sz w:val="20"/>
        </w:rPr>
        <w:t xml:space="preserve">remove the impact </w:t>
      </w:r>
      <w:r>
        <w:rPr>
          <w:rFonts w:ascii="Arial" w:eastAsia="Arial" w:hAnsi="Arial" w:cs="Arial"/>
          <w:b w:val="0"/>
          <w:i w:val="0"/>
          <w:color w:val="000000"/>
          <w:sz w:val="20"/>
          <w:u w:val="none"/>
        </w:rPr>
        <w:t xml:space="preserve">on </w:t>
      </w:r>
      <w:r>
        <w:rPr>
          <w:rFonts w:ascii="Arial" w:eastAsia="Arial" w:hAnsi="Arial" w:cs="Arial"/>
          <w:b w:val="0"/>
          <w:i w:val="0"/>
          <w:color w:val="000000"/>
          <w:sz w:val="20"/>
          <w:u w:val="none"/>
        </w:rPr>
        <w:t>opening equity</w:t>
      </w:r>
      <w:r>
        <w:rPr>
          <w:rFonts w:ascii="Arial" w:eastAsia="Arial" w:hAnsi="Arial" w:cs="Arial"/>
          <w:b w:val="0"/>
          <w:i w:val="0"/>
          <w:sz w:val="20"/>
        </w:rPr>
        <w:t xml:space="preserve"> </w:t>
      </w:r>
      <w:r>
        <w:rPr>
          <w:rFonts w:ascii="Arial" w:eastAsia="Arial" w:hAnsi="Arial" w:cs="Arial"/>
          <w:b w:val="0"/>
          <w:i w:val="0"/>
          <w:sz w:val="20"/>
        </w:rPr>
        <w:t xml:space="preserve">of </w:t>
      </w:r>
      <w:r>
        <w:rPr>
          <w:rFonts w:ascii="Arial" w:eastAsia="Arial" w:hAnsi="Arial" w:cs="Arial"/>
          <w:b w:val="0"/>
          <w:i w:val="0"/>
          <w:sz w:val="20"/>
        </w:rPr>
        <w:t>Board driven share repurchases completed during 2023</w:t>
      </w:r>
      <w:r>
        <w:rPr>
          <w:rFonts w:ascii="Arial" w:eastAsia="Arial" w:hAnsi="Arial" w:cs="Arial"/>
          <w:b w:val="0"/>
          <w:i w:val="0"/>
          <w:color w:val="000000"/>
          <w:sz w:val="20"/>
          <w:u w:val="none"/>
        </w:rPr>
        <w:t>, bot</w:t>
      </w:r>
      <w:r>
        <w:rPr>
          <w:rFonts w:ascii="Arial" w:eastAsia="Arial" w:hAnsi="Arial" w:cs="Arial"/>
          <w:b w:val="0"/>
          <w:i w:val="0"/>
          <w:color w:val="000000"/>
          <w:sz w:val="20"/>
          <w:u w:val="none"/>
        </w:rPr>
        <w:t>h of</w:t>
      </w:r>
      <w:r>
        <w:rPr>
          <w:rFonts w:ascii="Arial" w:eastAsia="Arial" w:hAnsi="Arial" w:cs="Arial"/>
          <w:b w:val="0"/>
          <w:i w:val="0"/>
          <w:color w:val="000000"/>
          <w:sz w:val="20"/>
          <w:u w:val="none"/>
        </w:rPr>
        <w:t xml:space="preserve"> which were </w:t>
      </w:r>
      <w:r>
        <w:rPr>
          <w:rFonts w:ascii="Arial" w:eastAsia="Arial" w:hAnsi="Arial" w:cs="Arial"/>
          <w:b w:val="0"/>
          <w:i w:val="0"/>
          <w:color w:val="000000"/>
          <w:sz w:val="20"/>
          <w:u w:val="none"/>
        </w:rPr>
        <w:t>separate</w:t>
      </w:r>
      <w:r>
        <w:rPr>
          <w:rFonts w:ascii="Arial" w:eastAsia="Arial" w:hAnsi="Arial" w:cs="Arial"/>
          <w:b w:val="0"/>
          <w:i w:val="0"/>
          <w:color w:val="000000"/>
          <w:sz w:val="20"/>
          <w:u w:val="none"/>
        </w:rPr>
        <w:t xml:space="preserve"> from management's performance</w:t>
      </w:r>
      <w:r>
        <w:rPr>
          <w:rFonts w:ascii="Arial" w:eastAsia="Arial" w:hAnsi="Arial" w:cs="Arial"/>
          <w:b w:val="0"/>
          <w:i w:val="0"/>
          <w:sz w:val="20"/>
        </w:rPr>
        <w:t xml:space="preserve">. </w:t>
      </w:r>
      <w:r>
        <w:rPr>
          <w:rFonts w:ascii="Arial" w:eastAsia="Arial" w:hAnsi="Arial" w:cs="Arial"/>
          <w:b w:val="0"/>
          <w:i w:val="0"/>
          <w:color w:val="000000"/>
          <w:sz w:val="20"/>
          <w:u w:val="none"/>
        </w:rPr>
        <w:t>The</w:t>
      </w:r>
      <w:r>
        <w:rPr>
          <w:rFonts w:ascii="Arial" w:eastAsia="Arial" w:hAnsi="Arial" w:cs="Arial"/>
          <w:b w:val="0"/>
          <w:i w:val="0"/>
          <w:color w:val="000000"/>
          <w:sz w:val="20"/>
          <w:u w:val="none"/>
        </w:rPr>
        <w:t>se adjustments had</w:t>
      </w:r>
      <w:r>
        <w:rPr>
          <w:rFonts w:ascii="Arial" w:eastAsia="Arial" w:hAnsi="Arial" w:cs="Arial"/>
          <w:b w:val="0"/>
          <w:i w:val="0"/>
          <w:color w:val="000000"/>
          <w:sz w:val="20"/>
          <w:u w:val="none"/>
        </w:rPr>
        <w:t xml:space="preserve"> the overall effect of reducing </w:t>
      </w:r>
      <w:r>
        <w:rPr>
          <w:rFonts w:ascii="Arial" w:eastAsia="Arial" w:hAnsi="Arial" w:cs="Arial"/>
          <w:b w:val="0"/>
          <w:i w:val="0"/>
          <w:color w:val="000000"/>
          <w:sz w:val="20"/>
          <w:u w:val="none"/>
        </w:rPr>
        <w:t>assessed</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performance</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to </w:t>
      </w:r>
      <w:r>
        <w:rPr>
          <w:rFonts w:ascii="Arial" w:eastAsia="Arial" w:hAnsi="Arial" w:cs="Arial"/>
          <w:b w:val="0"/>
          <w:i w:val="0"/>
          <w:color w:val="000000"/>
          <w:sz w:val="20"/>
          <w:u w:val="none"/>
        </w:rPr>
        <w:t>1</w:t>
      </w:r>
      <w:r>
        <w:rPr>
          <w:rFonts w:ascii="Arial" w:eastAsia="Arial" w:hAnsi="Arial" w:cs="Arial"/>
          <w:b w:val="0"/>
          <w:i w:val="0"/>
          <w:color w:val="000000"/>
          <w:sz w:val="20"/>
          <w:u w:val="none"/>
        </w:rPr>
        <w:t>6</w:t>
      </w:r>
      <w:r>
        <w:rPr>
          <w:rFonts w:ascii="Arial" w:eastAsia="Arial" w:hAnsi="Arial" w:cs="Arial"/>
          <w:b w:val="0"/>
          <w:i w:val="0"/>
          <w:color w:val="000000"/>
          <w:sz w:val="20"/>
          <w:u w:val="none"/>
        </w:rPr>
        <w:t>.0</w:t>
      </w:r>
      <w:r>
        <w:rPr>
          <w:rFonts w:ascii="Arial" w:eastAsia="Arial" w:hAnsi="Arial" w:cs="Arial"/>
          <w:b w:val="0"/>
          <w:i w:val="0"/>
          <w:color w:val="000000"/>
          <w:sz w:val="20"/>
          <w:u w:val="none"/>
        </w:rPr>
        <w:t>%</w:t>
      </w:r>
      <w:r>
        <w:rPr>
          <w:rFonts w:ascii="Arial" w:eastAsia="Arial" w:hAnsi="Arial" w:cs="Arial"/>
          <w:b w:val="0"/>
          <w:i w:val="0"/>
          <w:color w:val="000000"/>
          <w:sz w:val="20"/>
          <w:u w:val="none"/>
        </w:rPr>
        <w:t xml:space="preserve"> and are quantified in </w:t>
      </w:r>
      <w:r>
        <w:rPr>
          <w:rFonts w:ascii="Arial" w:eastAsia="Arial" w:hAnsi="Arial" w:cs="Arial"/>
          <w:b w:val="0"/>
          <w:i w:val="0"/>
          <w:color w:val="000000"/>
          <w:sz w:val="20"/>
          <w:u w:val="none"/>
        </w:rPr>
        <w:t>Appendix</w:t>
      </w:r>
      <w:r>
        <w:rPr>
          <w:rFonts w:ascii="Arial" w:eastAsia="Arial" w:hAnsi="Arial" w:cs="Arial"/>
          <w:b w:val="0"/>
          <w:i w:val="0"/>
          <w:color w:val="000000"/>
          <w:sz w:val="20"/>
          <w:u w:val="none"/>
        </w:rPr>
        <w:t xml:space="preserve"> A.</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Company's Adjusted ROE performance levels and </w:t>
      </w:r>
      <w:r>
        <w:rPr>
          <w:rFonts w:ascii="Arial" w:eastAsia="Arial" w:hAnsi="Arial" w:cs="Arial"/>
          <w:b w:val="0"/>
          <w:i w:val="0"/>
          <w:sz w:val="20"/>
        </w:rPr>
        <w:t>assessed</w:t>
      </w:r>
      <w:r>
        <w:rPr>
          <w:rFonts w:ascii="Arial" w:eastAsia="Arial" w:hAnsi="Arial" w:cs="Arial"/>
          <w:b w:val="0"/>
          <w:i w:val="0"/>
          <w:sz w:val="20"/>
        </w:rPr>
        <w:t xml:space="preserve"> result for </w:t>
      </w:r>
      <w:r>
        <w:rPr>
          <w:rFonts w:ascii="Arial" w:eastAsia="Arial" w:hAnsi="Arial" w:cs="Arial"/>
          <w:b w:val="0"/>
          <w:i w:val="0"/>
          <w:color w:val="000000"/>
          <w:sz w:val="20"/>
          <w:u w:val="none"/>
        </w:rPr>
        <w:t>2023</w:t>
      </w:r>
      <w:r>
        <w:rPr>
          <w:rFonts w:ascii="Arial" w:eastAsia="Arial" w:hAnsi="Arial" w:cs="Arial"/>
          <w:b w:val="0"/>
          <w:i w:val="0"/>
          <w:sz w:val="20"/>
        </w:rPr>
        <w:t xml:space="preserve"> are set forth in the table below.</w:t>
      </w:r>
    </w:p>
    <w:tbl>
      <w:tblPr>
        <w:tblW w:w="10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750"/>
        <w:gridCol w:w="990"/>
        <w:gridCol w:w="990"/>
        <w:gridCol w:w="1005"/>
        <w:gridCol w:w="75"/>
        <w:gridCol w:w="1125"/>
        <w:gridCol w:w="75"/>
        <w:gridCol w:w="1125"/>
        <w:gridCol w:w="1110"/>
      </w:tblGrid>
      <w:tr>
        <w:tblPrEx>
          <w:tblW w:w="10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825"/>
          <w:jc w:val="center"/>
        </w:trPr>
        <w:tc>
          <w:tcPr>
            <w:tcW w:w="3750" w:type="dxa"/>
            <w:tcBorders>
              <w:top w:val="nil"/>
              <w:left w:val="nil"/>
              <w:bottom w:val="nil"/>
              <w:right w:val="nil"/>
            </w:tcBorders>
            <w:shd w:val="clear" w:color="auto" w:fill="4495D1"/>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i w:val="0"/>
                <w:color w:val="FFFFFF"/>
                <w:sz w:val="16"/>
                <w:u w:val="none"/>
              </w:rPr>
              <w:t>Financial Metric</w:t>
            </w:r>
          </w:p>
        </w:tc>
        <w:tc>
          <w:tcPr>
            <w:tcW w:w="990" w:type="dxa"/>
            <w:tcBorders>
              <w:top w:val="nil"/>
              <w:left w:val="nil"/>
              <w:bottom w:val="nil"/>
              <w:right w:val="nil"/>
            </w:tcBorders>
            <w:shd w:val="clear" w:color="auto" w:fill="4495D1"/>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center"/>
              <w:outlineLvl w:val="9"/>
              <w:rPr>
                <w:rFonts w:ascii="Arial" w:eastAsia="Arial" w:hAnsi="Arial" w:cs="Arial"/>
                <w:b/>
                <w:i w:val="0"/>
                <w:color w:val="FFFFFF"/>
                <w:sz w:val="16"/>
                <w:u w:val="none"/>
              </w:rPr>
            </w:pPr>
            <w:r>
              <w:rPr>
                <w:rFonts w:ascii="Arial" w:eastAsia="Arial" w:hAnsi="Arial" w:cs="Arial"/>
                <w:b/>
                <w:i w:val="0"/>
                <w:color w:val="FFFFFF"/>
                <w:sz w:val="16"/>
                <w:u w:val="none"/>
              </w:rPr>
              <w:t>2023</w:t>
            </w:r>
            <w:r>
              <w:rPr>
                <w:rFonts w:ascii="Arial" w:eastAsia="Arial" w:hAnsi="Arial" w:cs="Arial"/>
                <w:b/>
                <w:i w:val="0"/>
                <w:color w:val="FFFFFF"/>
                <w:sz w:val="16"/>
                <w:u w:val="none"/>
              </w:rPr>
              <w:t xml:space="preserve"> Threshold</w:t>
            </w:r>
          </w:p>
        </w:tc>
        <w:tc>
          <w:tcPr>
            <w:tcW w:w="990" w:type="dxa"/>
            <w:tcBorders>
              <w:top w:val="nil"/>
              <w:left w:val="nil"/>
              <w:bottom w:val="nil"/>
              <w:right w:val="nil"/>
            </w:tcBorders>
            <w:shd w:val="clear" w:color="auto" w:fill="4495D1"/>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center"/>
              <w:outlineLvl w:val="9"/>
              <w:rPr>
                <w:rFonts w:ascii="Arial" w:eastAsia="Arial" w:hAnsi="Arial" w:cs="Arial"/>
                <w:b/>
                <w:i w:val="0"/>
                <w:color w:val="FFFFFF"/>
                <w:sz w:val="16"/>
                <w:u w:val="none"/>
              </w:rPr>
            </w:pPr>
            <w:r>
              <w:rPr>
                <w:rFonts w:ascii="Arial" w:eastAsia="Arial" w:hAnsi="Arial" w:cs="Arial"/>
                <w:b/>
                <w:i w:val="0"/>
                <w:color w:val="FFFFFF"/>
                <w:sz w:val="16"/>
                <w:u w:val="none"/>
              </w:rPr>
              <w:t>2023</w:t>
            </w:r>
            <w:r>
              <w:rPr>
                <w:rFonts w:ascii="Arial" w:eastAsia="Arial" w:hAnsi="Arial" w:cs="Arial"/>
                <w:b/>
                <w:i w:val="0"/>
                <w:color w:val="FFFFFF"/>
                <w:sz w:val="16"/>
                <w:u w:val="none"/>
              </w:rPr>
              <w:t xml:space="preserve"> Target</w:t>
            </w:r>
          </w:p>
        </w:tc>
        <w:tc>
          <w:tcPr>
            <w:tcW w:w="1005" w:type="dxa"/>
            <w:tcBorders>
              <w:top w:val="nil"/>
              <w:left w:val="nil"/>
              <w:bottom w:val="nil"/>
              <w:right w:val="nil"/>
            </w:tcBorders>
            <w:shd w:val="clear" w:color="auto" w:fill="4495D1"/>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center"/>
              <w:outlineLvl w:val="9"/>
              <w:rPr>
                <w:rFonts w:ascii="Arial" w:eastAsia="Arial" w:hAnsi="Arial" w:cs="Arial"/>
                <w:b/>
                <w:i w:val="0"/>
                <w:color w:val="FFFFFF"/>
                <w:sz w:val="16"/>
                <w:u w:val="none"/>
              </w:rPr>
            </w:pPr>
            <w:r>
              <w:rPr>
                <w:rFonts w:ascii="Arial" w:eastAsia="Arial" w:hAnsi="Arial" w:cs="Arial"/>
                <w:b/>
                <w:i w:val="0"/>
                <w:color w:val="FFFFFF"/>
                <w:sz w:val="16"/>
                <w:u w:val="none"/>
              </w:rPr>
              <w:t>2023</w:t>
            </w:r>
            <w:r>
              <w:rPr>
                <w:rFonts w:ascii="Arial" w:eastAsia="Arial" w:hAnsi="Arial" w:cs="Arial"/>
                <w:b/>
                <w:i w:val="0"/>
                <w:color w:val="FFFFFF"/>
                <w:sz w:val="16"/>
                <w:u w:val="none"/>
              </w:rPr>
              <w:t xml:space="preserve"> Maximum</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4495D1"/>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center"/>
              <w:outlineLvl w:val="9"/>
              <w:rPr>
                <w:rFonts w:ascii="Arial" w:eastAsia="Arial" w:hAnsi="Arial" w:cs="Arial"/>
                <w:b/>
                <w:i w:val="0"/>
                <w:color w:val="FFFFFF"/>
                <w:sz w:val="16"/>
                <w:u w:val="none"/>
              </w:rPr>
            </w:pPr>
            <w:r>
              <w:rPr>
                <w:rFonts w:ascii="Arial" w:eastAsia="Arial" w:hAnsi="Arial" w:cs="Arial"/>
                <w:b/>
                <w:i w:val="0"/>
                <w:color w:val="FFFFFF"/>
                <w:sz w:val="16"/>
                <w:u w:val="none"/>
              </w:rPr>
              <w:t>2023</w:t>
            </w:r>
            <w:r>
              <w:rPr>
                <w:rFonts w:ascii="Arial" w:eastAsia="Arial" w:hAnsi="Arial" w:cs="Arial"/>
                <w:b/>
                <w:i w:val="0"/>
                <w:color w:val="FFFFFF"/>
                <w:sz w:val="16"/>
                <w:u w:val="none"/>
              </w:rPr>
              <w:t xml:space="preserve"> </w:t>
            </w:r>
            <w:r>
              <w:rPr>
                <w:rFonts w:ascii="Arial" w:eastAsia="Arial" w:hAnsi="Arial" w:cs="Arial"/>
                <w:b/>
                <w:i w:val="0"/>
                <w:color w:val="FFFFFF"/>
                <w:sz w:val="16"/>
                <w:u w:val="none"/>
              </w:rPr>
              <w:t>Financial</w:t>
            </w:r>
            <w:r>
              <w:rPr>
                <w:rFonts w:ascii="Arial" w:eastAsia="Arial" w:hAnsi="Arial" w:cs="Arial"/>
                <w:b/>
                <w:i w:val="0"/>
                <w:color w:val="FFFFFF"/>
                <w:sz w:val="16"/>
                <w:u w:val="none"/>
              </w:rPr>
              <w:t xml:space="preserve"> Result</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25" w:type="dxa"/>
            <w:tcBorders>
              <w:top w:val="nil"/>
              <w:left w:val="nil"/>
              <w:bottom w:val="nil"/>
              <w:right w:val="nil"/>
            </w:tcBorders>
            <w:shd w:val="clear" w:color="auto" w:fill="4495D1"/>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center"/>
              <w:outlineLvl w:val="9"/>
              <w:rPr>
                <w:rFonts w:ascii="Arial" w:eastAsia="Arial" w:hAnsi="Arial" w:cs="Arial"/>
                <w:b/>
                <w:i w:val="0"/>
                <w:color w:val="FFFFFF"/>
                <w:sz w:val="16"/>
                <w:u w:val="none"/>
              </w:rPr>
            </w:pPr>
            <w:r>
              <w:rPr>
                <w:rFonts w:ascii="Arial" w:eastAsia="Arial" w:hAnsi="Arial" w:cs="Arial"/>
                <w:b/>
                <w:i w:val="0"/>
                <w:color w:val="FFFFFF"/>
                <w:sz w:val="16"/>
                <w:u w:val="none"/>
              </w:rPr>
              <w:t>2023</w:t>
            </w:r>
            <w:r>
              <w:rPr>
                <w:rFonts w:ascii="Arial" w:eastAsia="Arial" w:hAnsi="Arial" w:cs="Arial"/>
                <w:b/>
                <w:i w:val="0"/>
                <w:color w:val="FFFFFF"/>
                <w:sz w:val="16"/>
                <w:u w:val="none"/>
              </w:rPr>
              <w:t xml:space="preserve"> </w:t>
            </w:r>
            <w:r>
              <w:rPr>
                <w:rFonts w:ascii="Arial" w:eastAsia="Arial" w:hAnsi="Arial" w:cs="Arial"/>
                <w:b/>
                <w:i w:val="0"/>
                <w:color w:val="FFFFFF"/>
                <w:sz w:val="16"/>
                <w:u w:val="none"/>
              </w:rPr>
              <w:t>Assessed</w:t>
            </w:r>
            <w:r>
              <w:rPr>
                <w:rFonts w:ascii="Arial" w:eastAsia="Arial" w:hAnsi="Arial" w:cs="Arial"/>
                <w:b/>
                <w:i w:val="0"/>
                <w:color w:val="FFFFFF"/>
                <w:sz w:val="16"/>
                <w:u w:val="none"/>
              </w:rPr>
              <w:t xml:space="preserve"> Result</w:t>
            </w:r>
          </w:p>
        </w:tc>
        <w:tc>
          <w:tcPr>
            <w:tcW w:w="1110" w:type="dxa"/>
            <w:tcBorders>
              <w:top w:val="nil"/>
              <w:left w:val="nil"/>
              <w:bottom w:val="nil"/>
              <w:right w:val="nil"/>
            </w:tcBorders>
            <w:shd w:val="clear" w:color="auto" w:fill="4495D1"/>
            <w:tcMar>
              <w:top w:w="0" w:type="dxa"/>
              <w:left w:w="53" w:type="dxa"/>
              <w:bottom w:w="0" w:type="dxa"/>
              <w:right w:w="53" w:type="dxa"/>
            </w:tcMar>
            <w:vAlign w:val="center"/>
          </w:tcPr>
          <w:p>
            <w:pPr>
              <w:keepNext/>
              <w:pageBreakBefore w:val="0"/>
              <w:spacing w:before="0" w:after="0" w:line="288" w:lineRule="auto"/>
              <w:jc w:val="center"/>
            </w:pPr>
            <w:r>
              <w:rPr>
                <w:rFonts w:ascii="Arial" w:eastAsia="Arial" w:hAnsi="Arial" w:cs="Arial"/>
                <w:b/>
                <w:i w:val="0"/>
                <w:color w:val="FFFFFF"/>
                <w:sz w:val="16"/>
                <w:u w:val="none"/>
              </w:rPr>
              <w:t>Achievement Level</w:t>
            </w:r>
          </w:p>
        </w:tc>
      </w:tr>
      <w:tr>
        <w:tblPrEx>
          <w:tblW w:w="10245" w:type="dxa"/>
          <w:jc w:val="center"/>
          <w:tblLayout w:type="fixed"/>
          <w:tblCellMar>
            <w:left w:w="108" w:type="dxa"/>
            <w:right w:w="108" w:type="dxa"/>
          </w:tblCellMar>
        </w:tblPrEx>
        <w:trPr>
          <w:cantSplit/>
          <w:trHeight w:hRule="exact" w:val="285"/>
          <w:jc w:val="center"/>
        </w:trPr>
        <w:tc>
          <w:tcPr>
            <w:tcW w:w="3750" w:type="dxa"/>
            <w:tcBorders>
              <w:top w:val="nil"/>
              <w:left w:val="nil"/>
              <w:bottom w:val="nil"/>
              <w:right w:val="nil"/>
            </w:tcBorders>
            <w:shd w:val="clear" w:color="auto" w:fill="DBDBDB"/>
            <w:tcMar>
              <w:top w:w="0" w:type="dxa"/>
              <w:left w:w="53" w:type="dxa"/>
              <w:bottom w:w="0" w:type="dxa"/>
              <w:right w:w="53" w:type="dxa"/>
            </w:tcMar>
            <w:vAlign w:val="center"/>
          </w:tcPr>
          <w:p>
            <w:pPr>
              <w:pageBreakBefore w:val="0"/>
              <w:numPr>
                <w:ilvl w:val="0"/>
                <w:numId w:val="0"/>
              </w:numPr>
              <w:spacing w:before="0" w:after="0" w:line="288" w:lineRule="auto"/>
              <w:ind w:left="90" w:right="0" w:firstLine="0"/>
              <w:jc w:val="left"/>
              <w:outlineLvl w:val="9"/>
              <w:rPr>
                <w:rFonts w:ascii="Arial" w:eastAsia="Arial" w:hAnsi="Arial" w:cs="Arial"/>
                <w:b w:val="0"/>
                <w:i w:val="0"/>
                <w:sz w:val="16"/>
              </w:rPr>
            </w:pPr>
            <w:r>
              <w:rPr>
                <w:rFonts w:ascii="Arial" w:eastAsia="Arial" w:hAnsi="Arial" w:cs="Arial"/>
                <w:b w:val="0"/>
                <w:i w:val="0"/>
                <w:sz w:val="16"/>
              </w:rPr>
              <w:t>Adjusted ROE</w:t>
            </w:r>
            <w:r>
              <w:rPr>
                <w:rFonts w:ascii="Arial" w:eastAsia="Arial" w:hAnsi="Arial" w:cs="Arial"/>
                <w:b w:val="0"/>
                <w:i w:val="0"/>
                <w:sz w:val="16"/>
                <w:vertAlign w:val="superscript"/>
              </w:rPr>
              <w:t>(1)</w:t>
            </w:r>
          </w:p>
        </w:tc>
        <w:tc>
          <w:tcPr>
            <w:tcW w:w="990" w:type="dxa"/>
            <w:tcBorders>
              <w:top w:val="nil"/>
              <w:left w:val="nil"/>
              <w:bottom w:val="nil"/>
              <w:right w:val="nil"/>
            </w:tcBorders>
            <w:shd w:val="clear" w:color="auto" w:fill="DBDBDB"/>
            <w:tcMar>
              <w:top w:w="0" w:type="dxa"/>
              <w:left w:w="53" w:type="dxa"/>
              <w:bottom w:w="0" w:type="dxa"/>
              <w:right w:w="15" w:type="dxa"/>
            </w:tcMar>
            <w:vAlign w:val="center"/>
          </w:tcPr>
          <w:p>
            <w:pPr>
              <w:pageBreakBefore w:val="0"/>
              <w:spacing w:before="0" w:after="0" w:line="288" w:lineRule="auto"/>
              <w:jc w:val="center"/>
            </w:pPr>
            <w:r>
              <w:rPr>
                <w:rFonts w:ascii="Arial" w:eastAsia="Arial" w:hAnsi="Arial" w:cs="Arial"/>
                <w:b w:val="0"/>
                <w:i w:val="0"/>
                <w:color w:val="000000"/>
                <w:sz w:val="16"/>
                <w:u w:val="none"/>
              </w:rPr>
              <w:t>11.1%</w:t>
            </w:r>
          </w:p>
        </w:tc>
        <w:tc>
          <w:tcPr>
            <w:tcW w:w="990" w:type="dxa"/>
            <w:tcBorders>
              <w:top w:val="nil"/>
              <w:left w:val="nil"/>
              <w:bottom w:val="nil"/>
              <w:right w:val="nil"/>
            </w:tcBorders>
            <w:shd w:val="clear" w:color="auto" w:fill="DBDBDB"/>
            <w:tcMar>
              <w:top w:w="0" w:type="dxa"/>
              <w:left w:w="53" w:type="dxa"/>
              <w:bottom w:w="0" w:type="dxa"/>
              <w:right w:w="15" w:type="dxa"/>
            </w:tcMar>
            <w:vAlign w:val="center"/>
          </w:tcPr>
          <w:p>
            <w:pPr>
              <w:pageBreakBefore w:val="0"/>
              <w:spacing w:before="0" w:after="0" w:line="288" w:lineRule="auto"/>
              <w:jc w:val="center"/>
            </w:pPr>
            <w:r>
              <w:rPr>
                <w:rFonts w:ascii="Arial" w:eastAsia="Arial" w:hAnsi="Arial" w:cs="Arial"/>
                <w:b w:val="0"/>
                <w:i w:val="0"/>
                <w:color w:val="000000"/>
                <w:sz w:val="16"/>
                <w:u w:val="none"/>
              </w:rPr>
              <w:t>14.8%</w:t>
            </w:r>
          </w:p>
        </w:tc>
        <w:tc>
          <w:tcPr>
            <w:tcW w:w="1005" w:type="dxa"/>
            <w:tcBorders>
              <w:top w:val="nil"/>
              <w:left w:val="nil"/>
              <w:bottom w:val="nil"/>
              <w:right w:val="nil"/>
            </w:tcBorders>
            <w:shd w:val="clear" w:color="auto" w:fill="DBDBDB"/>
            <w:tcMar>
              <w:top w:w="0" w:type="dxa"/>
              <w:left w:w="53" w:type="dxa"/>
              <w:bottom w:w="0" w:type="dxa"/>
              <w:right w:w="15" w:type="dxa"/>
            </w:tcMar>
            <w:vAlign w:val="center"/>
          </w:tcPr>
          <w:p>
            <w:pPr>
              <w:pageBreakBefore w:val="0"/>
              <w:spacing w:before="0" w:after="0" w:line="288" w:lineRule="auto"/>
              <w:jc w:val="center"/>
            </w:pPr>
            <w:r>
              <w:rPr>
                <w:rFonts w:ascii="Arial" w:eastAsia="Arial" w:hAnsi="Arial" w:cs="Arial"/>
                <w:b w:val="0"/>
                <w:i w:val="0"/>
                <w:color w:val="000000"/>
                <w:sz w:val="16"/>
                <w:u w:val="none"/>
              </w:rPr>
              <w:t>18.5%</w:t>
            </w:r>
          </w:p>
        </w:tc>
        <w:tc>
          <w:tcPr>
            <w:tcW w:w="7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125" w:type="dxa"/>
            <w:tcBorders>
              <w:top w:val="nil"/>
              <w:left w:val="nil"/>
              <w:bottom w:val="nil"/>
              <w:right w:val="nil"/>
            </w:tcBorders>
            <w:shd w:val="clear" w:color="auto" w:fill="DBDBDB"/>
            <w:tcMar>
              <w:top w:w="0" w:type="dxa"/>
              <w:left w:w="53" w:type="dxa"/>
              <w:bottom w:w="0" w:type="dxa"/>
              <w:right w:w="15" w:type="dxa"/>
            </w:tcMar>
            <w:vAlign w:val="center"/>
          </w:tcPr>
          <w:p>
            <w:pPr>
              <w:pageBreakBefore w:val="0"/>
              <w:spacing w:before="0" w:after="0" w:line="288" w:lineRule="auto"/>
              <w:jc w:val="center"/>
            </w:pPr>
            <w:r>
              <w:rPr>
                <w:rFonts w:ascii="Arial" w:eastAsia="Arial" w:hAnsi="Arial" w:cs="Arial"/>
                <w:b w:val="0"/>
                <w:i w:val="0"/>
                <w:color w:val="000000"/>
                <w:sz w:val="16"/>
                <w:u w:val="none"/>
              </w:rPr>
              <w:t>18.8%</w:t>
            </w:r>
          </w:p>
        </w:tc>
        <w:tc>
          <w:tcPr>
            <w:tcW w:w="7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125" w:type="dxa"/>
            <w:tcBorders>
              <w:top w:val="nil"/>
              <w:left w:val="nil"/>
              <w:bottom w:val="nil"/>
              <w:right w:val="nil"/>
            </w:tcBorders>
            <w:shd w:val="clear" w:color="auto" w:fill="DBDBDB"/>
            <w:tcMar>
              <w:top w:w="0" w:type="dxa"/>
              <w:left w:w="53" w:type="dxa"/>
              <w:bottom w:w="0" w:type="dxa"/>
              <w:right w:w="15" w:type="dxa"/>
            </w:tcMar>
            <w:vAlign w:val="center"/>
          </w:tcPr>
          <w:p>
            <w:pPr>
              <w:pageBreakBefore w:val="0"/>
              <w:spacing w:before="0" w:after="0" w:line="288" w:lineRule="auto"/>
              <w:jc w:val="center"/>
            </w:pPr>
            <w:r>
              <w:rPr>
                <w:rFonts w:ascii="Arial" w:eastAsia="Arial" w:hAnsi="Arial" w:cs="Arial"/>
                <w:b w:val="0"/>
                <w:i w:val="0"/>
                <w:color w:val="000000"/>
                <w:sz w:val="16"/>
                <w:u w:val="none"/>
              </w:rPr>
              <w:t>16.0%</w:t>
            </w:r>
          </w:p>
        </w:tc>
        <w:tc>
          <w:tcPr>
            <w:tcW w:w="1110" w:type="dxa"/>
            <w:tcBorders>
              <w:top w:val="nil"/>
              <w:left w:val="nil"/>
              <w:bottom w:val="nil"/>
              <w:right w:val="nil"/>
            </w:tcBorders>
            <w:shd w:val="clear" w:color="auto" w:fill="DBDBDB"/>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val="0"/>
                <w:i w:val="0"/>
                <w:color w:val="000000"/>
                <w:sz w:val="16"/>
                <w:u w:val="none"/>
              </w:rPr>
              <w:t>Above Target</w:t>
            </w:r>
          </w:p>
        </w:tc>
      </w:tr>
    </w:tbl>
    <w:p>
      <w:pPr>
        <w:keepNext w:val="0"/>
        <w:keepLines w:val="0"/>
        <w:pageBreakBefore w:val="0"/>
        <w:widowControl/>
        <w:numPr>
          <w:ilvl w:val="0"/>
          <w:numId w:val="230"/>
        </w:numPr>
        <w:spacing w:before="12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Adjusted ROE is a Non-GAAP financial measure calculated by dividing adjusted operating income (loss) attributable to Enstar ordinary shareholders by adjusted opening Enstar ordinary shareholders’ equity.</w:t>
      </w:r>
    </w:p>
    <w:p>
      <w:pPr>
        <w:keepNext w:val="0"/>
        <w:keepLines w:val="0"/>
        <w:pageBreakBefore w:val="0"/>
        <w:widowControl/>
        <w:numPr>
          <w:ilvl w:val="0"/>
          <w:numId w:val="0"/>
        </w:numPr>
        <w:spacing w:before="0" w:after="100" w:line="288" w:lineRule="auto"/>
        <w:ind w:left="0" w:right="0" w:firstLine="0"/>
        <w:jc w:val="left"/>
        <w:outlineLvl w:val="9"/>
        <w:rPr>
          <w:rFonts w:ascii="Arial" w:eastAsia="Arial" w:hAnsi="Arial" w:cs="Arial"/>
          <w:b/>
          <w:i w:val="0"/>
          <w:color w:val="4495D1"/>
          <w:sz w:val="20"/>
          <w:u w:val="none"/>
        </w:r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val="0"/>
          <w:i w:val="0"/>
          <w:color w:val="969698"/>
          <w:sz w:val="16"/>
          <w:u w:val="none"/>
        </w:rPr>
        <w:sectPr>
          <w:headerReference w:type="default" r:id="rId228"/>
          <w:footerReference w:type="default" r:id="rId229"/>
          <w:type w:val="continuous"/>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0"/>
          <w:u w:val="none"/>
        </w:rPr>
      </w:pPr>
      <w:bookmarkStart w:id="79" w:name="Section82"/>
      <w:bookmarkEnd w:id="79"/>
    </w:p>
    <w:p>
      <w:pPr>
        <w:keepNext/>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Corporate Component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corporate component aligns to our strategic focus areas and is designed to assess performance against current year objectives that are not necessarily reflected in the Company's annual financial result but are expected to lead to medium to long-term financial returns. The Compensation Committee evaluated the Company's performance against these established objectives to determine the overall "Corporate Executive Performance Rating." Within each objective set forth below, the Compensation Committee has defined specific actions that are each assigned a point value. The entire corporate component is scored based on this point value, with an 80% score corresponding to the "target" award opportunity for each executive bonus and a 60% and 100% score corresponding to </w:t>
      </w:r>
      <w:r>
        <w:rPr>
          <w:rFonts w:ascii="Arial" w:eastAsia="Arial" w:hAnsi="Arial" w:cs="Arial"/>
          <w:b w:val="0"/>
          <w:i w:val="0"/>
          <w:sz w:val="20"/>
        </w:rPr>
        <w:t xml:space="preserve"> "threshold" and "maximum" award opportunities, respectively. </w:t>
      </w:r>
      <w:r>
        <w:rPr>
          <w:rFonts w:ascii="Arial" w:eastAsia="Arial" w:hAnsi="Arial" w:cs="Arial"/>
          <w:b w:val="0"/>
          <w:i w:val="0"/>
          <w:sz w:val="20"/>
        </w:rPr>
        <w:t>The Compensa</w:t>
      </w:r>
      <w:r>
        <w:rPr>
          <w:rFonts w:ascii="Arial" w:eastAsia="Arial" w:hAnsi="Arial" w:cs="Arial"/>
          <w:b w:val="0"/>
          <w:i w:val="0"/>
          <w:sz w:val="20"/>
        </w:rPr>
        <w:t>tion Commit</w:t>
      </w:r>
      <w:r>
        <w:rPr>
          <w:rFonts w:ascii="Arial" w:eastAsia="Arial" w:hAnsi="Arial" w:cs="Arial"/>
          <w:b w:val="0"/>
          <w:i w:val="0"/>
          <w:sz w:val="20"/>
        </w:rPr>
        <w:t xml:space="preserve">tee </w:t>
      </w:r>
      <w:r>
        <w:rPr>
          <w:rFonts w:ascii="Arial" w:eastAsia="Arial" w:hAnsi="Arial" w:cs="Arial"/>
          <w:b w:val="0"/>
          <w:i w:val="0"/>
          <w:sz w:val="20"/>
        </w:rPr>
        <w:t xml:space="preserve">assigns points values and </w:t>
      </w:r>
      <w:r>
        <w:rPr>
          <w:rFonts w:ascii="Arial" w:eastAsia="Arial" w:hAnsi="Arial" w:cs="Arial"/>
          <w:b w:val="0"/>
          <w:i w:val="0"/>
          <w:sz w:val="20"/>
        </w:rPr>
        <w:t>assess</w:t>
      </w:r>
      <w:r>
        <w:rPr>
          <w:rFonts w:ascii="Arial" w:eastAsia="Arial" w:hAnsi="Arial" w:cs="Arial"/>
          <w:b w:val="0"/>
          <w:i w:val="0"/>
          <w:sz w:val="20"/>
        </w:rPr>
        <w:t xml:space="preserve"> performance with the understanding that an 80% score corresponds to a "target</w:t>
      </w:r>
      <w:r>
        <w:rPr>
          <w:rFonts w:ascii="Arial" w:eastAsia="Arial" w:hAnsi="Arial" w:cs="Arial"/>
          <w:b w:val="0"/>
          <w:i w:val="0"/>
          <w:sz w:val="20"/>
        </w:rPr>
        <w:t xml:space="preserve">" level of </w:t>
      </w:r>
      <w:r>
        <w:rPr>
          <w:rFonts w:ascii="Arial" w:eastAsia="Arial" w:hAnsi="Arial" w:cs="Arial"/>
          <w:b w:val="0"/>
          <w:i w:val="0"/>
          <w:sz w:val="20"/>
        </w:rPr>
        <w:t>achievement</w:t>
      </w:r>
      <w:r>
        <w:rPr>
          <w:rFonts w:ascii="Arial" w:eastAsia="Arial" w:hAnsi="Arial" w:cs="Arial"/>
          <w:b w:val="0"/>
          <w:i w:val="0"/>
          <w:sz w:val="20"/>
        </w:rPr>
        <w: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 table below sets forth the corporate objective sets that made up the corporate component of the 202</w:t>
      </w:r>
      <w:r>
        <w:rPr>
          <w:rFonts w:ascii="Arial" w:eastAsia="Arial" w:hAnsi="Arial" w:cs="Arial"/>
          <w:b w:val="0"/>
          <w:i w:val="0"/>
          <w:sz w:val="20"/>
        </w:rPr>
        <w:t>3</w:t>
      </w:r>
      <w:r>
        <w:rPr>
          <w:rFonts w:ascii="Arial" w:eastAsia="Arial" w:hAnsi="Arial" w:cs="Arial"/>
          <w:b w:val="0"/>
          <w:i w:val="0"/>
          <w:sz w:val="20"/>
        </w:rPr>
        <w:t xml:space="preserve"> bonus awards, the progress that was made towards achieving each objective during the year, and the score assigned for each of these objective sets for 202</w:t>
      </w:r>
      <w:r>
        <w:rPr>
          <w:rFonts w:ascii="Arial" w:eastAsia="Arial" w:hAnsi="Arial" w:cs="Arial"/>
          <w:b w:val="0"/>
          <w:i w:val="0"/>
          <w:sz w:val="20"/>
        </w:rPr>
        <w:t>3</w:t>
      </w:r>
      <w:r>
        <w:rPr>
          <w:rFonts w:ascii="Arial" w:eastAsia="Arial" w:hAnsi="Arial" w:cs="Arial"/>
          <w:b w:val="0"/>
          <w:i w:val="0"/>
          <w:sz w:val="20"/>
        </w:rPr>
        <w:t xml:space="preserve"> by the Compensation Committee. </w:t>
      </w:r>
      <w:r>
        <w:rPr>
          <w:rFonts w:ascii="Arial" w:eastAsia="Arial" w:hAnsi="Arial" w:cs="Arial"/>
          <w:b w:val="0"/>
          <w:i w:val="0"/>
          <w:sz w:val="20"/>
        </w:rPr>
        <w:t>The corporate component was scored at 8</w:t>
      </w:r>
      <w:r>
        <w:rPr>
          <w:rFonts w:ascii="Arial" w:eastAsia="Arial" w:hAnsi="Arial" w:cs="Arial"/>
          <w:b w:val="0"/>
          <w:i w:val="0"/>
          <w:sz w:val="20"/>
        </w:rPr>
        <w:t>0%</w:t>
      </w:r>
      <w:r>
        <w:rPr>
          <w:rFonts w:ascii="Arial" w:eastAsia="Arial" w:hAnsi="Arial" w:cs="Arial"/>
          <w:b w:val="0"/>
          <w:i w:val="0"/>
          <w:sz w:val="20"/>
        </w:rPr>
        <w:t xml:space="preserve">, resulting in a "target" level of </w:t>
      </w:r>
      <w:r>
        <w:rPr>
          <w:rFonts w:ascii="Arial" w:eastAsia="Arial" w:hAnsi="Arial" w:cs="Arial"/>
          <w:b w:val="0"/>
          <w:i w:val="0"/>
          <w:sz w:val="20"/>
        </w:rPr>
        <w:t>achievement</w:t>
      </w:r>
      <w:r>
        <w:rPr>
          <w:rFonts w:ascii="Arial" w:eastAsia="Arial" w:hAnsi="Arial" w:cs="Arial"/>
          <w:b w:val="0"/>
          <w:i w:val="0"/>
          <w:sz w:val="20"/>
        </w:rPr>
        <w:t xml:space="preserve">. </w:t>
      </w:r>
    </w:p>
    <w:tbl>
      <w:tblPr>
        <w:tblW w:w="1009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885"/>
        <w:gridCol w:w="885"/>
        <w:gridCol w:w="4380"/>
        <w:gridCol w:w="945"/>
      </w:tblGrid>
      <w:tr>
        <w:tblPrEx>
          <w:tblW w:w="1009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45"/>
          <w:jc w:val="left"/>
        </w:trPr>
        <w:tc>
          <w:tcPr>
            <w:tcW w:w="3885" w:type="dxa"/>
            <w:tcBorders>
              <w:top w:val="nil"/>
              <w:left w:val="nil"/>
              <w:bottom w:val="single" w:sz="12" w:space="0" w:color="4494D1"/>
              <w:right w:val="nil"/>
            </w:tcBorders>
            <w:shd w:val="clear" w:color="auto" w:fill="FFFFFF"/>
            <w:tcMar>
              <w:top w:w="0" w:type="dxa"/>
              <w:left w:w="53" w:type="dxa"/>
              <w:bottom w:w="0" w:type="dxa"/>
              <w:right w:w="53" w:type="dxa"/>
            </w:tcMar>
            <w:vAlign w:val="bottom"/>
          </w:tcPr>
          <w:p>
            <w:pPr>
              <w:keepNext/>
              <w:pageBreakBefore w:val="0"/>
              <w:numPr>
                <w:ilvl w:val="0"/>
                <w:numId w:val="0"/>
              </w:numPr>
              <w:spacing w:before="53" w:after="0" w:line="288" w:lineRule="auto"/>
              <w:ind w:left="0" w:right="0" w:firstLine="0"/>
              <w:jc w:val="left"/>
              <w:outlineLvl w:val="9"/>
              <w:rPr>
                <w:rFonts w:ascii="Arial" w:eastAsia="Arial" w:hAnsi="Arial" w:cs="Arial"/>
                <w:b/>
                <w:i w:val="0"/>
                <w:sz w:val="16"/>
              </w:rPr>
            </w:pPr>
            <w:r>
              <w:rPr>
                <w:rFonts w:ascii="Arial" w:eastAsia="Arial" w:hAnsi="Arial" w:cs="Arial"/>
                <w:b/>
                <w:i w:val="0"/>
                <w:sz w:val="16"/>
              </w:rPr>
              <w:t>Corporate Objective Set</w:t>
            </w:r>
          </w:p>
          <w:p>
            <w:pPr>
              <w:pageBreakBefore w:val="0"/>
              <w:numPr>
                <w:ilvl w:val="0"/>
                <w:numId w:val="0"/>
              </w:numPr>
              <w:spacing w:before="0" w:after="30" w:line="288" w:lineRule="auto"/>
              <w:ind w:left="0" w:right="0" w:firstLine="0"/>
              <w:jc w:val="left"/>
              <w:outlineLvl w:val="9"/>
              <w:rPr>
                <w:rFonts w:ascii="Arial" w:eastAsia="Arial" w:hAnsi="Arial" w:cs="Arial"/>
                <w:b/>
                <w:i w:val="0"/>
                <w:sz w:val="6"/>
              </w:rPr>
            </w:pPr>
            <w:r>
              <w:rPr>
                <w:rFonts w:ascii="Arial" w:eastAsia="Arial" w:hAnsi="Arial" w:cs="Arial"/>
                <w:b/>
                <w:i w:val="0"/>
                <w:sz w:val="6"/>
              </w:rPr>
              <w:t xml:space="preserve"> </w:t>
            </w:r>
          </w:p>
        </w:tc>
        <w:tc>
          <w:tcPr>
            <w:tcW w:w="885" w:type="dxa"/>
            <w:tcBorders>
              <w:top w:val="nil"/>
              <w:left w:val="nil"/>
              <w:bottom w:val="single" w:sz="12" w:space="0" w:color="4494D1"/>
              <w:right w:val="nil"/>
            </w:tcBorders>
            <w:shd w:val="clear" w:color="auto" w:fill="FFFFFF"/>
            <w:tcMar>
              <w:top w:w="0" w:type="dxa"/>
              <w:left w:w="53" w:type="dxa"/>
              <w:bottom w:w="0" w:type="dxa"/>
              <w:right w:w="53" w:type="dxa"/>
            </w:tcMar>
            <w:vAlign w:val="bottom"/>
          </w:tcPr>
          <w:p>
            <w:pPr>
              <w:keepNext/>
              <w:pageBreakBefore w:val="0"/>
              <w:numPr>
                <w:ilvl w:val="0"/>
                <w:numId w:val="0"/>
              </w:numPr>
              <w:spacing w:before="53" w:after="0" w:line="288" w:lineRule="auto"/>
              <w:ind w:left="0" w:right="0" w:firstLine="0"/>
              <w:jc w:val="center"/>
              <w:outlineLvl w:val="9"/>
              <w:rPr>
                <w:rFonts w:ascii="Arial" w:eastAsia="Arial" w:hAnsi="Arial" w:cs="Arial"/>
                <w:b/>
                <w:i w:val="0"/>
                <w:sz w:val="16"/>
              </w:rPr>
            </w:pPr>
            <w:r>
              <w:rPr>
                <w:rFonts w:ascii="Arial" w:eastAsia="Arial" w:hAnsi="Arial" w:cs="Arial"/>
                <w:b/>
                <w:i w:val="0"/>
                <w:sz w:val="16"/>
              </w:rPr>
              <w:t>Relative Weighting</w:t>
            </w:r>
          </w:p>
          <w:p>
            <w:pPr>
              <w:pageBreakBefore w:val="0"/>
              <w:numPr>
                <w:ilvl w:val="0"/>
                <w:numId w:val="0"/>
              </w:numPr>
              <w:spacing w:before="0" w:after="30" w:line="288" w:lineRule="auto"/>
              <w:ind w:left="0" w:right="0" w:firstLine="0"/>
              <w:jc w:val="center"/>
              <w:outlineLvl w:val="9"/>
              <w:rPr>
                <w:rFonts w:ascii="Arial" w:eastAsia="Arial" w:hAnsi="Arial" w:cs="Arial"/>
                <w:b/>
                <w:i w:val="0"/>
                <w:sz w:val="6"/>
              </w:rPr>
            </w:pPr>
            <w:r>
              <w:rPr>
                <w:rFonts w:ascii="Arial" w:eastAsia="Arial" w:hAnsi="Arial" w:cs="Arial"/>
                <w:b/>
                <w:i w:val="0"/>
                <w:sz w:val="6"/>
              </w:rPr>
              <w:t xml:space="preserve"> </w:t>
            </w:r>
          </w:p>
        </w:tc>
        <w:tc>
          <w:tcPr>
            <w:tcW w:w="4380" w:type="dxa"/>
            <w:tcBorders>
              <w:top w:val="nil"/>
              <w:left w:val="nil"/>
              <w:bottom w:val="single" w:sz="12" w:space="0" w:color="4494D1"/>
              <w:right w:val="nil"/>
            </w:tcBorders>
            <w:shd w:val="clear" w:color="auto" w:fill="FFFFFF"/>
            <w:tcMar>
              <w:top w:w="0" w:type="dxa"/>
              <w:left w:w="53" w:type="dxa"/>
              <w:bottom w:w="0" w:type="dxa"/>
              <w:right w:w="53" w:type="dxa"/>
            </w:tcMar>
            <w:vAlign w:val="bottom"/>
          </w:tcPr>
          <w:p>
            <w:pPr>
              <w:keepNext/>
              <w:pageBreakBefore w:val="0"/>
              <w:numPr>
                <w:ilvl w:val="0"/>
                <w:numId w:val="0"/>
              </w:numPr>
              <w:spacing w:before="53" w:after="0" w:line="288" w:lineRule="auto"/>
              <w:ind w:left="0" w:right="0" w:firstLine="90"/>
              <w:jc w:val="left"/>
              <w:outlineLvl w:val="9"/>
              <w:rPr>
                <w:rFonts w:ascii="Arial" w:eastAsia="Arial" w:hAnsi="Arial" w:cs="Arial"/>
                <w:b/>
                <w:i w:val="0"/>
                <w:sz w:val="16"/>
              </w:rPr>
            </w:pPr>
            <w:r>
              <w:rPr>
                <w:rFonts w:ascii="Arial" w:eastAsia="Arial" w:hAnsi="Arial" w:cs="Arial"/>
                <w:b/>
                <w:i w:val="0"/>
                <w:color w:val="000000"/>
                <w:sz w:val="16"/>
                <w:u w:val="none"/>
              </w:rPr>
              <w:t>2023</w:t>
            </w:r>
            <w:r>
              <w:rPr>
                <w:rFonts w:ascii="Arial" w:eastAsia="Arial" w:hAnsi="Arial" w:cs="Arial"/>
                <w:b/>
                <w:i w:val="0"/>
                <w:sz w:val="16"/>
              </w:rPr>
              <w:t xml:space="preserve"> Achievements</w:t>
            </w:r>
          </w:p>
          <w:p>
            <w:pPr>
              <w:pageBreakBefore w:val="0"/>
              <w:numPr>
                <w:ilvl w:val="0"/>
                <w:numId w:val="0"/>
              </w:numPr>
              <w:spacing w:before="0" w:after="30" w:line="288" w:lineRule="auto"/>
              <w:ind w:left="0" w:right="0" w:firstLine="90"/>
              <w:jc w:val="left"/>
              <w:outlineLvl w:val="9"/>
              <w:rPr>
                <w:rFonts w:ascii="Arial" w:eastAsia="Arial" w:hAnsi="Arial" w:cs="Arial"/>
                <w:b/>
                <w:i w:val="0"/>
                <w:sz w:val="6"/>
              </w:rPr>
            </w:pPr>
            <w:r>
              <w:rPr>
                <w:rFonts w:ascii="Arial" w:eastAsia="Arial" w:hAnsi="Arial" w:cs="Arial"/>
                <w:b/>
                <w:i w:val="0"/>
                <w:sz w:val="6"/>
              </w:rPr>
              <w:t xml:space="preserve"> </w:t>
            </w:r>
          </w:p>
        </w:tc>
        <w:tc>
          <w:tcPr>
            <w:tcW w:w="945" w:type="dxa"/>
            <w:tcBorders>
              <w:top w:val="nil"/>
              <w:left w:val="nil"/>
              <w:bottom w:val="single" w:sz="12" w:space="0" w:color="4494D1"/>
              <w:right w:val="nil"/>
            </w:tcBorders>
            <w:shd w:val="clear" w:color="auto" w:fill="FFFFFF"/>
            <w:tcMar>
              <w:top w:w="0" w:type="dxa"/>
              <w:left w:w="53" w:type="dxa"/>
              <w:bottom w:w="0" w:type="dxa"/>
              <w:right w:w="53" w:type="dxa"/>
            </w:tcMar>
            <w:vAlign w:val="bottom"/>
          </w:tcPr>
          <w:p>
            <w:pPr>
              <w:keepNext/>
              <w:pageBreakBefore w:val="0"/>
              <w:numPr>
                <w:ilvl w:val="0"/>
                <w:numId w:val="0"/>
              </w:numPr>
              <w:spacing w:before="53" w:after="0" w:line="288" w:lineRule="auto"/>
              <w:ind w:left="0" w:right="0" w:firstLine="0"/>
              <w:jc w:val="center"/>
              <w:outlineLvl w:val="9"/>
              <w:rPr>
                <w:rFonts w:ascii="Arial" w:eastAsia="Arial" w:hAnsi="Arial" w:cs="Arial"/>
                <w:b/>
                <w:i w:val="0"/>
                <w:sz w:val="16"/>
              </w:rPr>
            </w:pPr>
            <w:r>
              <w:rPr>
                <w:rFonts w:ascii="Arial" w:eastAsia="Arial" w:hAnsi="Arial" w:cs="Arial"/>
                <w:b/>
                <w:i w:val="0"/>
                <w:color w:val="000000"/>
                <w:sz w:val="16"/>
                <w:u w:val="none"/>
              </w:rPr>
              <w:t>2023</w:t>
            </w:r>
            <w:r>
              <w:rPr>
                <w:rFonts w:ascii="Arial" w:eastAsia="Arial" w:hAnsi="Arial" w:cs="Arial"/>
                <w:b/>
                <w:i w:val="0"/>
                <w:sz w:val="16"/>
              </w:rPr>
              <w:t xml:space="preserve"> Score (%)</w:t>
            </w:r>
          </w:p>
          <w:p>
            <w:pPr>
              <w:pageBreakBefore w:val="0"/>
              <w:numPr>
                <w:ilvl w:val="0"/>
                <w:numId w:val="0"/>
              </w:numPr>
              <w:spacing w:before="0" w:after="30" w:line="288" w:lineRule="auto"/>
              <w:ind w:left="0" w:right="0" w:firstLine="0"/>
              <w:jc w:val="center"/>
              <w:outlineLvl w:val="9"/>
              <w:rPr>
                <w:rFonts w:ascii="Arial" w:eastAsia="Arial" w:hAnsi="Arial" w:cs="Arial"/>
                <w:b/>
                <w:i w:val="0"/>
                <w:sz w:val="6"/>
              </w:rPr>
            </w:pPr>
            <w:r>
              <w:rPr>
                <w:rFonts w:ascii="Arial" w:eastAsia="Arial" w:hAnsi="Arial" w:cs="Arial"/>
                <w:b/>
                <w:i w:val="0"/>
                <w:sz w:val="6"/>
              </w:rPr>
              <w:t xml:space="preserve"> </w:t>
            </w:r>
          </w:p>
        </w:tc>
      </w:tr>
      <w:tr>
        <w:tblPrEx>
          <w:tblW w:w="10095" w:type="dxa"/>
          <w:jc w:val="left"/>
          <w:tblInd w:w="0" w:type="dxa"/>
          <w:tblLayout w:type="fixed"/>
          <w:tblCellMar>
            <w:left w:w="108" w:type="dxa"/>
            <w:right w:w="108" w:type="dxa"/>
          </w:tblCellMar>
        </w:tblPrEx>
        <w:trPr>
          <w:cantSplit/>
          <w:trHeight w:hRule="exact" w:val="1875"/>
          <w:jc w:val="left"/>
        </w:trPr>
        <w:tc>
          <w:tcPr>
            <w:tcW w:w="3885" w:type="dxa"/>
            <w:tcBorders>
              <w:top w:val="single" w:sz="12" w:space="0" w:color="4494D1"/>
              <w:left w:val="nil"/>
              <w:bottom w:val="single" w:sz="4" w:space="0" w:color="000000"/>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60" w:line="240" w:lineRule="auto"/>
              <w:ind w:left="0" w:right="0" w:firstLine="0"/>
              <w:jc w:val="left"/>
              <w:outlineLvl w:val="9"/>
              <w:rPr>
                <w:rFonts w:ascii="Arial" w:eastAsia="Arial" w:hAnsi="Arial" w:cs="Arial"/>
                <w:b/>
                <w:i w:val="0"/>
                <w:sz w:val="16"/>
              </w:rPr>
            </w:pPr>
            <w:r>
              <w:rPr>
                <w:rFonts w:ascii="Arial" w:eastAsia="Arial" w:hAnsi="Arial" w:cs="Arial"/>
                <w:b/>
                <w:i w:val="0"/>
                <w:sz w:val="16"/>
              </w:rPr>
              <w:t>M&amp;A: Quality of New Business</w:t>
            </w:r>
          </w:p>
          <w:p>
            <w:pPr>
              <w:pageBreakBefore w:val="0"/>
              <w:numPr>
                <w:ilvl w:val="0"/>
                <w:numId w:val="0"/>
              </w:numPr>
              <w:spacing w:before="0" w:after="0" w:line="240" w:lineRule="auto"/>
              <w:ind w:left="0" w:right="0" w:firstLine="0"/>
              <w:jc w:val="left"/>
              <w:outlineLvl w:val="9"/>
              <w:rPr>
                <w:rFonts w:ascii="Arial" w:eastAsia="Arial" w:hAnsi="Arial" w:cs="Arial"/>
                <w:b/>
                <w:i w:val="0"/>
                <w:sz w:val="16"/>
              </w:rPr>
            </w:pPr>
            <w:r>
              <w:rPr>
                <w:rFonts w:ascii="Arial" w:eastAsia="Arial" w:hAnsi="Arial" w:cs="Arial"/>
                <w:b w:val="0"/>
                <w:i w:val="0"/>
                <w:sz w:val="16"/>
              </w:rPr>
              <w:t>Require</w:t>
            </w:r>
            <w:r>
              <w:rPr>
                <w:rFonts w:ascii="Arial" w:eastAsia="Arial" w:hAnsi="Arial" w:cs="Arial"/>
                <w:b w:val="0"/>
                <w:i w:val="0"/>
                <w:sz w:val="16"/>
              </w:rPr>
              <w:t>d</w:t>
            </w:r>
            <w:r>
              <w:rPr>
                <w:rFonts w:ascii="Arial" w:eastAsia="Arial" w:hAnsi="Arial" w:cs="Arial"/>
                <w:b w:val="0"/>
                <w:i w:val="0"/>
                <w:sz w:val="16"/>
              </w:rPr>
              <w:t xml:space="preserve"> the </w:t>
            </w:r>
            <w:r>
              <w:rPr>
                <w:rFonts w:ascii="Arial" w:eastAsia="Arial" w:hAnsi="Arial" w:cs="Arial"/>
                <w:b w:val="0"/>
                <w:i w:val="0"/>
                <w:sz w:val="16"/>
              </w:rPr>
              <w:t>acquisition</w:t>
            </w:r>
            <w:r>
              <w:rPr>
                <w:rFonts w:ascii="Arial" w:eastAsia="Arial" w:hAnsi="Arial" w:cs="Arial"/>
                <w:b w:val="0"/>
                <w:i w:val="0"/>
                <w:sz w:val="16"/>
              </w:rPr>
              <w:t xml:space="preserve"> of </w:t>
            </w:r>
            <w:r>
              <w:rPr>
                <w:rFonts w:ascii="Arial" w:eastAsia="Arial" w:hAnsi="Arial" w:cs="Arial"/>
                <w:b w:val="0"/>
                <w:i w:val="0"/>
                <w:sz w:val="16"/>
              </w:rPr>
              <w:t xml:space="preserve">new insurance business </w:t>
            </w:r>
            <w:r>
              <w:rPr>
                <w:rFonts w:ascii="Arial" w:eastAsia="Arial" w:hAnsi="Arial" w:cs="Arial"/>
                <w:b w:val="0"/>
                <w:i w:val="0"/>
                <w:sz w:val="16"/>
              </w:rPr>
              <w:t>that meets specified return targets based on both the annual and five year business plans</w:t>
            </w:r>
            <w:r>
              <w:rPr>
                <w:rFonts w:ascii="Arial" w:eastAsia="Arial" w:hAnsi="Arial" w:cs="Arial"/>
                <w:b w:val="0"/>
                <w:i w:val="0"/>
                <w:sz w:val="16"/>
              </w:rPr>
              <w:t xml:space="preserve"> </w:t>
            </w:r>
            <w:r>
              <w:rPr>
                <w:rFonts w:ascii="Arial" w:eastAsia="Arial" w:hAnsi="Arial" w:cs="Arial"/>
                <w:b w:val="0"/>
                <w:i w:val="0"/>
                <w:sz w:val="16"/>
              </w:rPr>
              <w:t xml:space="preserve">to support </w:t>
            </w:r>
            <w:r>
              <w:rPr>
                <w:rFonts w:ascii="Arial" w:eastAsia="Arial" w:hAnsi="Arial" w:cs="Arial"/>
                <w:b w:val="0"/>
                <w:i w:val="0"/>
                <w:sz w:val="16"/>
              </w:rPr>
              <w:t xml:space="preserve">our Run-off </w:t>
            </w:r>
            <w:r>
              <w:rPr>
                <w:rFonts w:ascii="Arial" w:eastAsia="Arial" w:hAnsi="Arial" w:cs="Arial"/>
                <w:b w:val="0"/>
                <w:i w:val="0"/>
                <w:sz w:val="16"/>
              </w:rPr>
              <w:t>segment</w:t>
            </w:r>
            <w:r>
              <w:rPr>
                <w:rFonts w:ascii="Arial" w:eastAsia="Arial" w:hAnsi="Arial" w:cs="Arial"/>
                <w:b w:val="0"/>
                <w:i w:val="0"/>
                <w:sz w:val="16"/>
              </w:rPr>
              <w:t xml:space="preserve"> </w:t>
            </w:r>
          </w:p>
        </w:tc>
        <w:tc>
          <w:tcPr>
            <w:tcW w:w="885" w:type="dxa"/>
            <w:tcBorders>
              <w:top w:val="single" w:sz="12" w:space="0" w:color="4494D1"/>
              <w:left w:val="nil"/>
              <w:bottom w:val="single" w:sz="4" w:space="0" w:color="000000"/>
              <w:right w:val="nil"/>
            </w:tcBorders>
            <w:shd w:val="clear" w:color="auto" w:fill="FFFFFF"/>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16"/>
                <w:u w:val="none"/>
              </w:rPr>
              <w:t>30%</w:t>
            </w:r>
          </w:p>
        </w:tc>
        <w:tc>
          <w:tcPr>
            <w:tcW w:w="4380" w:type="dxa"/>
            <w:tcBorders>
              <w:top w:val="single" w:sz="12" w:space="0" w:color="4494D1"/>
              <w:left w:val="nil"/>
              <w:bottom w:val="single" w:sz="4" w:space="0" w:color="000000"/>
              <w:right w:val="nil"/>
            </w:tcBorders>
            <w:shd w:val="clear" w:color="auto" w:fill="FFFFFF"/>
            <w:tcMar>
              <w:top w:w="0" w:type="dxa"/>
              <w:left w:w="53" w:type="dxa"/>
              <w:bottom w:w="0" w:type="dxa"/>
              <w:right w:w="53" w:type="dxa"/>
            </w:tcMar>
            <w:vAlign w:val="center"/>
          </w:tcPr>
          <w:p>
            <w:pPr>
              <w:keepNext/>
              <w:pageBreakBefore w:val="0"/>
              <w:numPr>
                <w:ilvl w:val="0"/>
                <w:numId w:val="240"/>
              </w:numPr>
              <w:spacing w:before="0" w:after="60" w:line="240" w:lineRule="auto"/>
              <w:ind w:left="270" w:right="0" w:hanging="180"/>
              <w:jc w:val="left"/>
              <w:outlineLvl w:val="9"/>
              <w:rPr>
                <w:rFonts w:ascii="Arial" w:eastAsia="Arial" w:hAnsi="Arial" w:cs="Arial"/>
                <w:b w:val="0"/>
                <w:i w:val="0"/>
                <w:color w:val="026DCE"/>
                <w:sz w:val="16"/>
                <w:u w:val="none"/>
              </w:rPr>
            </w:pPr>
            <w:r>
              <w:rPr>
                <w:rFonts w:ascii="Arial" w:eastAsia="Arial" w:hAnsi="Arial" w:cs="Arial"/>
                <w:b w:val="0"/>
                <w:i w:val="0"/>
                <w:sz w:val="16"/>
              </w:rPr>
              <w:t>C</w:t>
            </w:r>
            <w:r>
              <w:rPr>
                <w:rFonts w:ascii="Arial" w:eastAsia="Arial" w:hAnsi="Arial" w:cs="Arial"/>
                <w:b w:val="0"/>
                <w:i w:val="0"/>
                <w:sz w:val="16"/>
              </w:rPr>
              <w:t xml:space="preserve">ompleted a $2 billion loss portfolio transfer with </w:t>
            </w:r>
            <w:r>
              <w:rPr>
                <w:rFonts w:ascii="Arial" w:eastAsia="Arial" w:hAnsi="Arial" w:cs="Arial"/>
                <w:b w:val="0"/>
                <w:i w:val="0"/>
                <w:sz w:val="16"/>
              </w:rPr>
              <w:t xml:space="preserve">longstanding partner </w:t>
            </w:r>
            <w:r>
              <w:rPr>
                <w:rFonts w:ascii="Arial" w:eastAsia="Arial" w:hAnsi="Arial" w:cs="Arial"/>
                <w:b w:val="0"/>
                <w:i w:val="0"/>
                <w:sz w:val="16"/>
              </w:rPr>
              <w:t>QBE</w:t>
            </w:r>
            <w:r>
              <w:rPr>
                <w:rFonts w:ascii="Arial" w:eastAsia="Arial" w:hAnsi="Arial" w:cs="Arial"/>
                <w:b w:val="0"/>
                <w:i w:val="0"/>
                <w:sz w:val="16"/>
              </w:rPr>
              <w:t xml:space="preserve"> and </w:t>
            </w:r>
            <w:r>
              <w:rPr>
                <w:rFonts w:ascii="Arial" w:eastAsia="Arial" w:hAnsi="Arial" w:cs="Arial"/>
                <w:b w:val="0"/>
                <w:i w:val="0"/>
                <w:sz w:val="16"/>
              </w:rPr>
              <w:t>an approximate $180 million loss portfolio transfer with RACQ</w:t>
            </w:r>
            <w:r>
              <w:rPr>
                <w:rFonts w:ascii="Arial" w:eastAsia="Arial" w:hAnsi="Arial" w:cs="Arial"/>
                <w:b w:val="0"/>
                <w:i w:val="0"/>
                <w:sz w:val="16"/>
              </w:rPr>
              <w:t xml:space="preserve"> </w:t>
            </w:r>
            <w:r>
              <w:rPr>
                <w:rFonts w:ascii="Arial" w:eastAsia="Arial" w:hAnsi="Arial" w:cs="Arial"/>
                <w:b w:val="0"/>
                <w:i w:val="0"/>
                <w:sz w:val="16"/>
              </w:rPr>
              <w:t>Insurance</w:t>
            </w:r>
            <w:r>
              <w:rPr>
                <w:rFonts w:ascii="Arial" w:eastAsia="Arial" w:hAnsi="Arial" w:cs="Arial"/>
                <w:b w:val="0"/>
                <w:i w:val="0"/>
                <w:sz w:val="16"/>
              </w:rPr>
              <w:t>.</w:t>
            </w:r>
          </w:p>
          <w:p>
            <w:pPr>
              <w:pageBreakBefore w:val="0"/>
              <w:numPr>
                <w:ilvl w:val="0"/>
                <w:numId w:val="241"/>
              </w:numPr>
              <w:spacing w:before="0" w:after="60" w:line="240" w:lineRule="auto"/>
              <w:ind w:left="270" w:right="0" w:hanging="180"/>
              <w:jc w:val="left"/>
              <w:outlineLvl w:val="9"/>
              <w:rPr>
                <w:rFonts w:ascii="Arial" w:eastAsia="Arial" w:hAnsi="Arial" w:cs="Arial"/>
                <w:b w:val="0"/>
                <w:i w:val="0"/>
                <w:color w:val="026DCE"/>
                <w:sz w:val="16"/>
                <w:u w:val="none"/>
              </w:rPr>
            </w:pPr>
            <w:r>
              <w:rPr>
                <w:rFonts w:ascii="Arial" w:eastAsia="Arial" w:hAnsi="Arial" w:cs="Arial"/>
                <w:b w:val="0"/>
                <w:i w:val="0"/>
                <w:sz w:val="16"/>
              </w:rPr>
              <w:t>C</w:t>
            </w:r>
            <w:r>
              <w:rPr>
                <w:rFonts w:ascii="Arial" w:eastAsia="Arial" w:hAnsi="Arial" w:cs="Arial"/>
                <w:b w:val="0"/>
                <w:i w:val="0"/>
                <w:sz w:val="16"/>
              </w:rPr>
              <w:t xml:space="preserve">ompleted </w:t>
            </w:r>
            <w:r>
              <w:rPr>
                <w:rFonts w:ascii="Arial" w:eastAsia="Arial" w:hAnsi="Arial" w:cs="Arial"/>
                <w:b w:val="0"/>
                <w:i w:val="0"/>
                <w:sz w:val="16"/>
              </w:rPr>
              <w:t xml:space="preserve">bespoke transaction with AIG, providing protection on their </w:t>
            </w:r>
            <w:r>
              <w:rPr>
                <w:rFonts w:ascii="Arial" w:eastAsia="Arial" w:hAnsi="Arial" w:cs="Arial"/>
                <w:b w:val="0"/>
                <w:i w:val="0"/>
                <w:sz w:val="16"/>
              </w:rPr>
              <w:t xml:space="preserve">retained exposure to adverse development on Validus Re’s loss reserves, </w:t>
            </w:r>
            <w:r>
              <w:rPr>
                <w:rFonts w:ascii="Arial" w:eastAsia="Arial" w:hAnsi="Arial" w:cs="Arial"/>
                <w:b w:val="0"/>
                <w:i w:val="0"/>
                <w:sz w:val="16"/>
              </w:rPr>
              <w:t>following AIG’s sale of the business to Ren</w:t>
            </w:r>
            <w:r>
              <w:rPr>
                <w:rFonts w:ascii="Arial" w:eastAsia="Arial" w:hAnsi="Arial" w:cs="Arial"/>
                <w:b w:val="0"/>
                <w:i w:val="0"/>
                <w:sz w:val="16"/>
              </w:rPr>
              <w:t>aissance</w:t>
            </w:r>
            <w:r>
              <w:rPr>
                <w:rFonts w:ascii="Arial" w:eastAsia="Arial" w:hAnsi="Arial" w:cs="Arial"/>
                <w:b w:val="0"/>
                <w:i w:val="0"/>
                <w:sz w:val="16"/>
              </w:rPr>
              <w:t>Re</w:t>
            </w:r>
            <w:r>
              <w:rPr>
                <w:rFonts w:ascii="Arial" w:eastAsia="Arial" w:hAnsi="Arial" w:cs="Arial"/>
                <w:b w:val="0"/>
                <w:i w:val="0"/>
                <w:sz w:val="16"/>
              </w:rPr>
              <w:t xml:space="preserve"> Ltd</w:t>
            </w:r>
            <w:r>
              <w:rPr>
                <w:rFonts w:ascii="Arial" w:eastAsia="Arial" w:hAnsi="Arial" w:cs="Arial"/>
                <w:b w:val="0"/>
                <w:i w:val="0"/>
                <w:sz w:val="16"/>
              </w:rPr>
              <w:t>.</w:t>
            </w:r>
          </w:p>
          <w:p>
            <w:pPr>
              <w:pageBreakBefore w:val="0"/>
              <w:numPr>
                <w:ilvl w:val="0"/>
                <w:numId w:val="242"/>
              </w:numPr>
              <w:spacing w:before="0" w:after="0" w:line="240" w:lineRule="auto"/>
              <w:ind w:left="270" w:right="0" w:hanging="180"/>
              <w:jc w:val="left"/>
              <w:outlineLvl w:val="9"/>
              <w:rPr>
                <w:rFonts w:ascii="Arial" w:eastAsia="Arial" w:hAnsi="Arial" w:cs="Arial"/>
                <w:b w:val="0"/>
                <w:i w:val="0"/>
                <w:color w:val="026DCE"/>
                <w:sz w:val="16"/>
                <w:u w:val="none"/>
              </w:rPr>
            </w:pPr>
            <w:r>
              <w:rPr>
                <w:rFonts w:ascii="Arial" w:eastAsia="Arial" w:hAnsi="Arial" w:cs="Arial"/>
                <w:b w:val="0"/>
                <w:i w:val="0"/>
                <w:sz w:val="16"/>
              </w:rPr>
              <w:t>The</w:t>
            </w:r>
            <w:r>
              <w:rPr>
                <w:rFonts w:ascii="Arial" w:eastAsia="Arial" w:hAnsi="Arial" w:cs="Arial"/>
                <w:b w:val="0"/>
                <w:i w:val="0"/>
                <w:sz w:val="16"/>
              </w:rPr>
              <w:t xml:space="preserve">se transactions resulted in the assumption of </w:t>
            </w:r>
            <w:r>
              <w:rPr>
                <w:rFonts w:ascii="Arial" w:eastAsia="Arial" w:hAnsi="Arial" w:cs="Arial"/>
                <w:b w:val="0"/>
                <w:i w:val="0"/>
                <w:sz w:val="16"/>
              </w:rPr>
              <w:t>$2.</w:t>
            </w:r>
            <w:r>
              <w:rPr>
                <w:rFonts w:ascii="Arial" w:eastAsia="Arial" w:hAnsi="Arial" w:cs="Arial"/>
                <w:b w:val="0"/>
                <w:i w:val="0"/>
                <w:sz w:val="16"/>
              </w:rPr>
              <w:t>2</w:t>
            </w:r>
            <w:r>
              <w:rPr>
                <w:rFonts w:ascii="Arial" w:eastAsia="Arial" w:hAnsi="Arial" w:cs="Arial"/>
                <w:b w:val="0"/>
                <w:i w:val="0"/>
                <w:sz w:val="16"/>
              </w:rPr>
              <w:t xml:space="preserve"> billion of</w:t>
            </w:r>
            <w:r>
              <w:rPr>
                <w:rFonts w:ascii="Arial" w:eastAsia="Arial" w:hAnsi="Arial" w:cs="Arial"/>
                <w:b w:val="0"/>
                <w:i w:val="0"/>
                <w:sz w:val="16"/>
              </w:rPr>
              <w:t xml:space="preserve"> </w:t>
            </w:r>
            <w:r>
              <w:rPr>
                <w:rFonts w:ascii="Arial" w:eastAsia="Arial" w:hAnsi="Arial" w:cs="Arial"/>
                <w:b w:val="0"/>
                <w:i w:val="0"/>
                <w:sz w:val="16"/>
              </w:rPr>
              <w:t xml:space="preserve">net </w:t>
            </w:r>
            <w:r>
              <w:rPr>
                <w:rFonts w:ascii="Arial" w:eastAsia="Arial" w:hAnsi="Arial" w:cs="Arial"/>
                <w:b w:val="0"/>
                <w:i w:val="0"/>
                <w:sz w:val="16"/>
              </w:rPr>
              <w:t xml:space="preserve">loss reserves and </w:t>
            </w:r>
            <w:r>
              <w:rPr>
                <w:rFonts w:ascii="Arial" w:eastAsia="Arial" w:hAnsi="Arial" w:cs="Arial"/>
                <w:b w:val="0"/>
                <w:i w:val="0"/>
                <w:sz w:val="16"/>
              </w:rPr>
              <w:t>met required return targets</w:t>
            </w:r>
            <w:r>
              <w:rPr>
                <w:rFonts w:ascii="Arial" w:eastAsia="Arial" w:hAnsi="Arial" w:cs="Arial"/>
                <w:b w:val="0"/>
                <w:i w:val="0"/>
                <w:sz w:val="16"/>
              </w:rPr>
              <w:t>.</w:t>
            </w:r>
            <w:r>
              <w:rPr>
                <w:rFonts w:ascii="Arial" w:eastAsia="Arial" w:hAnsi="Arial" w:cs="Arial"/>
                <w:b w:val="0"/>
                <w:i w:val="0"/>
                <w:sz w:val="16"/>
              </w:rPr>
              <w:t xml:space="preserve"> </w:t>
            </w:r>
          </w:p>
        </w:tc>
        <w:tc>
          <w:tcPr>
            <w:tcW w:w="945" w:type="dxa"/>
            <w:tcBorders>
              <w:top w:val="single" w:sz="12" w:space="0" w:color="4494D1"/>
              <w:left w:val="nil"/>
              <w:bottom w:val="single" w:sz="4" w:space="0" w:color="000000"/>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100%</w:t>
            </w:r>
          </w:p>
        </w:tc>
      </w:tr>
      <w:tr>
        <w:tblPrEx>
          <w:tblW w:w="10095" w:type="dxa"/>
          <w:jc w:val="left"/>
          <w:tblInd w:w="0" w:type="dxa"/>
          <w:tblLayout w:type="fixed"/>
          <w:tblCellMar>
            <w:left w:w="108" w:type="dxa"/>
            <w:right w:w="108" w:type="dxa"/>
          </w:tblCellMar>
        </w:tblPrEx>
        <w:trPr>
          <w:cantSplit/>
          <w:trHeight w:hRule="exact" w:val="1785"/>
          <w:jc w:val="left"/>
        </w:trPr>
        <w:tc>
          <w:tcPr>
            <w:tcW w:w="3885" w:type="dxa"/>
            <w:tcBorders>
              <w:top w:val="single" w:sz="4" w:space="0" w:color="000000"/>
              <w:left w:val="nil"/>
              <w:bottom w:val="single" w:sz="4" w:space="0" w:color="000000"/>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i w:val="0"/>
                <w:sz w:val="16"/>
              </w:rPr>
            </w:pPr>
            <w:r>
              <w:rPr>
                <w:rFonts w:ascii="Arial" w:eastAsia="Arial" w:hAnsi="Arial" w:cs="Arial"/>
                <w:b/>
                <w:i w:val="0"/>
                <w:sz w:val="16"/>
              </w:rPr>
              <w:t>Operational Change: Investment in Scale and Efficiency for the Future</w:t>
            </w:r>
          </w:p>
          <w:p>
            <w:pPr>
              <w:pageBreakBefore w:val="0"/>
              <w:numPr>
                <w:ilvl w:val="0"/>
                <w:numId w:val="0"/>
              </w:numPr>
              <w:spacing w:before="60" w:after="0" w:line="240" w:lineRule="auto"/>
              <w:ind w:left="0" w:right="0" w:firstLine="0"/>
              <w:jc w:val="left"/>
              <w:outlineLvl w:val="9"/>
              <w:rPr>
                <w:rFonts w:ascii="Arial" w:eastAsia="Arial" w:hAnsi="Arial" w:cs="Arial"/>
                <w:b/>
                <w:i w:val="0"/>
                <w:sz w:val="16"/>
              </w:rPr>
            </w:pPr>
            <w:r>
              <w:rPr>
                <w:rFonts w:ascii="Arial" w:eastAsia="Arial" w:hAnsi="Arial" w:cs="Arial"/>
                <w:b w:val="0"/>
                <w:i w:val="0"/>
                <w:sz w:val="16"/>
              </w:rPr>
              <w:t xml:space="preserve">Required </w:t>
            </w:r>
            <w:r>
              <w:rPr>
                <w:rFonts w:ascii="Arial" w:eastAsia="Arial" w:hAnsi="Arial" w:cs="Arial"/>
                <w:b w:val="0"/>
                <w:i w:val="0"/>
                <w:sz w:val="16"/>
              </w:rPr>
              <w:t xml:space="preserve">completion of </w:t>
            </w:r>
            <w:r>
              <w:rPr>
                <w:rFonts w:ascii="Arial" w:eastAsia="Arial" w:hAnsi="Arial" w:cs="Arial"/>
                <w:b w:val="0"/>
                <w:i w:val="0"/>
                <w:sz w:val="16"/>
              </w:rPr>
              <w:t>milestones</w:t>
            </w:r>
            <w:r>
              <w:rPr>
                <w:rFonts w:ascii="Arial" w:eastAsia="Arial" w:hAnsi="Arial" w:cs="Arial"/>
                <w:b w:val="0"/>
                <w:i w:val="0"/>
                <w:sz w:val="16"/>
              </w:rPr>
              <w:t xml:space="preserve"> on major projects relating to claims systems improvements</w:t>
            </w:r>
            <w:r>
              <w:rPr>
                <w:rFonts w:ascii="Arial" w:eastAsia="Arial" w:hAnsi="Arial" w:cs="Arial"/>
                <w:b w:val="0"/>
                <w:i w:val="0"/>
                <w:sz w:val="16"/>
              </w:rPr>
              <w:t xml:space="preserve">, finance systems </w:t>
            </w:r>
            <w:r>
              <w:rPr>
                <w:rFonts w:ascii="Arial" w:eastAsia="Arial" w:hAnsi="Arial" w:cs="Arial"/>
                <w:b w:val="0"/>
                <w:i w:val="0"/>
                <w:sz w:val="16"/>
              </w:rPr>
              <w:t xml:space="preserve">improvements, and the implementation of a new </w:t>
            </w:r>
            <w:r>
              <w:rPr>
                <w:rFonts w:ascii="Arial" w:eastAsia="Arial" w:hAnsi="Arial" w:cs="Arial"/>
                <w:b w:val="0"/>
                <w:i w:val="0"/>
                <w:sz w:val="16"/>
              </w:rPr>
              <w:t>governance, risk, and compliance system.</w:t>
            </w:r>
          </w:p>
        </w:tc>
        <w:tc>
          <w:tcPr>
            <w:tcW w:w="885" w:type="dxa"/>
            <w:tcBorders>
              <w:top w:val="single" w:sz="4" w:space="0" w:color="000000"/>
              <w:left w:val="nil"/>
              <w:bottom w:val="single" w:sz="4" w:space="0" w:color="000000"/>
              <w:right w:val="nil"/>
            </w:tcBorders>
            <w:shd w:val="clear" w:color="auto" w:fill="FFFFFF"/>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16"/>
                <w:u w:val="none"/>
              </w:rPr>
              <w:t>30%</w:t>
            </w:r>
          </w:p>
        </w:tc>
        <w:tc>
          <w:tcPr>
            <w:tcW w:w="4380" w:type="dxa"/>
            <w:tcBorders>
              <w:top w:val="single" w:sz="4" w:space="0" w:color="000000"/>
              <w:left w:val="nil"/>
              <w:bottom w:val="single" w:sz="4" w:space="0" w:color="000000"/>
              <w:right w:val="nil"/>
            </w:tcBorders>
            <w:shd w:val="clear" w:color="auto" w:fill="FFFFFF"/>
            <w:tcMar>
              <w:top w:w="0" w:type="dxa"/>
              <w:left w:w="53" w:type="dxa"/>
              <w:bottom w:w="0" w:type="dxa"/>
              <w:right w:w="53" w:type="dxa"/>
            </w:tcMar>
            <w:vAlign w:val="center"/>
          </w:tcPr>
          <w:p>
            <w:pPr>
              <w:keepNext/>
              <w:pageBreakBefore w:val="0"/>
              <w:numPr>
                <w:ilvl w:val="0"/>
                <w:numId w:val="237"/>
              </w:numPr>
              <w:spacing w:before="0" w:after="60" w:line="240" w:lineRule="auto"/>
              <w:ind w:left="270" w:right="0" w:hanging="180"/>
              <w:jc w:val="left"/>
              <w:outlineLvl w:val="9"/>
              <w:rPr>
                <w:rFonts w:ascii="Arial" w:eastAsia="Arial" w:hAnsi="Arial" w:cs="Arial"/>
                <w:b w:val="0"/>
                <w:i w:val="0"/>
                <w:color w:val="026DCE"/>
                <w:sz w:val="16"/>
                <w:u w:val="none"/>
              </w:rPr>
            </w:pPr>
            <w:r>
              <w:rPr>
                <w:rFonts w:ascii="Arial" w:eastAsia="Arial" w:hAnsi="Arial" w:cs="Arial"/>
                <w:b w:val="0"/>
                <w:i w:val="0"/>
                <w:sz w:val="16"/>
              </w:rPr>
              <w:t>C</w:t>
            </w:r>
            <w:r>
              <w:rPr>
                <w:rFonts w:ascii="Arial" w:eastAsia="Arial" w:hAnsi="Arial" w:cs="Arial"/>
                <w:b w:val="0"/>
                <w:i w:val="0"/>
                <w:sz w:val="16"/>
              </w:rPr>
              <w:t>laims systems project was on schedule and within budget as of the en</w:t>
            </w:r>
            <w:r>
              <w:rPr>
                <w:rFonts w:ascii="Arial" w:eastAsia="Arial" w:hAnsi="Arial" w:cs="Arial"/>
                <w:b w:val="0"/>
                <w:i w:val="0"/>
                <w:sz w:val="16"/>
              </w:rPr>
              <w:t>d of 2023</w:t>
            </w:r>
            <w:r>
              <w:rPr>
                <w:rFonts w:ascii="Arial" w:eastAsia="Arial" w:hAnsi="Arial" w:cs="Arial"/>
                <w:b w:val="0"/>
                <w:i w:val="0"/>
                <w:sz w:val="16"/>
              </w:rPr>
              <w:t>.</w:t>
            </w:r>
            <w:r>
              <w:rPr>
                <w:rFonts w:ascii="Arial" w:eastAsia="Arial" w:hAnsi="Arial" w:cs="Arial"/>
                <w:b w:val="0"/>
                <w:i w:val="0"/>
                <w:sz w:val="16"/>
              </w:rPr>
              <w:t xml:space="preserve"> Project aims to reduce </w:t>
            </w:r>
            <w:r>
              <w:rPr>
                <w:rFonts w:ascii="Arial" w:eastAsia="Arial" w:hAnsi="Arial" w:cs="Arial"/>
                <w:b w:val="0"/>
                <w:i w:val="0"/>
                <w:sz w:val="16"/>
              </w:rPr>
              <w:t xml:space="preserve">claims </w:t>
            </w:r>
            <w:r>
              <w:rPr>
                <w:rFonts w:ascii="Arial" w:eastAsia="Arial" w:hAnsi="Arial" w:cs="Arial"/>
                <w:b w:val="0"/>
                <w:i w:val="0"/>
                <w:sz w:val="16"/>
              </w:rPr>
              <w:t>onboarding costs</w:t>
            </w:r>
            <w:r>
              <w:rPr>
                <w:rFonts w:ascii="Arial" w:eastAsia="Arial" w:hAnsi="Arial" w:cs="Arial"/>
                <w:b w:val="0"/>
                <w:i w:val="0"/>
                <w:sz w:val="16"/>
              </w:rPr>
              <w:t xml:space="preserve"> and accelerate strategic execution of claims control over new business.</w:t>
            </w:r>
          </w:p>
          <w:p>
            <w:pPr>
              <w:pageBreakBefore w:val="0"/>
              <w:numPr>
                <w:ilvl w:val="0"/>
                <w:numId w:val="238"/>
              </w:numPr>
              <w:spacing w:before="0" w:after="60" w:line="240" w:lineRule="auto"/>
              <w:ind w:left="270" w:right="0" w:hanging="180"/>
              <w:jc w:val="left"/>
              <w:outlineLvl w:val="9"/>
              <w:rPr>
                <w:rFonts w:ascii="Arial" w:eastAsia="Arial" w:hAnsi="Arial" w:cs="Arial"/>
                <w:b w:val="0"/>
                <w:i w:val="0"/>
                <w:color w:val="026DCE"/>
                <w:sz w:val="16"/>
                <w:u w:val="none"/>
              </w:rPr>
            </w:pPr>
            <w:r>
              <w:rPr>
                <w:rFonts w:ascii="Arial" w:eastAsia="Arial" w:hAnsi="Arial" w:cs="Arial"/>
                <w:b w:val="0"/>
                <w:i w:val="0"/>
                <w:sz w:val="16"/>
              </w:rPr>
              <w:t>Finance sys</w:t>
            </w:r>
            <w:r>
              <w:rPr>
                <w:rFonts w:ascii="Arial" w:eastAsia="Arial" w:hAnsi="Arial" w:cs="Arial"/>
                <w:b w:val="0"/>
                <w:i w:val="0"/>
                <w:sz w:val="16"/>
              </w:rPr>
              <w:t xml:space="preserve">tems project </w:t>
            </w:r>
            <w:r>
              <w:rPr>
                <w:rFonts w:ascii="Arial" w:eastAsia="Arial" w:hAnsi="Arial" w:cs="Arial"/>
                <w:b w:val="0"/>
                <w:i w:val="0"/>
                <w:sz w:val="16"/>
              </w:rPr>
              <w:t xml:space="preserve">required </w:t>
            </w:r>
            <w:r>
              <w:rPr>
                <w:rFonts w:ascii="Arial" w:eastAsia="Arial" w:hAnsi="Arial" w:cs="Arial"/>
                <w:b w:val="0"/>
                <w:i w:val="0"/>
                <w:sz w:val="16"/>
              </w:rPr>
              <w:t>additional</w:t>
            </w:r>
            <w:r>
              <w:rPr>
                <w:rFonts w:ascii="Arial" w:eastAsia="Arial" w:hAnsi="Arial" w:cs="Arial"/>
                <w:b w:val="0"/>
                <w:i w:val="0"/>
                <w:sz w:val="16"/>
              </w:rPr>
              <w:t xml:space="preserve"> scoping work to stay on track for completion</w:t>
            </w:r>
            <w:r>
              <w:rPr>
                <w:rFonts w:ascii="Arial" w:eastAsia="Arial" w:hAnsi="Arial" w:cs="Arial"/>
                <w:b w:val="0"/>
                <w:i w:val="0"/>
                <w:sz w:val="16"/>
              </w:rPr>
              <w:t>,</w:t>
            </w:r>
            <w:r>
              <w:rPr>
                <w:rFonts w:ascii="Arial" w:eastAsia="Arial" w:hAnsi="Arial" w:cs="Arial"/>
                <w:b w:val="0"/>
                <w:i w:val="0"/>
                <w:sz w:val="16"/>
              </w:rPr>
              <w:t xml:space="preserve"> resulting in a reduced score.</w:t>
            </w:r>
          </w:p>
          <w:p>
            <w:pPr>
              <w:pageBreakBefore w:val="0"/>
              <w:numPr>
                <w:ilvl w:val="0"/>
                <w:numId w:val="239"/>
              </w:numPr>
              <w:spacing w:before="0" w:after="0" w:line="240" w:lineRule="auto"/>
              <w:ind w:left="270" w:right="0" w:hanging="180"/>
              <w:jc w:val="left"/>
              <w:outlineLvl w:val="9"/>
              <w:rPr>
                <w:rFonts w:ascii="Arial" w:eastAsia="Arial" w:hAnsi="Arial" w:cs="Arial"/>
                <w:b w:val="0"/>
                <w:i w:val="0"/>
                <w:color w:val="026DCE"/>
                <w:sz w:val="16"/>
                <w:u w:val="none"/>
              </w:rPr>
            </w:pPr>
            <w:r>
              <w:rPr>
                <w:rFonts w:ascii="Arial" w:eastAsia="Arial" w:hAnsi="Arial" w:cs="Arial"/>
                <w:b w:val="0"/>
                <w:i w:val="0"/>
                <w:sz w:val="16"/>
              </w:rPr>
              <w:t>Governance</w:t>
            </w:r>
            <w:r>
              <w:rPr>
                <w:rFonts w:ascii="Arial" w:eastAsia="Arial" w:hAnsi="Arial" w:cs="Arial"/>
                <w:b w:val="0"/>
                <w:i w:val="0"/>
                <w:sz w:val="16"/>
              </w:rPr>
              <w:t>, risk, and compliance system</w:t>
            </w:r>
            <w:r>
              <w:rPr>
                <w:rFonts w:ascii="Arial" w:eastAsia="Arial" w:hAnsi="Arial" w:cs="Arial"/>
                <w:b w:val="0"/>
                <w:i w:val="0"/>
                <w:sz w:val="16"/>
              </w:rPr>
              <w:t xml:space="preserve"> on track for delivery and expected to remain within budget.</w:t>
            </w:r>
          </w:p>
        </w:tc>
        <w:tc>
          <w:tcPr>
            <w:tcW w:w="945" w:type="dxa"/>
            <w:tcBorders>
              <w:top w:val="single" w:sz="4" w:space="0" w:color="000000"/>
              <w:left w:val="nil"/>
              <w:bottom w:val="single" w:sz="4" w:space="0" w:color="000000"/>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75%</w:t>
            </w:r>
          </w:p>
        </w:tc>
      </w:tr>
      <w:tr>
        <w:tblPrEx>
          <w:tblW w:w="10095" w:type="dxa"/>
          <w:jc w:val="left"/>
          <w:tblInd w:w="0" w:type="dxa"/>
          <w:tblLayout w:type="fixed"/>
          <w:tblCellMar>
            <w:left w:w="108" w:type="dxa"/>
            <w:right w:w="108" w:type="dxa"/>
          </w:tblCellMar>
        </w:tblPrEx>
        <w:trPr>
          <w:cantSplit/>
          <w:trHeight w:hRule="exact" w:val="1365"/>
          <w:jc w:val="left"/>
        </w:trPr>
        <w:tc>
          <w:tcPr>
            <w:tcW w:w="3885" w:type="dxa"/>
            <w:tcBorders>
              <w:top w:val="single" w:sz="4" w:space="0" w:color="000000"/>
              <w:left w:val="nil"/>
              <w:bottom w:val="single" w:sz="8" w:space="0" w:color="929292"/>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i w:val="0"/>
                <w:sz w:val="16"/>
              </w:rPr>
            </w:pPr>
            <w:r>
              <w:rPr>
                <w:rFonts w:ascii="Arial" w:eastAsia="Arial" w:hAnsi="Arial" w:cs="Arial"/>
                <w:b/>
                <w:i w:val="0"/>
                <w:sz w:val="16"/>
              </w:rPr>
              <w:t>Expenses and Efficiencies</w:t>
            </w:r>
          </w:p>
          <w:p>
            <w:pPr>
              <w:pageBreakBefore w:val="0"/>
              <w:numPr>
                <w:ilvl w:val="0"/>
                <w:numId w:val="0"/>
              </w:numPr>
              <w:spacing w:before="0" w:after="0" w:line="240" w:lineRule="auto"/>
              <w:ind w:left="0" w:right="0" w:firstLine="0"/>
              <w:jc w:val="left"/>
              <w:outlineLvl w:val="9"/>
              <w:rPr>
                <w:rFonts w:ascii="Arial" w:eastAsia="Arial" w:hAnsi="Arial" w:cs="Arial"/>
                <w:b/>
                <w:i w:val="0"/>
                <w:sz w:val="16"/>
              </w:rPr>
            </w:pPr>
            <w:r>
              <w:rPr>
                <w:rFonts w:ascii="Arial" w:eastAsia="Arial" w:hAnsi="Arial" w:cs="Arial"/>
                <w:b w:val="0"/>
                <w:i w:val="0"/>
                <w:sz w:val="16"/>
              </w:rPr>
              <w:t xml:space="preserve">Required </w:t>
            </w:r>
            <w:r>
              <w:rPr>
                <w:rFonts w:ascii="Arial" w:eastAsia="Arial" w:hAnsi="Arial" w:cs="Arial"/>
                <w:b w:val="0"/>
                <w:i w:val="0"/>
                <w:sz w:val="16"/>
              </w:rPr>
              <w:t>expenses incurred for staffing and benefits, p</w:t>
            </w:r>
            <w:r>
              <w:rPr>
                <w:rFonts w:ascii="Arial" w:eastAsia="Arial" w:hAnsi="Arial" w:cs="Arial"/>
                <w:b w:val="0"/>
                <w:i w:val="0"/>
                <w:sz w:val="16"/>
              </w:rPr>
              <w:t xml:space="preserve">rofessional services and travel to be </w:t>
            </w:r>
            <w:r>
              <w:rPr>
                <w:rFonts w:ascii="Arial" w:eastAsia="Arial" w:hAnsi="Arial" w:cs="Arial"/>
                <w:b w:val="0"/>
                <w:i w:val="0"/>
                <w:sz w:val="16"/>
              </w:rPr>
              <w:t>equal to</w:t>
            </w:r>
            <w:r>
              <w:rPr>
                <w:rFonts w:ascii="Arial" w:eastAsia="Arial" w:hAnsi="Arial" w:cs="Arial"/>
                <w:b w:val="0"/>
                <w:i w:val="0"/>
                <w:sz w:val="16"/>
              </w:rPr>
              <w:t xml:space="preserve"> </w:t>
            </w:r>
            <w:r>
              <w:rPr>
                <w:rFonts w:ascii="Arial" w:eastAsia="Arial" w:hAnsi="Arial" w:cs="Arial"/>
                <w:b w:val="0"/>
                <w:i w:val="0"/>
                <w:sz w:val="16"/>
              </w:rPr>
              <w:t xml:space="preserve">or less </w:t>
            </w:r>
            <w:r>
              <w:rPr>
                <w:rFonts w:ascii="Arial" w:eastAsia="Arial" w:hAnsi="Arial" w:cs="Arial"/>
                <w:b w:val="0"/>
                <w:i w:val="0"/>
                <w:sz w:val="16"/>
              </w:rPr>
              <w:t>than</w:t>
            </w:r>
            <w:r>
              <w:rPr>
                <w:rFonts w:ascii="Arial" w:eastAsia="Arial" w:hAnsi="Arial" w:cs="Arial"/>
                <w:b w:val="0"/>
                <w:i w:val="0"/>
                <w:sz w:val="16"/>
              </w:rPr>
              <w:t xml:space="preserve"> p</w:t>
            </w:r>
            <w:r>
              <w:rPr>
                <w:rFonts w:ascii="Arial" w:eastAsia="Arial" w:hAnsi="Arial" w:cs="Arial"/>
                <w:b w:val="0"/>
                <w:i w:val="0"/>
                <w:sz w:val="16"/>
              </w:rPr>
              <w:t>lan</w:t>
            </w:r>
            <w:r>
              <w:rPr>
                <w:rFonts w:ascii="Arial" w:eastAsia="Arial" w:hAnsi="Arial" w:cs="Arial"/>
                <w:b w:val="0"/>
                <w:i w:val="0"/>
                <w:sz w:val="16"/>
              </w:rPr>
              <w:t xml:space="preserve"> and for executives to engage in and </w:t>
            </w:r>
            <w:r>
              <w:rPr>
                <w:rFonts w:ascii="Arial" w:eastAsia="Arial" w:hAnsi="Arial" w:cs="Arial"/>
                <w:b w:val="0"/>
                <w:i w:val="0"/>
                <w:sz w:val="16"/>
              </w:rPr>
              <w:t>sp</w:t>
            </w:r>
            <w:r>
              <w:rPr>
                <w:rFonts w:ascii="Arial" w:eastAsia="Arial" w:hAnsi="Arial" w:cs="Arial"/>
                <w:b w:val="0"/>
                <w:i w:val="0"/>
                <w:sz w:val="16"/>
              </w:rPr>
              <w:t xml:space="preserve">onsor a maturity assessment by the Chief of Business Operations for all group functions. </w:t>
            </w:r>
          </w:p>
        </w:tc>
        <w:tc>
          <w:tcPr>
            <w:tcW w:w="885" w:type="dxa"/>
            <w:tcBorders>
              <w:top w:val="single" w:sz="4" w:space="0" w:color="000000"/>
              <w:left w:val="nil"/>
              <w:bottom w:val="single" w:sz="8" w:space="0" w:color="929292"/>
              <w:right w:val="nil"/>
            </w:tcBorders>
            <w:shd w:val="clear" w:color="auto" w:fill="FFFFFF"/>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16"/>
                <w:u w:val="none"/>
              </w:rPr>
              <w:t>20%</w:t>
            </w:r>
          </w:p>
        </w:tc>
        <w:tc>
          <w:tcPr>
            <w:tcW w:w="4380" w:type="dxa"/>
            <w:tcBorders>
              <w:top w:val="single" w:sz="4" w:space="0" w:color="000000"/>
              <w:left w:val="nil"/>
              <w:bottom w:val="single" w:sz="4" w:space="0" w:color="000000"/>
              <w:right w:val="nil"/>
            </w:tcBorders>
            <w:shd w:val="clear" w:color="auto" w:fill="FFFFFF"/>
            <w:tcMar>
              <w:top w:w="0" w:type="dxa"/>
              <w:left w:w="53" w:type="dxa"/>
              <w:bottom w:w="0" w:type="dxa"/>
              <w:right w:w="53" w:type="dxa"/>
            </w:tcMar>
            <w:vAlign w:val="center"/>
          </w:tcPr>
          <w:p>
            <w:pPr>
              <w:keepNext/>
              <w:pageBreakBefore w:val="0"/>
              <w:numPr>
                <w:ilvl w:val="0"/>
                <w:numId w:val="235"/>
              </w:numPr>
              <w:spacing w:before="0" w:after="60" w:line="240" w:lineRule="auto"/>
              <w:ind w:left="270" w:right="0" w:hanging="180"/>
              <w:jc w:val="left"/>
              <w:outlineLvl w:val="9"/>
              <w:rPr>
                <w:rFonts w:ascii="Arial" w:eastAsia="Arial" w:hAnsi="Arial" w:cs="Arial"/>
                <w:b w:val="0"/>
                <w:i w:val="0"/>
                <w:color w:val="026DCE"/>
                <w:sz w:val="16"/>
                <w:u w:val="none"/>
              </w:rPr>
            </w:pPr>
            <w:r>
              <w:rPr>
                <w:rFonts w:ascii="Arial" w:eastAsia="Arial" w:hAnsi="Arial" w:cs="Arial"/>
                <w:b w:val="0"/>
                <w:i w:val="0"/>
                <w:sz w:val="16"/>
              </w:rPr>
              <w:t>Favorable variance</w:t>
            </w:r>
            <w:r>
              <w:rPr>
                <w:rFonts w:ascii="Arial" w:eastAsia="Arial" w:hAnsi="Arial" w:cs="Arial"/>
                <w:b w:val="0"/>
                <w:i w:val="0"/>
                <w:sz w:val="16"/>
              </w:rPr>
              <w:t xml:space="preserve">s </w:t>
            </w:r>
            <w:r>
              <w:rPr>
                <w:rFonts w:ascii="Arial" w:eastAsia="Arial" w:hAnsi="Arial" w:cs="Arial"/>
                <w:b w:val="0"/>
                <w:i w:val="0"/>
                <w:sz w:val="16"/>
              </w:rPr>
              <w:t>with regard to staff</w:t>
            </w:r>
            <w:r>
              <w:rPr>
                <w:rFonts w:ascii="Arial" w:eastAsia="Arial" w:hAnsi="Arial" w:cs="Arial"/>
                <w:b w:val="0"/>
                <w:i w:val="0"/>
                <w:sz w:val="16"/>
              </w:rPr>
              <w:t>ing and benefit c</w:t>
            </w:r>
            <w:r>
              <w:rPr>
                <w:rFonts w:ascii="Arial" w:eastAsia="Arial" w:hAnsi="Arial" w:cs="Arial"/>
                <w:b w:val="0"/>
                <w:i w:val="0"/>
                <w:sz w:val="16"/>
              </w:rPr>
              <w:t>osts. Un</w:t>
            </w:r>
            <w:r>
              <w:rPr>
                <w:rFonts w:ascii="Arial" w:eastAsia="Arial" w:hAnsi="Arial" w:cs="Arial"/>
                <w:b w:val="0"/>
                <w:i w:val="0"/>
                <w:sz w:val="16"/>
              </w:rPr>
              <w:t xml:space="preserve">favorable variances </w:t>
            </w:r>
            <w:r>
              <w:rPr>
                <w:rFonts w:ascii="Arial" w:eastAsia="Arial" w:hAnsi="Arial" w:cs="Arial"/>
                <w:b w:val="0"/>
                <w:i w:val="0"/>
                <w:sz w:val="16"/>
              </w:rPr>
              <w:t>with regard to costs incurred from p</w:t>
            </w:r>
            <w:r>
              <w:rPr>
                <w:rFonts w:ascii="Arial" w:eastAsia="Arial" w:hAnsi="Arial" w:cs="Arial"/>
                <w:b w:val="0"/>
                <w:i w:val="0"/>
                <w:sz w:val="16"/>
              </w:rPr>
              <w:t>rofessional services and travel</w:t>
            </w:r>
            <w:r>
              <w:rPr>
                <w:rFonts w:ascii="Arial" w:eastAsia="Arial" w:hAnsi="Arial" w:cs="Arial"/>
                <w:b w:val="0"/>
                <w:i w:val="0"/>
                <w:sz w:val="16"/>
              </w:rPr>
              <w:t>.</w:t>
            </w:r>
            <w:r>
              <w:rPr>
                <w:rFonts w:ascii="Arial" w:eastAsia="Arial" w:hAnsi="Arial" w:cs="Arial"/>
                <w:b w:val="0"/>
                <w:i w:val="0"/>
                <w:sz w:val="16"/>
              </w:rPr>
              <w:tab/>
            </w:r>
          </w:p>
          <w:p>
            <w:pPr>
              <w:pageBreakBefore w:val="0"/>
              <w:numPr>
                <w:ilvl w:val="0"/>
                <w:numId w:val="236"/>
              </w:numPr>
              <w:spacing w:before="0" w:after="0" w:line="240" w:lineRule="auto"/>
              <w:ind w:left="270" w:right="0" w:hanging="180"/>
              <w:jc w:val="left"/>
              <w:outlineLvl w:val="9"/>
              <w:rPr>
                <w:rFonts w:ascii="Arial" w:eastAsia="Arial" w:hAnsi="Arial" w:cs="Arial"/>
                <w:b w:val="0"/>
                <w:i w:val="0"/>
                <w:color w:val="026DCE"/>
                <w:sz w:val="16"/>
                <w:u w:val="none"/>
              </w:rPr>
            </w:pPr>
            <w:r>
              <w:rPr>
                <w:rFonts w:ascii="Arial" w:eastAsia="Arial" w:hAnsi="Arial" w:cs="Arial"/>
                <w:b w:val="0"/>
                <w:i w:val="0"/>
                <w:sz w:val="16"/>
              </w:rPr>
              <w:t>Maturity asses</w:t>
            </w:r>
            <w:r>
              <w:rPr>
                <w:rFonts w:ascii="Arial" w:eastAsia="Arial" w:hAnsi="Arial" w:cs="Arial"/>
                <w:b w:val="0"/>
                <w:i w:val="0"/>
                <w:sz w:val="16"/>
              </w:rPr>
              <w:t>sment was completed in full across all functions</w:t>
            </w:r>
            <w:r>
              <w:rPr>
                <w:rFonts w:ascii="Arial" w:eastAsia="Arial" w:hAnsi="Arial" w:cs="Arial"/>
                <w:b w:val="0"/>
                <w:i w:val="0"/>
                <w:sz w:val="16"/>
              </w:rPr>
              <w:t>. A</w:t>
            </w:r>
            <w:r>
              <w:rPr>
                <w:rFonts w:ascii="Arial" w:eastAsia="Arial" w:hAnsi="Arial" w:cs="Arial"/>
                <w:b w:val="0"/>
                <w:i w:val="0"/>
                <w:sz w:val="16"/>
              </w:rPr>
              <w:t xml:space="preserve"> five-</w:t>
            </w:r>
            <w:r>
              <w:rPr>
                <w:rFonts w:ascii="Arial" w:eastAsia="Arial" w:hAnsi="Arial" w:cs="Arial"/>
                <w:b w:val="0"/>
                <w:i w:val="0"/>
                <w:sz w:val="16"/>
              </w:rPr>
              <w:t>year change analysis was completed</w:t>
            </w:r>
            <w:r>
              <w:rPr>
                <w:rFonts w:ascii="Arial" w:eastAsia="Arial" w:hAnsi="Arial" w:cs="Arial"/>
                <w:b w:val="0"/>
                <w:i w:val="0"/>
                <w:sz w:val="16"/>
              </w:rPr>
              <w:t xml:space="preserve">, and an objectives process </w:t>
            </w:r>
            <w:r>
              <w:rPr>
                <w:rFonts w:ascii="Arial" w:eastAsia="Arial" w:hAnsi="Arial" w:cs="Arial"/>
                <w:b w:val="0"/>
                <w:i w:val="0"/>
                <w:sz w:val="16"/>
              </w:rPr>
              <w:t xml:space="preserve">linked to the outcomes from the maturity assessment </w:t>
            </w:r>
            <w:r>
              <w:rPr>
                <w:rFonts w:ascii="Arial" w:eastAsia="Arial" w:hAnsi="Arial" w:cs="Arial"/>
                <w:b w:val="0"/>
                <w:i w:val="0"/>
                <w:sz w:val="16"/>
              </w:rPr>
              <w:t>was launched</w:t>
            </w:r>
            <w:r>
              <w:rPr>
                <w:rFonts w:ascii="Arial" w:eastAsia="Arial" w:hAnsi="Arial" w:cs="Arial"/>
                <w:b w:val="0"/>
                <w:i w:val="0"/>
                <w:sz w:val="16"/>
              </w:rPr>
              <w:t xml:space="preserve">. </w:t>
            </w:r>
            <w:r>
              <w:rPr>
                <w:rFonts w:ascii="Arial" w:eastAsia="Arial" w:hAnsi="Arial" w:cs="Arial"/>
                <w:b w:val="0"/>
                <w:i w:val="0"/>
                <w:sz w:val="16"/>
              </w:rPr>
              <w:tab/>
            </w:r>
          </w:p>
        </w:tc>
        <w:tc>
          <w:tcPr>
            <w:tcW w:w="945" w:type="dxa"/>
            <w:tcBorders>
              <w:top w:val="single" w:sz="4" w:space="0" w:color="000000"/>
              <w:left w:val="nil"/>
              <w:bottom w:val="single" w:sz="8" w:space="0" w:color="929292"/>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38%</w:t>
            </w:r>
          </w:p>
        </w:tc>
      </w:tr>
      <w:tr>
        <w:tblPrEx>
          <w:tblW w:w="10095" w:type="dxa"/>
          <w:jc w:val="left"/>
          <w:tblInd w:w="0" w:type="dxa"/>
          <w:tblLayout w:type="fixed"/>
          <w:tblCellMar>
            <w:left w:w="108" w:type="dxa"/>
            <w:right w:w="108" w:type="dxa"/>
          </w:tblCellMar>
        </w:tblPrEx>
        <w:trPr>
          <w:cantSplit/>
          <w:trHeight w:hRule="exact" w:val="1245"/>
          <w:jc w:val="left"/>
        </w:trPr>
        <w:tc>
          <w:tcPr>
            <w:tcW w:w="3885" w:type="dxa"/>
            <w:tcBorders>
              <w:top w:val="single" w:sz="8" w:space="0" w:color="929292"/>
              <w:left w:val="nil"/>
              <w:bottom w:val="single" w:sz="4" w:space="0" w:color="000000"/>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i w:val="0"/>
                <w:sz w:val="16"/>
              </w:rPr>
            </w:pPr>
            <w:r>
              <w:rPr>
                <w:rFonts w:ascii="Arial" w:eastAsia="Arial" w:hAnsi="Arial" w:cs="Arial"/>
                <w:b/>
                <w:i w:val="0"/>
                <w:sz w:val="16"/>
              </w:rPr>
              <w:t>People: Performance Management</w:t>
            </w:r>
          </w:p>
          <w:p>
            <w:pPr>
              <w:pageBreakBefore w:val="0"/>
              <w:numPr>
                <w:ilvl w:val="0"/>
                <w:numId w:val="0"/>
              </w:numPr>
              <w:spacing w:before="60" w:after="0" w:line="240" w:lineRule="auto"/>
              <w:ind w:left="0" w:right="0" w:firstLine="0"/>
              <w:jc w:val="left"/>
              <w:outlineLvl w:val="9"/>
              <w:rPr>
                <w:rFonts w:ascii="Arial" w:eastAsia="Arial" w:hAnsi="Arial" w:cs="Arial"/>
                <w:b/>
                <w:i w:val="0"/>
                <w:sz w:val="16"/>
              </w:rPr>
            </w:pPr>
            <w:r>
              <w:rPr>
                <w:rFonts w:ascii="Arial" w:eastAsia="Arial" w:hAnsi="Arial" w:cs="Arial"/>
                <w:b w:val="0"/>
                <w:i w:val="0"/>
                <w:sz w:val="16"/>
              </w:rPr>
              <w:t>Require</w:t>
            </w:r>
            <w:r>
              <w:rPr>
                <w:rFonts w:ascii="Arial" w:eastAsia="Arial" w:hAnsi="Arial" w:cs="Arial"/>
                <w:b w:val="0"/>
                <w:i w:val="0"/>
                <w:sz w:val="16"/>
              </w:rPr>
              <w:t xml:space="preserve">d </w:t>
            </w:r>
            <w:r>
              <w:rPr>
                <w:rFonts w:ascii="Arial" w:eastAsia="Arial" w:hAnsi="Arial" w:cs="Arial"/>
                <w:b w:val="0"/>
                <w:i w:val="0"/>
                <w:sz w:val="16"/>
              </w:rPr>
              <w:t>95%</w:t>
            </w:r>
            <w:r>
              <w:rPr>
                <w:rFonts w:ascii="Arial" w:eastAsia="Arial" w:hAnsi="Arial" w:cs="Arial"/>
                <w:b w:val="0"/>
                <w:i w:val="0"/>
                <w:sz w:val="16"/>
              </w:rPr>
              <w:t xml:space="preserve"> </w:t>
            </w:r>
            <w:r>
              <w:rPr>
                <w:rFonts w:ascii="Arial" w:eastAsia="Arial" w:hAnsi="Arial" w:cs="Arial"/>
                <w:b w:val="0"/>
                <w:i w:val="0"/>
                <w:sz w:val="16"/>
              </w:rPr>
              <w:t xml:space="preserve">of all staff </w:t>
            </w:r>
            <w:r>
              <w:rPr>
                <w:rFonts w:ascii="Arial" w:eastAsia="Arial" w:hAnsi="Arial" w:cs="Arial"/>
                <w:b w:val="0"/>
                <w:i w:val="0"/>
                <w:sz w:val="16"/>
              </w:rPr>
              <w:t xml:space="preserve">to complete </w:t>
            </w:r>
            <w:r>
              <w:rPr>
                <w:rFonts w:ascii="Arial" w:eastAsia="Arial" w:hAnsi="Arial" w:cs="Arial"/>
                <w:b w:val="0"/>
                <w:i w:val="0"/>
                <w:sz w:val="16"/>
              </w:rPr>
              <w:t xml:space="preserve">timely </w:t>
            </w:r>
            <w:r>
              <w:rPr>
                <w:rFonts w:ascii="Arial" w:eastAsia="Arial" w:hAnsi="Arial" w:cs="Arial"/>
                <w:b w:val="0"/>
                <w:i w:val="0"/>
                <w:sz w:val="16"/>
              </w:rPr>
              <w:t xml:space="preserve">several agile </w:t>
            </w:r>
            <w:r>
              <w:rPr>
                <w:rFonts w:ascii="Arial" w:eastAsia="Arial" w:hAnsi="Arial" w:cs="Arial"/>
                <w:b w:val="0"/>
                <w:i w:val="0"/>
                <w:sz w:val="16"/>
              </w:rPr>
              <w:t>performance</w:t>
            </w:r>
            <w:r>
              <w:rPr>
                <w:rFonts w:ascii="Arial" w:eastAsia="Arial" w:hAnsi="Arial" w:cs="Arial"/>
                <w:b w:val="0"/>
                <w:i w:val="0"/>
                <w:sz w:val="16"/>
              </w:rPr>
              <w:t xml:space="preserve"> management </w:t>
            </w:r>
            <w:r>
              <w:rPr>
                <w:rFonts w:ascii="Arial" w:eastAsia="Arial" w:hAnsi="Arial" w:cs="Arial"/>
                <w:b w:val="0"/>
                <w:i w:val="0"/>
                <w:sz w:val="16"/>
              </w:rPr>
              <w:t>milestones</w:t>
            </w:r>
            <w:r>
              <w:rPr>
                <w:rFonts w:ascii="Arial" w:eastAsia="Arial" w:hAnsi="Arial" w:cs="Arial"/>
                <w:b w:val="0"/>
                <w:i w:val="0"/>
                <w:sz w:val="16"/>
              </w:rPr>
              <w:t xml:space="preserve"> throughout </w:t>
            </w:r>
            <w:r>
              <w:rPr>
                <w:rFonts w:ascii="Arial" w:eastAsia="Arial" w:hAnsi="Arial" w:cs="Arial"/>
                <w:b w:val="0"/>
                <w:i w:val="0"/>
                <w:sz w:val="16"/>
              </w:rPr>
              <w:t>2023</w:t>
            </w:r>
            <w:r>
              <w:rPr>
                <w:rFonts w:ascii="Arial" w:eastAsia="Arial" w:hAnsi="Arial" w:cs="Arial"/>
                <w:b w:val="0"/>
                <w:i w:val="0"/>
                <w:sz w:val="16"/>
              </w:rPr>
              <w:t>, including annual objective setting</w:t>
            </w:r>
            <w:r>
              <w:rPr>
                <w:rFonts w:ascii="Arial" w:eastAsia="Arial" w:hAnsi="Arial" w:cs="Arial"/>
                <w:b w:val="0"/>
                <w:i w:val="0"/>
                <w:sz w:val="16"/>
              </w:rPr>
              <w:t xml:space="preserve">, </w:t>
            </w:r>
            <w:r>
              <w:rPr>
                <w:rFonts w:ascii="Arial" w:eastAsia="Arial" w:hAnsi="Arial" w:cs="Arial"/>
                <w:b w:val="0"/>
                <w:i w:val="0"/>
                <w:sz w:val="16"/>
              </w:rPr>
              <w:t>manager check-ins</w:t>
            </w:r>
            <w:r>
              <w:rPr>
                <w:rFonts w:ascii="Arial" w:eastAsia="Arial" w:hAnsi="Arial" w:cs="Arial"/>
                <w:b w:val="0"/>
                <w:i w:val="0"/>
                <w:sz w:val="16"/>
              </w:rPr>
              <w:t xml:space="preserve">, and </w:t>
            </w:r>
            <w:r>
              <w:rPr>
                <w:rFonts w:ascii="Arial" w:eastAsia="Arial" w:hAnsi="Arial" w:cs="Arial"/>
                <w:b w:val="0"/>
                <w:i w:val="0"/>
                <w:sz w:val="16"/>
              </w:rPr>
              <w:t>annual</w:t>
            </w:r>
            <w:r>
              <w:rPr>
                <w:rFonts w:ascii="Arial" w:eastAsia="Arial" w:hAnsi="Arial" w:cs="Arial"/>
                <w:b w:val="0"/>
                <w:i w:val="0"/>
                <w:sz w:val="16"/>
              </w:rPr>
              <w:t xml:space="preserve"> </w:t>
            </w:r>
            <w:r>
              <w:rPr>
                <w:rFonts w:ascii="Arial" w:eastAsia="Arial" w:hAnsi="Arial" w:cs="Arial"/>
                <w:b w:val="0"/>
                <w:i w:val="0"/>
                <w:sz w:val="16"/>
              </w:rPr>
              <w:t>performance</w:t>
            </w:r>
            <w:r>
              <w:rPr>
                <w:rFonts w:ascii="Arial" w:eastAsia="Arial" w:hAnsi="Arial" w:cs="Arial"/>
                <w:b w:val="0"/>
                <w:i w:val="0"/>
                <w:sz w:val="16"/>
              </w:rPr>
              <w:t xml:space="preserve"> review</w:t>
            </w:r>
            <w:r>
              <w:rPr>
                <w:rFonts w:ascii="Arial" w:eastAsia="Arial" w:hAnsi="Arial" w:cs="Arial"/>
                <w:b w:val="0"/>
                <w:i w:val="0"/>
                <w:sz w:val="16"/>
              </w:rPr>
              <w:t>s</w:t>
            </w:r>
            <w:r>
              <w:rPr>
                <w:rFonts w:ascii="Arial" w:eastAsia="Arial" w:hAnsi="Arial" w:cs="Arial"/>
                <w:b w:val="0"/>
                <w:i w:val="0"/>
                <w:sz w:val="16"/>
              </w:rPr>
              <w:t>.</w:t>
            </w:r>
          </w:p>
        </w:tc>
        <w:tc>
          <w:tcPr>
            <w:tcW w:w="885" w:type="dxa"/>
            <w:tcBorders>
              <w:top w:val="single" w:sz="8" w:space="0" w:color="929292"/>
              <w:left w:val="nil"/>
              <w:bottom w:val="single" w:sz="4" w:space="0" w:color="000000"/>
              <w:right w:val="nil"/>
            </w:tcBorders>
            <w:shd w:val="clear" w:color="auto" w:fill="FFFFFF"/>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16"/>
                <w:u w:val="none"/>
              </w:rPr>
              <w:t>10%</w:t>
            </w:r>
          </w:p>
        </w:tc>
        <w:tc>
          <w:tcPr>
            <w:tcW w:w="4380" w:type="dxa"/>
            <w:tcBorders>
              <w:top w:val="single" w:sz="4" w:space="0" w:color="000000"/>
              <w:left w:val="nil"/>
              <w:bottom w:val="single" w:sz="4" w:space="0" w:color="000000"/>
              <w:right w:val="nil"/>
            </w:tcBorders>
            <w:shd w:val="clear" w:color="auto" w:fill="FFFFFF"/>
            <w:tcMar>
              <w:top w:w="0" w:type="dxa"/>
              <w:left w:w="53" w:type="dxa"/>
              <w:bottom w:w="0" w:type="dxa"/>
              <w:right w:w="53" w:type="dxa"/>
            </w:tcMar>
            <w:vAlign w:val="center"/>
          </w:tcPr>
          <w:p>
            <w:pPr>
              <w:keepNext/>
              <w:pageBreakBefore w:val="0"/>
              <w:numPr>
                <w:ilvl w:val="0"/>
                <w:numId w:val="233"/>
              </w:numPr>
              <w:spacing w:before="0" w:after="60" w:line="240" w:lineRule="auto"/>
              <w:ind w:left="270" w:right="0" w:hanging="180"/>
              <w:jc w:val="left"/>
              <w:outlineLvl w:val="9"/>
              <w:rPr>
                <w:rFonts w:ascii="Arial" w:eastAsia="Arial" w:hAnsi="Arial" w:cs="Arial"/>
                <w:b w:val="0"/>
                <w:i w:val="0"/>
                <w:color w:val="026DCE"/>
                <w:sz w:val="16"/>
                <w:u w:val="none"/>
              </w:rPr>
            </w:pPr>
            <w:r>
              <w:rPr>
                <w:rFonts w:ascii="Arial" w:eastAsia="Arial" w:hAnsi="Arial" w:cs="Arial"/>
                <w:b w:val="0"/>
                <w:i w:val="0"/>
                <w:sz w:val="16"/>
              </w:rPr>
              <w:t>A</w:t>
            </w:r>
            <w:r>
              <w:rPr>
                <w:rFonts w:ascii="Arial" w:eastAsia="Arial" w:hAnsi="Arial" w:cs="Arial"/>
                <w:b w:val="0"/>
                <w:i w:val="0"/>
                <w:sz w:val="16"/>
              </w:rPr>
              <w:t>ll required metric</w:t>
            </w:r>
            <w:r>
              <w:rPr>
                <w:rFonts w:ascii="Arial" w:eastAsia="Arial" w:hAnsi="Arial" w:cs="Arial"/>
                <w:b w:val="0"/>
                <w:i w:val="0"/>
                <w:sz w:val="16"/>
              </w:rPr>
              <w:t xml:space="preserve">s </w:t>
            </w:r>
            <w:r>
              <w:rPr>
                <w:rFonts w:ascii="Arial" w:eastAsia="Arial" w:hAnsi="Arial" w:cs="Arial"/>
                <w:b w:val="0"/>
                <w:i w:val="0"/>
                <w:sz w:val="16"/>
              </w:rPr>
              <w:t>achieved</w:t>
            </w:r>
            <w:r>
              <w:rPr>
                <w:rFonts w:ascii="Arial" w:eastAsia="Arial" w:hAnsi="Arial" w:cs="Arial"/>
                <w:b w:val="0"/>
                <w:i w:val="0"/>
                <w:sz w:val="16"/>
              </w:rPr>
              <w:t xml:space="preserve"> in 2023</w:t>
            </w:r>
            <w:r>
              <w:rPr>
                <w:rFonts w:ascii="Arial" w:eastAsia="Arial" w:hAnsi="Arial" w:cs="Arial"/>
                <w:b w:val="0"/>
                <w:i w:val="0"/>
                <w:sz w:val="16"/>
              </w:rPr>
              <w:t>.</w:t>
            </w:r>
          </w:p>
          <w:p>
            <w:pPr>
              <w:pageBreakBefore w:val="0"/>
              <w:numPr>
                <w:ilvl w:val="0"/>
                <w:numId w:val="234"/>
              </w:numPr>
              <w:spacing w:before="0" w:after="0" w:line="240" w:lineRule="auto"/>
              <w:ind w:left="270" w:right="0" w:hanging="180"/>
              <w:jc w:val="left"/>
              <w:outlineLvl w:val="9"/>
              <w:rPr>
                <w:rFonts w:ascii="Arial" w:eastAsia="Arial" w:hAnsi="Arial" w:cs="Arial"/>
                <w:b w:val="0"/>
                <w:i w:val="0"/>
                <w:sz w:val="16"/>
              </w:rPr>
            </w:pPr>
            <w:r>
              <w:rPr>
                <w:rFonts w:ascii="Arial" w:eastAsia="Arial" w:hAnsi="Arial" w:cs="Arial"/>
                <w:b w:val="0"/>
                <w:i w:val="0"/>
                <w:sz w:val="16"/>
              </w:rPr>
              <w:t xml:space="preserve">Executive team's </w:t>
            </w:r>
            <w:r>
              <w:rPr>
                <w:rFonts w:ascii="Arial" w:eastAsia="Arial" w:hAnsi="Arial" w:cs="Arial"/>
                <w:b w:val="0"/>
                <w:i w:val="0"/>
                <w:sz w:val="16"/>
              </w:rPr>
              <w:t>s</w:t>
            </w:r>
            <w:r>
              <w:rPr>
                <w:rFonts w:ascii="Arial" w:eastAsia="Arial" w:hAnsi="Arial" w:cs="Arial"/>
                <w:b w:val="0"/>
                <w:i w:val="0"/>
                <w:sz w:val="16"/>
              </w:rPr>
              <w:t xml:space="preserve">ponsorship and efforts </w:t>
            </w:r>
            <w:r>
              <w:rPr>
                <w:rFonts w:ascii="Arial" w:eastAsia="Arial" w:hAnsi="Arial" w:cs="Arial"/>
                <w:b w:val="0"/>
                <w:i w:val="0"/>
                <w:sz w:val="16"/>
              </w:rPr>
              <w:t xml:space="preserve">to </w:t>
            </w:r>
            <w:r>
              <w:rPr>
                <w:rFonts w:ascii="Arial" w:eastAsia="Arial" w:hAnsi="Arial" w:cs="Arial"/>
                <w:b w:val="0"/>
                <w:i w:val="0"/>
                <w:sz w:val="16"/>
              </w:rPr>
              <w:t>stress</w:t>
            </w:r>
            <w:r>
              <w:rPr>
                <w:rFonts w:ascii="Arial" w:eastAsia="Arial" w:hAnsi="Arial" w:cs="Arial"/>
                <w:b w:val="0"/>
                <w:i w:val="0"/>
                <w:sz w:val="16"/>
              </w:rPr>
              <w:t xml:space="preserve"> importance of </w:t>
            </w:r>
            <w:r>
              <w:rPr>
                <w:rFonts w:ascii="Arial" w:eastAsia="Arial" w:hAnsi="Arial" w:cs="Arial"/>
                <w:b w:val="0"/>
                <w:i w:val="0"/>
                <w:sz w:val="16"/>
              </w:rPr>
              <w:t>these actions</w:t>
            </w:r>
            <w:r>
              <w:rPr>
                <w:rFonts w:ascii="Arial" w:eastAsia="Arial" w:hAnsi="Arial" w:cs="Arial"/>
                <w:b w:val="0"/>
                <w:i w:val="0"/>
                <w:sz w:val="16"/>
              </w:rPr>
              <w:t xml:space="preserve"> </w:t>
            </w:r>
            <w:r>
              <w:rPr>
                <w:rFonts w:ascii="Arial" w:eastAsia="Arial" w:hAnsi="Arial" w:cs="Arial"/>
                <w:b w:val="0"/>
                <w:i w:val="0"/>
                <w:sz w:val="16"/>
              </w:rPr>
              <w:t xml:space="preserve">drove focus on performance management and </w:t>
            </w:r>
            <w:r>
              <w:rPr>
                <w:rFonts w:ascii="Arial" w:eastAsia="Arial" w:hAnsi="Arial" w:cs="Arial"/>
                <w:b w:val="0"/>
                <w:i w:val="0"/>
                <w:sz w:val="16"/>
              </w:rPr>
              <w:t>m</w:t>
            </w:r>
            <w:r>
              <w:rPr>
                <w:rFonts w:ascii="Arial" w:eastAsia="Arial" w:hAnsi="Arial" w:cs="Arial"/>
                <w:b w:val="0"/>
                <w:i w:val="0"/>
                <w:sz w:val="16"/>
              </w:rPr>
              <w:t>anager-employee communications</w:t>
            </w:r>
            <w:r>
              <w:rPr>
                <w:rFonts w:ascii="Arial" w:eastAsia="Arial" w:hAnsi="Arial" w:cs="Arial"/>
                <w:b w:val="0"/>
                <w:i w:val="0"/>
                <w:sz w:val="16"/>
              </w:rPr>
              <w:t>.</w:t>
            </w:r>
          </w:p>
        </w:tc>
        <w:tc>
          <w:tcPr>
            <w:tcW w:w="945" w:type="dxa"/>
            <w:tcBorders>
              <w:top w:val="single" w:sz="8" w:space="0" w:color="929292"/>
              <w:left w:val="nil"/>
              <w:bottom w:val="single" w:sz="4" w:space="0" w:color="000000"/>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100%</w:t>
            </w:r>
          </w:p>
        </w:tc>
      </w:tr>
      <w:tr>
        <w:tblPrEx>
          <w:tblW w:w="10095" w:type="dxa"/>
          <w:jc w:val="left"/>
          <w:tblInd w:w="0" w:type="dxa"/>
          <w:tblLayout w:type="fixed"/>
          <w:tblCellMar>
            <w:left w:w="108" w:type="dxa"/>
            <w:right w:w="108" w:type="dxa"/>
          </w:tblCellMar>
        </w:tblPrEx>
        <w:trPr>
          <w:cantSplit/>
          <w:trHeight w:hRule="exact" w:val="1305"/>
          <w:jc w:val="left"/>
        </w:trPr>
        <w:tc>
          <w:tcPr>
            <w:tcW w:w="3885" w:type="dxa"/>
            <w:tcBorders>
              <w:top w:val="single" w:sz="4" w:space="0" w:color="000000"/>
              <w:left w:val="nil"/>
              <w:bottom w:val="single" w:sz="4" w:space="0" w:color="000000"/>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i w:val="0"/>
                <w:sz w:val="16"/>
              </w:rPr>
            </w:pPr>
            <w:r>
              <w:rPr>
                <w:rFonts w:ascii="Arial" w:eastAsia="Arial" w:hAnsi="Arial" w:cs="Arial"/>
                <w:b/>
                <w:i w:val="0"/>
                <w:sz w:val="16"/>
              </w:rPr>
              <w:t>ESG</w:t>
            </w:r>
          </w:p>
          <w:p>
            <w:pPr>
              <w:pageBreakBefore w:val="0"/>
              <w:numPr>
                <w:ilvl w:val="0"/>
                <w:numId w:val="0"/>
              </w:numPr>
              <w:spacing w:before="60" w:after="0" w:line="240" w:lineRule="auto"/>
              <w:ind w:left="0" w:right="0" w:firstLine="0"/>
              <w:jc w:val="left"/>
              <w:outlineLvl w:val="9"/>
              <w:rPr>
                <w:rFonts w:ascii="Arial" w:eastAsia="Arial" w:hAnsi="Arial" w:cs="Arial"/>
                <w:b/>
                <w:i w:val="0"/>
                <w:sz w:val="16"/>
              </w:rPr>
            </w:pPr>
            <w:r>
              <w:rPr>
                <w:rFonts w:ascii="Arial" w:eastAsia="Arial" w:hAnsi="Arial" w:cs="Arial"/>
                <w:b w:val="0"/>
                <w:i w:val="0"/>
                <w:sz w:val="16"/>
              </w:rPr>
              <w:t xml:space="preserve">Required </w:t>
            </w:r>
            <w:r>
              <w:rPr>
                <w:rFonts w:ascii="Arial" w:eastAsia="Arial" w:hAnsi="Arial" w:cs="Arial"/>
                <w:b w:val="0"/>
                <w:i w:val="0"/>
                <w:sz w:val="16"/>
              </w:rPr>
              <w:t>achievement</w:t>
            </w:r>
            <w:r>
              <w:rPr>
                <w:rFonts w:ascii="Arial" w:eastAsia="Arial" w:hAnsi="Arial" w:cs="Arial"/>
                <w:b w:val="0"/>
                <w:i w:val="0"/>
                <w:sz w:val="16"/>
              </w:rPr>
              <w:t xml:space="preserve"> of</w:t>
            </w:r>
            <w:r>
              <w:rPr>
                <w:rFonts w:ascii="Arial" w:eastAsia="Arial" w:hAnsi="Arial" w:cs="Arial"/>
                <w:b w:val="0"/>
                <w:i w:val="0"/>
                <w:sz w:val="16"/>
              </w:rPr>
              <w:t xml:space="preserve"> </w:t>
            </w:r>
            <w:r>
              <w:rPr>
                <w:rFonts w:ascii="Arial" w:eastAsia="Arial" w:hAnsi="Arial" w:cs="Arial"/>
                <w:b w:val="0"/>
                <w:i w:val="0"/>
                <w:sz w:val="16"/>
              </w:rPr>
              <w:t>defined ESG actions</w:t>
            </w:r>
            <w:r>
              <w:rPr>
                <w:rFonts w:ascii="Arial" w:eastAsia="Arial" w:hAnsi="Arial" w:cs="Arial"/>
                <w:b w:val="0"/>
                <w:i w:val="0"/>
                <w:sz w:val="16"/>
              </w:rPr>
              <w:t xml:space="preserve"> related to ESG reporting and </w:t>
            </w:r>
            <w:r>
              <w:rPr>
                <w:rFonts w:ascii="Arial" w:eastAsia="Arial" w:hAnsi="Arial" w:cs="Arial"/>
                <w:b w:val="0"/>
                <w:i w:val="0"/>
                <w:sz w:val="16"/>
              </w:rPr>
              <w:t xml:space="preserve">organizational improvements as well as completion by </w:t>
            </w:r>
            <w:r>
              <w:rPr>
                <w:rFonts w:ascii="Arial" w:eastAsia="Arial" w:hAnsi="Arial" w:cs="Arial"/>
                <w:b w:val="0"/>
                <w:i w:val="0"/>
                <w:sz w:val="16"/>
              </w:rPr>
              <w:t xml:space="preserve">at least </w:t>
            </w:r>
            <w:r>
              <w:rPr>
                <w:rFonts w:ascii="Arial" w:eastAsia="Arial" w:hAnsi="Arial" w:cs="Arial"/>
                <w:b w:val="0"/>
                <w:i w:val="0"/>
                <w:sz w:val="16"/>
              </w:rPr>
              <w:t>95% of st</w:t>
            </w:r>
            <w:r>
              <w:rPr>
                <w:rFonts w:ascii="Arial" w:eastAsia="Arial" w:hAnsi="Arial" w:cs="Arial"/>
                <w:b w:val="0"/>
                <w:i w:val="0"/>
                <w:sz w:val="16"/>
              </w:rPr>
              <w:t xml:space="preserve">aff of ESG training and </w:t>
            </w:r>
            <w:r>
              <w:rPr>
                <w:rFonts w:ascii="Arial" w:eastAsia="Arial" w:hAnsi="Arial" w:cs="Arial"/>
                <w:b w:val="0"/>
                <w:i w:val="0"/>
                <w:sz w:val="16"/>
              </w:rPr>
              <w:t>volunteer program utilization of</w:t>
            </w:r>
            <w:r>
              <w:rPr>
                <w:rFonts w:ascii="Arial" w:eastAsia="Arial" w:hAnsi="Arial" w:cs="Arial"/>
                <w:b w:val="0"/>
                <w:i w:val="0"/>
                <w:sz w:val="16"/>
              </w:rPr>
              <w:t xml:space="preserve"> at least</w:t>
            </w:r>
            <w:r>
              <w:rPr>
                <w:rFonts w:ascii="Arial" w:eastAsia="Arial" w:hAnsi="Arial" w:cs="Arial"/>
                <w:b w:val="0"/>
                <w:i w:val="0"/>
                <w:sz w:val="16"/>
              </w:rPr>
              <w:t xml:space="preserve"> </w:t>
            </w:r>
            <w:r>
              <w:rPr>
                <w:rFonts w:ascii="Arial" w:eastAsia="Arial" w:hAnsi="Arial" w:cs="Arial"/>
                <w:b w:val="0"/>
                <w:i w:val="0"/>
                <w:sz w:val="16"/>
              </w:rPr>
              <w:t>20%.</w:t>
            </w:r>
          </w:p>
        </w:tc>
        <w:tc>
          <w:tcPr>
            <w:tcW w:w="885" w:type="dxa"/>
            <w:tcBorders>
              <w:top w:val="single" w:sz="4" w:space="0" w:color="000000"/>
              <w:left w:val="nil"/>
              <w:bottom w:val="single" w:sz="4" w:space="0" w:color="000000"/>
              <w:right w:val="nil"/>
            </w:tcBorders>
            <w:shd w:val="clear" w:color="auto" w:fill="FFFFFF"/>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16"/>
                <w:u w:val="none"/>
              </w:rPr>
              <w:t>10%</w:t>
            </w:r>
          </w:p>
        </w:tc>
        <w:tc>
          <w:tcPr>
            <w:tcW w:w="4380" w:type="dxa"/>
            <w:tcBorders>
              <w:top w:val="single" w:sz="4" w:space="0" w:color="000000"/>
              <w:left w:val="nil"/>
              <w:bottom w:val="single" w:sz="4" w:space="0" w:color="000000"/>
              <w:right w:val="nil"/>
            </w:tcBorders>
            <w:shd w:val="clear" w:color="auto" w:fill="FFFFFF"/>
            <w:tcMar>
              <w:top w:w="0" w:type="dxa"/>
              <w:left w:w="53" w:type="dxa"/>
              <w:bottom w:w="0" w:type="dxa"/>
              <w:right w:w="53" w:type="dxa"/>
            </w:tcMar>
            <w:vAlign w:val="center"/>
          </w:tcPr>
          <w:p>
            <w:pPr>
              <w:keepNext/>
              <w:pageBreakBefore w:val="0"/>
              <w:numPr>
                <w:ilvl w:val="0"/>
                <w:numId w:val="231"/>
              </w:numPr>
              <w:spacing w:before="0" w:after="60" w:line="240" w:lineRule="auto"/>
              <w:ind w:left="270" w:right="0" w:hanging="180"/>
              <w:jc w:val="left"/>
              <w:outlineLvl w:val="9"/>
              <w:rPr>
                <w:rFonts w:ascii="Arial" w:eastAsia="Arial" w:hAnsi="Arial" w:cs="Arial"/>
                <w:b w:val="0"/>
                <w:i w:val="0"/>
                <w:color w:val="026DCE"/>
                <w:sz w:val="16"/>
                <w:u w:val="none"/>
              </w:rPr>
            </w:pPr>
            <w:r>
              <w:rPr>
                <w:rFonts w:ascii="Arial" w:eastAsia="Arial" w:hAnsi="Arial" w:cs="Arial"/>
                <w:b w:val="0"/>
                <w:i w:val="0"/>
                <w:sz w:val="16"/>
              </w:rPr>
              <w:t xml:space="preserve">List of </w:t>
            </w:r>
            <w:r>
              <w:rPr>
                <w:rFonts w:ascii="Arial" w:eastAsia="Arial" w:hAnsi="Arial" w:cs="Arial"/>
                <w:b w:val="0"/>
                <w:i w:val="0"/>
                <w:sz w:val="16"/>
              </w:rPr>
              <w:t>ES</w:t>
            </w:r>
            <w:r>
              <w:rPr>
                <w:rFonts w:ascii="Arial" w:eastAsia="Arial" w:hAnsi="Arial" w:cs="Arial"/>
                <w:b w:val="0"/>
                <w:i w:val="0"/>
                <w:sz w:val="16"/>
              </w:rPr>
              <w:t>G action</w:t>
            </w:r>
            <w:r>
              <w:rPr>
                <w:rFonts w:ascii="Arial" w:eastAsia="Arial" w:hAnsi="Arial" w:cs="Arial"/>
                <w:b w:val="0"/>
                <w:i w:val="0"/>
                <w:sz w:val="16"/>
              </w:rPr>
              <w:t xml:space="preserve"> items</w:t>
            </w:r>
            <w:r>
              <w:rPr>
                <w:rFonts w:ascii="Arial" w:eastAsia="Arial" w:hAnsi="Arial" w:cs="Arial"/>
                <w:b w:val="0"/>
                <w:i w:val="0"/>
                <w:sz w:val="16"/>
              </w:rPr>
              <w:t xml:space="preserve"> </w:t>
            </w:r>
            <w:r>
              <w:rPr>
                <w:rFonts w:ascii="Arial" w:eastAsia="Arial" w:hAnsi="Arial" w:cs="Arial"/>
                <w:b w:val="0"/>
                <w:i w:val="0"/>
                <w:sz w:val="16"/>
              </w:rPr>
              <w:t>completed</w:t>
            </w:r>
            <w:r>
              <w:rPr>
                <w:rFonts w:ascii="Arial" w:eastAsia="Arial" w:hAnsi="Arial" w:cs="Arial"/>
                <w:b w:val="0"/>
                <w:i w:val="0"/>
                <w:sz w:val="16"/>
              </w:rPr>
              <w:t xml:space="preserve"> a</w:t>
            </w:r>
            <w:r>
              <w:rPr>
                <w:rFonts w:ascii="Arial" w:eastAsia="Arial" w:hAnsi="Arial" w:cs="Arial"/>
                <w:b w:val="0"/>
                <w:i w:val="0"/>
                <w:sz w:val="16"/>
              </w:rPr>
              <w:t>t target level</w:t>
            </w:r>
            <w:r>
              <w:rPr>
                <w:rFonts w:ascii="Arial" w:eastAsia="Arial" w:hAnsi="Arial" w:cs="Arial"/>
                <w:b w:val="0"/>
                <w:i w:val="0"/>
                <w:sz w:val="16"/>
              </w:rPr>
              <w:t xml:space="preserve"> of </w:t>
            </w:r>
            <w:r>
              <w:rPr>
                <w:rFonts w:ascii="Arial" w:eastAsia="Arial" w:hAnsi="Arial" w:cs="Arial"/>
                <w:b w:val="0"/>
                <w:i w:val="0"/>
                <w:sz w:val="16"/>
              </w:rPr>
              <w:t>achievement</w:t>
            </w:r>
            <w:r>
              <w:rPr>
                <w:rFonts w:ascii="Arial" w:eastAsia="Arial" w:hAnsi="Arial" w:cs="Arial"/>
                <w:b w:val="0"/>
                <w:i w:val="0"/>
                <w:sz w:val="16"/>
              </w:rPr>
              <w:t>.</w:t>
            </w:r>
          </w:p>
          <w:p>
            <w:pPr>
              <w:pageBreakBefore w:val="0"/>
              <w:numPr>
                <w:ilvl w:val="0"/>
                <w:numId w:val="232"/>
              </w:numPr>
              <w:spacing w:before="0" w:after="0" w:line="240" w:lineRule="auto"/>
              <w:ind w:left="270" w:right="0" w:hanging="180"/>
              <w:jc w:val="left"/>
              <w:outlineLvl w:val="9"/>
              <w:rPr>
                <w:rFonts w:ascii="Arial" w:eastAsia="Arial" w:hAnsi="Arial" w:cs="Arial"/>
                <w:b w:val="0"/>
                <w:i w:val="0"/>
                <w:color w:val="026DCE"/>
                <w:sz w:val="16"/>
                <w:u w:val="none"/>
              </w:rPr>
            </w:pPr>
            <w:r>
              <w:rPr>
                <w:rFonts w:ascii="Arial" w:eastAsia="Arial" w:hAnsi="Arial" w:cs="Arial"/>
                <w:b w:val="0"/>
                <w:i w:val="0"/>
                <w:sz w:val="16"/>
              </w:rPr>
              <w:t xml:space="preserve">Staff </w:t>
            </w:r>
            <w:r>
              <w:rPr>
                <w:rFonts w:ascii="Arial" w:eastAsia="Arial" w:hAnsi="Arial" w:cs="Arial"/>
                <w:b w:val="0"/>
                <w:i w:val="0"/>
                <w:sz w:val="16"/>
              </w:rPr>
              <w:t xml:space="preserve">ESG </w:t>
            </w:r>
            <w:r>
              <w:rPr>
                <w:rFonts w:ascii="Arial" w:eastAsia="Arial" w:hAnsi="Arial" w:cs="Arial"/>
                <w:b w:val="0"/>
                <w:i w:val="0"/>
                <w:sz w:val="16"/>
              </w:rPr>
              <w:t xml:space="preserve">training and </w:t>
            </w:r>
            <w:r>
              <w:rPr>
                <w:rFonts w:ascii="Arial" w:eastAsia="Arial" w:hAnsi="Arial" w:cs="Arial"/>
                <w:b w:val="0"/>
                <w:i w:val="0"/>
                <w:sz w:val="16"/>
              </w:rPr>
              <w:t xml:space="preserve">volunteer </w:t>
            </w:r>
            <w:r>
              <w:rPr>
                <w:rFonts w:ascii="Arial" w:eastAsia="Arial" w:hAnsi="Arial" w:cs="Arial"/>
                <w:b w:val="0"/>
                <w:i w:val="0"/>
                <w:sz w:val="16"/>
              </w:rPr>
              <w:t>progr</w:t>
            </w:r>
            <w:r>
              <w:rPr>
                <w:rFonts w:ascii="Arial" w:eastAsia="Arial" w:hAnsi="Arial" w:cs="Arial"/>
                <w:b w:val="0"/>
                <w:i w:val="0"/>
                <w:sz w:val="16"/>
              </w:rPr>
              <w:t xml:space="preserve">am </w:t>
            </w:r>
            <w:r>
              <w:rPr>
                <w:rFonts w:ascii="Arial" w:eastAsia="Arial" w:hAnsi="Arial" w:cs="Arial"/>
                <w:b w:val="0"/>
                <w:i w:val="0"/>
                <w:sz w:val="16"/>
              </w:rPr>
              <w:t>utilization</w:t>
            </w:r>
            <w:r>
              <w:rPr>
                <w:rFonts w:ascii="Arial" w:eastAsia="Arial" w:hAnsi="Arial" w:cs="Arial"/>
                <w:b w:val="0"/>
                <w:i w:val="0"/>
                <w:sz w:val="16"/>
              </w:rPr>
              <w:t xml:space="preserve"> targets exceeded. </w:t>
            </w:r>
          </w:p>
        </w:tc>
        <w:tc>
          <w:tcPr>
            <w:tcW w:w="945" w:type="dxa"/>
            <w:tcBorders>
              <w:top w:val="single" w:sz="4" w:space="0" w:color="000000"/>
              <w:left w:val="nil"/>
              <w:bottom w:val="single" w:sz="4" w:space="0" w:color="000000"/>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16"/>
                <w:u w:val="none"/>
              </w:rPr>
              <w:t>100%</w:t>
            </w:r>
          </w:p>
        </w:tc>
      </w:tr>
      <w:tr>
        <w:tblPrEx>
          <w:tblW w:w="10095" w:type="dxa"/>
          <w:jc w:val="left"/>
          <w:tblInd w:w="0" w:type="dxa"/>
          <w:tblLayout w:type="fixed"/>
          <w:tblCellMar>
            <w:left w:w="108" w:type="dxa"/>
            <w:right w:w="108" w:type="dxa"/>
          </w:tblCellMar>
        </w:tblPrEx>
        <w:trPr>
          <w:cantSplit/>
          <w:trHeight w:hRule="exact" w:val="405"/>
          <w:jc w:val="left"/>
        </w:trPr>
        <w:tc>
          <w:tcPr>
            <w:tcW w:w="9150" w:type="dxa"/>
            <w:gridSpan w:val="3"/>
            <w:tcBorders>
              <w:top w:val="nil"/>
              <w:left w:val="nil"/>
              <w:bottom w:val="single" w:sz="4" w:space="0" w:color="000000"/>
              <w:right w:val="nil"/>
            </w:tcBorders>
            <w:shd w:val="clear" w:color="auto" w:fill="FFFFFF"/>
            <w:tcMar>
              <w:top w:w="0" w:type="dxa"/>
              <w:left w:w="0" w:type="dxa"/>
              <w:bottom w:w="0" w:type="dxa"/>
              <w:right w:w="53" w:type="dxa"/>
            </w:tcMar>
            <w:vAlign w:val="center"/>
          </w:tcPr>
          <w:p>
            <w:pPr>
              <w:pageBreakBefore w:val="0"/>
              <w:spacing w:before="0" w:after="0" w:line="288" w:lineRule="auto"/>
              <w:jc w:val="right"/>
            </w:pPr>
            <w:r>
              <w:rPr>
                <w:rFonts w:ascii="Arial" w:eastAsia="Arial" w:hAnsi="Arial" w:cs="Arial"/>
                <w:b/>
                <w:i w:val="0"/>
                <w:color w:val="000000"/>
                <w:sz w:val="16"/>
                <w:u w:val="none"/>
              </w:rPr>
              <w:t>Weighted Average Corporate Executive Performance Rating:</w:t>
            </w:r>
          </w:p>
        </w:tc>
        <w:tc>
          <w:tcPr>
            <w:tcW w:w="945" w:type="dxa"/>
            <w:tcBorders>
              <w:top w:val="single" w:sz="4" w:space="0" w:color="000000"/>
              <w:left w:val="nil"/>
              <w:bottom w:val="single" w:sz="4" w:space="0" w:color="000000"/>
              <w:right w:val="nil"/>
            </w:tcBorders>
            <w:shd w:val="clear" w:color="auto" w:fill="FFFFFF"/>
            <w:tcMar>
              <w:top w:w="0" w:type="dxa"/>
              <w:left w:w="53" w:type="dxa"/>
              <w:bottom w:w="0" w:type="dxa"/>
              <w:right w:w="15" w:type="dxa"/>
            </w:tcMar>
            <w:vAlign w:val="center"/>
          </w:tcPr>
          <w:p>
            <w:pPr>
              <w:pageBreakBefore w:val="0"/>
              <w:spacing w:before="0" w:after="0" w:line="288" w:lineRule="auto"/>
              <w:jc w:val="center"/>
            </w:pPr>
            <w:r>
              <w:rPr>
                <w:rFonts w:ascii="Arial" w:eastAsia="Arial" w:hAnsi="Arial" w:cs="Arial"/>
                <w:b/>
                <w:i w:val="0"/>
                <w:color w:val="000000"/>
                <w:sz w:val="16"/>
                <w:u w:val="none"/>
              </w:rPr>
              <w:t>80%</w:t>
            </w:r>
          </w:p>
        </w:tc>
      </w:tr>
    </w:tbl>
    <w:p>
      <w:pPr>
        <w:keepNext/>
        <w:keepLines w:val="0"/>
        <w:pageBreakBefore w:val="0"/>
        <w:widowControl/>
        <w:numPr>
          <w:ilvl w:val="0"/>
          <w:numId w:val="0"/>
        </w:numPr>
        <w:spacing w:before="60" w:after="100" w:line="288" w:lineRule="auto"/>
        <w:ind w:left="0" w:right="0" w:firstLine="0"/>
        <w:jc w:val="right"/>
        <w:outlineLvl w:val="9"/>
        <w:rPr>
          <w:rFonts w:ascii="Arial" w:eastAsia="Arial" w:hAnsi="Arial" w:cs="Arial"/>
          <w:b/>
          <w:i w:val="0"/>
          <w:color w:val="4495D1"/>
          <w:sz w:val="20"/>
          <w:u w:val="none"/>
        </w:rPr>
      </w:pPr>
    </w:p>
    <w:p>
      <w:pPr>
        <w:keepNext/>
        <w:keepLines w:val="0"/>
        <w:pageBreakBefore w:val="0"/>
        <w:widowControl/>
        <w:numPr>
          <w:ilvl w:val="0"/>
          <w:numId w:val="0"/>
        </w:numPr>
        <w:spacing w:before="60" w:after="60" w:line="288" w:lineRule="auto"/>
        <w:ind w:left="0" w:right="0" w:firstLine="0"/>
        <w:jc w:val="right"/>
        <w:outlineLvl w:val="9"/>
        <w:rPr>
          <w:rFonts w:ascii="Arial" w:eastAsia="Arial" w:hAnsi="Arial" w:cs="Arial"/>
          <w:b/>
          <w:i w:val="0"/>
          <w:color w:val="4495D1"/>
          <w:sz w:val="20"/>
          <w:u w:val="none"/>
        </w:rPr>
        <w:sectPr>
          <w:headerReference w:type="default" r:id="rId230"/>
          <w:footerReference w:type="default" r:id="rId231"/>
          <w:type w:val="continuous"/>
          <w:pgSz w:w="12240" w:h="15840"/>
          <w:pgMar w:top="855" w:right="990" w:bottom="855" w:left="990" w:header="180" w:footer="270"/>
          <w:cols w:space="708"/>
        </w:sectPr>
      </w:pPr>
    </w:p>
    <w:p>
      <w:pPr>
        <w:keepNext/>
        <w:keepLines w:val="0"/>
        <w:pageBreakBefore w:val="0"/>
        <w:widowControl/>
        <w:numPr>
          <w:ilvl w:val="0"/>
          <w:numId w:val="0"/>
        </w:numPr>
        <w:spacing w:before="0" w:after="60" w:line="300" w:lineRule="auto"/>
        <w:ind w:left="0" w:right="0" w:firstLine="0"/>
        <w:jc w:val="both"/>
        <w:outlineLvl w:val="9"/>
        <w:rPr>
          <w:rFonts w:ascii="Arial" w:eastAsia="Arial" w:hAnsi="Arial" w:cs="Arial"/>
          <w:b w:val="0"/>
          <w:i w:val="0"/>
          <w:sz w:val="20"/>
        </w:rPr>
      </w:pPr>
      <w:bookmarkStart w:id="80" w:name="Section83"/>
      <w:bookmarkEnd w:id="80"/>
    </w:p>
    <w:p>
      <w:pPr>
        <w:keepNext/>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Individual Component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To determine each executive officer's individual performance objectives in </w:t>
      </w:r>
      <w:r>
        <w:rPr>
          <w:rFonts w:ascii="Arial" w:eastAsia="Arial" w:hAnsi="Arial" w:cs="Arial"/>
          <w:b w:val="0"/>
          <w:i w:val="0"/>
          <w:color w:val="000000"/>
          <w:sz w:val="20"/>
          <w:u w:val="none"/>
        </w:rPr>
        <w:t>2023</w:t>
      </w:r>
      <w:r>
        <w:rPr>
          <w:rFonts w:ascii="Arial" w:eastAsia="Arial" w:hAnsi="Arial" w:cs="Arial"/>
          <w:b w:val="0"/>
          <w:i w:val="0"/>
          <w:sz w:val="20"/>
        </w:rPr>
        <w:t>, the Compensation Committee reviewed proposals from the CEO, which were developed with each executive. The proposed objectives took into consideration the Company's goals and operational priorities for the year and fit within categories established by the Compensation Committee. Executives had multifaceted objectives</w:t>
      </w:r>
      <w:r>
        <w:rPr>
          <w:rFonts w:ascii="Arial" w:eastAsia="Arial" w:hAnsi="Arial" w:cs="Arial"/>
          <w:b w:val="0"/>
          <w:i w:val="0"/>
          <w:sz w:val="20"/>
        </w:rPr>
        <w:t xml:space="preserve"> that were individually weighted at varying levels based on the importance of each. The Compensation Committee then reviewed each proposal, made certain changes, and established the objectives and relative weightings.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 Compensation Committee reviewed interim self-appraisals to track each executive's progress towards their objectives. Following year-end, each executive submitted a final self-appraisal of his or her performance versus the goals to the Compensation Committee and the CEO. The Compensation Committee reviewed each executive officer's appraisal with the CEO before making a determination and considered his thoughts and views on overall achievement levels. The CEO does not participate in Compensation Committee discussions about his self</w:t>
      </w:r>
      <w:r>
        <w:rPr>
          <w:rFonts w:ascii="Arial" w:eastAsia="Arial" w:hAnsi="Arial" w:cs="Arial"/>
          <w:b w:val="0"/>
          <w:i w:val="0"/>
          <w:sz w:val="20"/>
        </w:rPr>
        <w:t>-</w:t>
      </w:r>
      <w:r>
        <w:rPr>
          <w:rFonts w:ascii="Arial" w:eastAsia="Arial" w:hAnsi="Arial" w:cs="Arial"/>
          <w:b w:val="0"/>
          <w:i w:val="0"/>
          <w:sz w:val="20"/>
        </w:rPr>
        <w:t xml:space="preserve">appraisal of his individual achievement. The Compensation Committee considers achievement of "threshold" level to partially meet operational performance expectations, with "target" level corresponding to meeting expectations, and "maximum" level corresponding to exceptional performance. </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Compensation Committee's assessment of each executive's achievements is summarized in </w:t>
      </w:r>
      <w:r>
        <w:rPr>
          <w:rFonts w:ascii="Arial" w:eastAsia="Arial" w:hAnsi="Arial" w:cs="Arial"/>
          <w:b w:val="0"/>
          <w:i w:val="0"/>
          <w:sz w:val="20"/>
        </w:rPr>
        <w:t xml:space="preserve">the tables included in each </w:t>
      </w:r>
      <w:r>
        <w:rPr>
          <w:rFonts w:ascii="Arial" w:eastAsia="Arial" w:hAnsi="Arial" w:cs="Arial"/>
          <w:b w:val="0"/>
          <w:i w:val="0"/>
          <w:sz w:val="20"/>
        </w:rPr>
        <w:t xml:space="preserve">named </w:t>
      </w:r>
      <w:r>
        <w:rPr>
          <w:rFonts w:ascii="Arial" w:eastAsia="Arial" w:hAnsi="Arial" w:cs="Arial"/>
          <w:b w:val="0"/>
          <w:i w:val="0"/>
          <w:sz w:val="20"/>
        </w:rPr>
        <w:t>executive officer</w:t>
      </w:r>
      <w:r>
        <w:rPr>
          <w:rFonts w:ascii="Arial" w:eastAsia="Arial" w:hAnsi="Arial" w:cs="Arial"/>
          <w:b w:val="0"/>
          <w:i w:val="0"/>
          <w:sz w:val="20"/>
        </w:rPr>
        <w:t xml:space="preserve">'s </w:t>
      </w:r>
      <w:r>
        <w:rPr>
          <w:rFonts w:ascii="Arial" w:eastAsia="Arial" w:hAnsi="Arial" w:cs="Arial"/>
          <w:b w:val="0"/>
          <w:i w:val="0"/>
          <w:sz w:val="20"/>
        </w:rPr>
        <w:t>individual</w:t>
      </w:r>
      <w:r>
        <w:rPr>
          <w:rFonts w:ascii="Arial" w:eastAsia="Arial" w:hAnsi="Arial" w:cs="Arial"/>
          <w:b w:val="0"/>
          <w:i w:val="0"/>
          <w:sz w:val="20"/>
        </w:rPr>
        <w:t xml:space="preserve"> compensation summary beginning on page </w:t>
      </w:r>
      <w:r>
        <w:rPr>
          <w:rFonts w:ascii="Arial" w:eastAsia="Arial" w:hAnsi="Arial" w:cs="Arial"/>
          <w:b w:val="0"/>
          <w:i w:val="0"/>
          <w:color w:val="0000FF"/>
          <w:sz w:val="20"/>
          <w:u w:val="single"/>
        </w:rPr>
        <w:fldChar w:fldCharType="begin"/>
      </w:r>
      <w:r>
        <w:rPr>
          <w:rFonts w:ascii="Arial" w:eastAsia="Arial" w:hAnsi="Arial" w:cs="Arial"/>
          <w:b w:val="0"/>
          <w:i w:val="0"/>
          <w:color w:val="0000FF"/>
          <w:sz w:val="20"/>
          <w:u w:val="single"/>
        </w:rPr>
        <w:instrText xml:space="preserve"> PAGEREF </w:instrText>
      </w:r>
      <w:r>
        <w:rPr>
          <w:rFonts w:ascii="Arial" w:eastAsia="Arial" w:hAnsi="Arial" w:cs="Arial"/>
          <w:b w:val="0"/>
          <w:i w:val="0"/>
          <w:color w:val="0000FF"/>
          <w:sz w:val="20"/>
          <w:u w:val="single"/>
        </w:rPr>
        <w:instrText xml:space="preserve"> </w:instrText>
      </w:r>
      <w:r>
        <w:rPr>
          <w:rFonts w:ascii="Arial" w:eastAsia="Arial" w:hAnsi="Arial" w:cs="Arial"/>
          <w:b w:val="0"/>
          <w:i w:val="0"/>
          <w:color w:val="0000FF"/>
          <w:sz w:val="20"/>
          <w:u w:val="single"/>
        </w:rPr>
        <w:instrText>Section87</w:instrText>
      </w:r>
      <w:r>
        <w:rPr>
          <w:rFonts w:ascii="Arial" w:eastAsia="Arial" w:hAnsi="Arial" w:cs="Arial"/>
          <w:b w:val="0"/>
          <w:i w:val="0"/>
          <w:color w:val="0000FF"/>
          <w:sz w:val="20"/>
          <w:u w:val="single"/>
        </w:rPr>
        <w:instrText xml:space="preserve"> \h</w:instrText>
      </w:r>
      <w:r>
        <w:rPr>
          <w:rFonts w:ascii="Arial" w:eastAsia="Arial" w:hAnsi="Arial" w:cs="Arial"/>
          <w:b w:val="0"/>
          <w:i w:val="0"/>
          <w:color w:val="0000FF"/>
          <w:sz w:val="20"/>
          <w:u w:val="single"/>
        </w:rPr>
        <w:fldChar w:fldCharType="separate"/>
      </w:r>
      <w:r>
        <w:rPr>
          <w:rFonts w:ascii="Arial" w:eastAsia="Arial" w:hAnsi="Arial" w:cs="Arial"/>
          <w:b w:val="0"/>
          <w:i w:val="0"/>
          <w:color w:val="0000FF"/>
          <w:sz w:val="20"/>
          <w:u w:val="single"/>
        </w:rPr>
        <w:t>57</w:t>
      </w:r>
      <w:r>
        <w:rPr>
          <w:rFonts w:ascii="Arial" w:eastAsia="Arial" w:hAnsi="Arial" w:cs="Arial"/>
          <w:b w:val="0"/>
          <w:i w:val="0"/>
          <w:color w:val="0000FF"/>
          <w:sz w:val="20"/>
          <w:u w:val="single"/>
        </w:rPr>
        <w:fldChar w:fldCharType="end"/>
      </w:r>
      <w:r>
        <w:rPr>
          <w:rFonts w:ascii="Arial" w:eastAsia="Arial" w:hAnsi="Arial" w:cs="Arial"/>
          <w:b w:val="0"/>
          <w:i w:val="0"/>
          <w:sz w:val="20"/>
        </w:rPr>
        <w:t>.</w:t>
      </w:r>
    </w:p>
    <w:p>
      <w:pPr>
        <w:keepNext/>
        <w:keepLines w:val="0"/>
        <w:pageBreakBefore w:val="0"/>
        <w:widowControl/>
        <w:numPr>
          <w:ilvl w:val="0"/>
          <w:numId w:val="0"/>
        </w:numPr>
        <w:spacing w:before="0" w:after="120" w:line="300" w:lineRule="auto"/>
        <w:ind w:left="0" w:right="0" w:firstLine="0"/>
        <w:jc w:val="both"/>
        <w:outlineLvl w:val="9"/>
        <w:sectPr>
          <w:headerReference w:type="default" r:id="rId232"/>
          <w:footerReference w:type="default" r:id="rId233"/>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4495D1"/>
          <w:sz w:val="20"/>
          <w:u w:val="none"/>
        </w:rPr>
      </w:pPr>
      <w:bookmarkStart w:id="81" w:name="Section84"/>
      <w:bookmarkEnd w:id="81"/>
    </w:p>
    <w:p>
      <w:pPr>
        <w:keepNext w:val="0"/>
        <w:keepLines w:val="0"/>
        <w:pageBreakBefore w:val="0"/>
        <w:widowControl/>
        <w:numPr>
          <w:ilvl w:val="0"/>
          <w:numId w:val="0"/>
        </w:numPr>
        <w:spacing w:before="0" w:after="60" w:line="288" w:lineRule="auto"/>
        <w:ind w:left="0" w:right="0" w:firstLine="0"/>
        <w:jc w:val="both"/>
        <w:outlineLvl w:val="3"/>
        <w:rPr>
          <w:rFonts w:ascii="Arial" w:eastAsia="Arial" w:hAnsi="Arial" w:cs="Arial"/>
          <w:b/>
          <w:i w:val="0"/>
          <w:color w:val="4495D1"/>
          <w:sz w:val="20"/>
          <w:u w:val="none"/>
        </w:rPr>
      </w:pPr>
      <w:r>
        <w:rPr>
          <w:rFonts w:ascii="Arial" w:eastAsia="Arial" w:hAnsi="Arial" w:cs="Arial"/>
          <w:b/>
          <w:i w:val="0"/>
          <w:color w:val="4495D1"/>
          <w:sz w:val="20"/>
          <w:u w:val="none"/>
        </w:rPr>
        <w:t>Committee Adjustment Amount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i w:val="0"/>
          <w:sz w:val="20"/>
        </w:rPr>
      </w:pPr>
      <w:r>
        <w:rPr>
          <w:rFonts w:ascii="Arial" w:eastAsia="Arial" w:hAnsi="Arial" w:cs="Arial"/>
          <w:b w:val="0"/>
          <w:i w:val="0"/>
          <w:sz w:val="20"/>
        </w:rPr>
        <w:t>The Committee Adjustment Amount allows for a positive or negative discretionary adjustment of up to 10% on the formulaic bonus outcome</w:t>
      </w:r>
      <w:r>
        <w:rPr>
          <w:rFonts w:ascii="Arial" w:eastAsia="Arial" w:hAnsi="Arial" w:cs="Arial"/>
          <w:b w:val="0"/>
          <w:i w:val="0"/>
          <w:sz w:val="20"/>
        </w:rPr>
        <w:t xml:space="preserve"> described above. Any Committee Adjustment Amount is applied based on the Compensation Committee's judgment of the executive’s overall performance, including for exceptional individual or team achievements. For </w:t>
      </w:r>
      <w:r>
        <w:rPr>
          <w:rFonts w:ascii="Arial" w:eastAsia="Arial" w:hAnsi="Arial" w:cs="Arial"/>
          <w:b w:val="0"/>
          <w:i w:val="0"/>
          <w:color w:val="000000"/>
          <w:sz w:val="20"/>
          <w:u w:val="none"/>
        </w:rPr>
        <w:t>2023</w:t>
      </w:r>
      <w:r>
        <w:rPr>
          <w:rFonts w:ascii="Arial" w:eastAsia="Arial" w:hAnsi="Arial" w:cs="Arial"/>
          <w:b w:val="0"/>
          <w:i w:val="0"/>
          <w:sz w:val="20"/>
        </w:rPr>
        <w:t>, the Compensation Committee applied</w:t>
      </w:r>
      <w:r>
        <w:rPr>
          <w:rFonts w:ascii="Arial" w:eastAsia="Arial" w:hAnsi="Arial" w:cs="Arial"/>
          <w:b w:val="0"/>
          <w:i w:val="0"/>
          <w:sz w:val="20"/>
        </w:rPr>
        <w:t xml:space="preserve"> </w:t>
      </w:r>
      <w:r>
        <w:rPr>
          <w:rFonts w:ascii="Arial" w:eastAsia="Arial" w:hAnsi="Arial" w:cs="Arial"/>
          <w:b w:val="0"/>
          <w:i w:val="0"/>
          <w:sz w:val="20"/>
        </w:rPr>
        <w:t>increase</w:t>
      </w:r>
      <w:r>
        <w:rPr>
          <w:rFonts w:ascii="Arial" w:eastAsia="Arial" w:hAnsi="Arial" w:cs="Arial"/>
          <w:b w:val="0"/>
          <w:i w:val="0"/>
          <w:sz w:val="20"/>
        </w:rPr>
        <w:t xml:space="preserve">s to </w:t>
      </w:r>
      <w:r>
        <w:rPr>
          <w:rFonts w:ascii="Arial" w:eastAsia="Arial" w:hAnsi="Arial" w:cs="Arial"/>
          <w:b w:val="0"/>
          <w:i w:val="0"/>
          <w:sz w:val="20"/>
        </w:rPr>
        <w:t xml:space="preserve">Mr. </w:t>
      </w:r>
      <w:r>
        <w:rPr>
          <w:rFonts w:ascii="Arial" w:eastAsia="Arial" w:hAnsi="Arial" w:cs="Arial"/>
          <w:b w:val="0"/>
          <w:i w:val="0"/>
          <w:sz w:val="20"/>
        </w:rPr>
        <w:t xml:space="preserve">Brockman's </w:t>
      </w:r>
      <w:r>
        <w:rPr>
          <w:rFonts w:ascii="Arial" w:eastAsia="Arial" w:hAnsi="Arial" w:cs="Arial"/>
          <w:b w:val="0"/>
          <w:i w:val="0"/>
          <w:sz w:val="20"/>
        </w:rPr>
        <w:t>as described in his compensation summary on p</w:t>
      </w:r>
      <w:r>
        <w:rPr>
          <w:rFonts w:ascii="Arial" w:eastAsia="Arial" w:hAnsi="Arial" w:cs="Arial"/>
          <w:b w:val="0"/>
          <w:i w:val="0"/>
          <w:sz w:val="20"/>
        </w:rPr>
        <w:t xml:space="preserve">age </w:t>
      </w:r>
      <w:r>
        <w:rPr>
          <w:rFonts w:ascii="Arial" w:eastAsia="Arial" w:hAnsi="Arial" w:cs="Arial"/>
          <w:b w:val="0"/>
          <w:i w:val="0"/>
          <w:color w:val="0000FF"/>
          <w:sz w:val="20"/>
          <w:u w:val="single"/>
        </w:rPr>
        <w:fldChar w:fldCharType="begin"/>
      </w:r>
      <w:r>
        <w:rPr>
          <w:rFonts w:ascii="Arial" w:eastAsia="Arial" w:hAnsi="Arial" w:cs="Arial"/>
          <w:b w:val="0"/>
          <w:i w:val="0"/>
          <w:color w:val="0000FF"/>
          <w:sz w:val="20"/>
          <w:u w:val="single"/>
        </w:rPr>
        <w:instrText xml:space="preserve"> PAGEREF </w:instrText>
      </w:r>
      <w:r>
        <w:rPr>
          <w:rFonts w:ascii="Arial" w:eastAsia="Arial" w:hAnsi="Arial" w:cs="Arial"/>
          <w:b w:val="0"/>
          <w:i w:val="0"/>
          <w:color w:val="0000FF"/>
          <w:sz w:val="20"/>
          <w:u w:val="single"/>
        </w:rPr>
        <w:instrText xml:space="preserve"> </w:instrText>
      </w:r>
      <w:r>
        <w:rPr>
          <w:rFonts w:ascii="Arial" w:eastAsia="Arial" w:hAnsi="Arial" w:cs="Arial"/>
          <w:b w:val="0"/>
          <w:i w:val="0"/>
          <w:color w:val="0000FF"/>
          <w:sz w:val="20"/>
          <w:u w:val="single"/>
        </w:rPr>
        <w:instrText>Section92</w:instrText>
      </w:r>
      <w:r>
        <w:rPr>
          <w:rFonts w:ascii="Arial" w:eastAsia="Arial" w:hAnsi="Arial" w:cs="Arial"/>
          <w:b w:val="0"/>
          <w:i w:val="0"/>
          <w:color w:val="0000FF"/>
          <w:sz w:val="20"/>
          <w:u w:val="single"/>
        </w:rPr>
        <w:instrText xml:space="preserve"> \h</w:instrText>
      </w:r>
      <w:r>
        <w:rPr>
          <w:rFonts w:ascii="Arial" w:eastAsia="Arial" w:hAnsi="Arial" w:cs="Arial"/>
          <w:b w:val="0"/>
          <w:i w:val="0"/>
          <w:color w:val="0000FF"/>
          <w:sz w:val="20"/>
          <w:u w:val="single"/>
        </w:rPr>
        <w:fldChar w:fldCharType="separate"/>
      </w:r>
      <w:r>
        <w:rPr>
          <w:rFonts w:ascii="Arial" w:eastAsia="Arial" w:hAnsi="Arial" w:cs="Arial"/>
          <w:b w:val="0"/>
          <w:i w:val="0"/>
          <w:color w:val="0000FF"/>
          <w:sz w:val="20"/>
          <w:u w:val="single"/>
        </w:rPr>
        <w:t>68</w:t>
      </w:r>
      <w:r>
        <w:rPr>
          <w:rFonts w:ascii="Arial" w:eastAsia="Arial" w:hAnsi="Arial" w:cs="Arial"/>
          <w:b w:val="0"/>
          <w:i w:val="0"/>
          <w:color w:val="0000FF"/>
          <w:sz w:val="20"/>
          <w:u w:val="single"/>
        </w:rPr>
        <w:fldChar w:fldCharType="end"/>
      </w:r>
      <w:r>
        <w:rPr>
          <w:rFonts w:ascii="Arial" w:eastAsia="Arial" w:hAnsi="Arial" w:cs="Arial"/>
          <w:b w:val="0"/>
          <w:i w:val="0"/>
          <w:sz w:val="20"/>
        </w:rPr>
        <w:t>.</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234"/>
          <w:footerReference w:type="default" r:id="rId235"/>
          <w:type w:val="continuous"/>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4495D1"/>
          <w:sz w:val="20"/>
          <w:u w:val="none"/>
        </w:rPr>
      </w:pPr>
      <w:bookmarkStart w:id="82" w:name="Section85"/>
      <w:bookmarkEnd w:id="82"/>
    </w:p>
    <w:p>
      <w:pPr>
        <w:keepNext/>
        <w:keepLines w:val="0"/>
        <w:pageBreakBefore w:val="0"/>
        <w:widowControl/>
        <w:numPr>
          <w:ilvl w:val="0"/>
          <w:numId w:val="0"/>
        </w:numPr>
        <w:spacing w:before="0" w:after="60" w:line="288" w:lineRule="auto"/>
        <w:ind w:left="0" w:right="0" w:firstLine="0"/>
        <w:jc w:val="both"/>
        <w:outlineLvl w:val="3"/>
        <w:rPr>
          <w:rFonts w:ascii="Arial" w:eastAsia="Arial" w:hAnsi="Arial" w:cs="Arial"/>
          <w:b/>
          <w:i w:val="0"/>
          <w:color w:val="4495D1"/>
          <w:sz w:val="20"/>
          <w:u w:val="none"/>
        </w:rPr>
      </w:pPr>
      <w:r>
        <w:rPr>
          <w:rFonts w:ascii="Arial" w:eastAsia="Arial" w:hAnsi="Arial" w:cs="Arial"/>
          <w:b/>
          <w:i w:val="0"/>
          <w:color w:val="4495D1"/>
          <w:sz w:val="20"/>
          <w:u w:val="none"/>
        </w:rPr>
        <w:t>2023</w:t>
      </w:r>
      <w:r>
        <w:rPr>
          <w:rFonts w:ascii="Arial" w:eastAsia="Arial" w:hAnsi="Arial" w:cs="Arial"/>
          <w:b/>
          <w:i w:val="0"/>
          <w:color w:val="4495D1"/>
          <w:sz w:val="20"/>
          <w:u w:val="none"/>
        </w:rPr>
        <w:t xml:space="preserve"> Bonus Award Summary</w:t>
      </w:r>
      <w:r>
        <w:rPr>
          <w:rFonts w:ascii="Arial" w:eastAsia="Arial" w:hAnsi="Arial" w:cs="Arial"/>
          <w:b/>
          <w:i w:val="0"/>
          <w:color w:val="4495D1"/>
          <w:sz w:val="20"/>
          <w:u w:val="none"/>
        </w:rPr>
        <w:tab/>
      </w:r>
    </w:p>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formula </w:t>
      </w:r>
      <w:r>
        <w:rPr>
          <w:rFonts w:ascii="Arial" w:eastAsia="Arial" w:hAnsi="Arial" w:cs="Arial"/>
          <w:b w:val="0"/>
          <w:i w:val="0"/>
          <w:sz w:val="20"/>
        </w:rPr>
        <w:t>below set</w:t>
      </w:r>
      <w:r>
        <w:rPr>
          <w:rFonts w:ascii="Arial" w:eastAsia="Arial" w:hAnsi="Arial" w:cs="Arial"/>
          <w:b w:val="0"/>
          <w:i w:val="0"/>
          <w:sz w:val="20"/>
        </w:rPr>
        <w:t>s</w:t>
      </w:r>
      <w:r>
        <w:rPr>
          <w:rFonts w:ascii="Arial" w:eastAsia="Arial" w:hAnsi="Arial" w:cs="Arial"/>
          <w:b w:val="0"/>
          <w:i w:val="0"/>
          <w:sz w:val="20"/>
        </w:rPr>
        <w:t xml:space="preserve"> forth the component parts and levels of achievement applicable to </w:t>
      </w:r>
      <w:r>
        <w:rPr>
          <w:rFonts w:ascii="Arial" w:eastAsia="Arial" w:hAnsi="Arial" w:cs="Arial"/>
          <w:b w:val="0"/>
          <w:i w:val="0"/>
          <w:sz w:val="20"/>
        </w:rPr>
        <w:t>executive officer</w:t>
      </w:r>
      <w:r>
        <w:rPr>
          <w:rFonts w:ascii="Arial" w:eastAsia="Arial" w:hAnsi="Arial" w:cs="Arial"/>
          <w:b w:val="0"/>
          <w:i w:val="0"/>
          <w:sz w:val="20"/>
        </w:rPr>
        <w:t xml:space="preserve"> bonus award for </w:t>
      </w:r>
      <w:r>
        <w:rPr>
          <w:rFonts w:ascii="Arial" w:eastAsia="Arial" w:hAnsi="Arial" w:cs="Arial"/>
          <w:b w:val="0"/>
          <w:i w:val="0"/>
          <w:color w:val="000000"/>
          <w:sz w:val="20"/>
          <w:u w:val="none"/>
        </w:rPr>
        <w:t>2023</w:t>
      </w:r>
      <w:r>
        <w:rPr>
          <w:rFonts w:ascii="Arial" w:eastAsia="Arial" w:hAnsi="Arial" w:cs="Arial"/>
          <w:b w:val="0"/>
          <w:i w:val="0"/>
          <w:sz w:val="20"/>
        </w:rPr>
        <w:t>.</w:t>
      </w:r>
      <w:r>
        <w:rPr>
          <w:rFonts w:ascii="Arial" w:eastAsia="Arial" w:hAnsi="Arial" w:cs="Arial"/>
          <w:b w:val="0"/>
          <w:i w:val="0"/>
          <w:sz w:val="20"/>
        </w:rPr>
        <w:t xml:space="preserve"> Detail on </w:t>
      </w:r>
      <w:r>
        <w:rPr>
          <w:rFonts w:ascii="Arial" w:eastAsia="Arial" w:hAnsi="Arial" w:cs="Arial"/>
          <w:b w:val="0"/>
          <w:i w:val="0"/>
          <w:sz w:val="20"/>
        </w:rPr>
        <w:t>the</w:t>
      </w:r>
      <w:r>
        <w:rPr>
          <w:rFonts w:ascii="Arial" w:eastAsia="Arial" w:hAnsi="Arial" w:cs="Arial"/>
          <w:b w:val="0"/>
          <w:i w:val="0"/>
          <w:sz w:val="20"/>
        </w:rPr>
        <w:t xml:space="preserve"> calculation of</w:t>
      </w:r>
      <w:r>
        <w:rPr>
          <w:rFonts w:ascii="Arial" w:eastAsia="Arial" w:hAnsi="Arial" w:cs="Arial"/>
          <w:b w:val="0"/>
          <w:i w:val="0"/>
          <w:sz w:val="20"/>
        </w:rPr>
        <w:t xml:space="preserve"> </w:t>
      </w:r>
      <w:r>
        <w:rPr>
          <w:rFonts w:ascii="Arial" w:eastAsia="Arial" w:hAnsi="Arial" w:cs="Arial"/>
          <w:b w:val="0"/>
          <w:i w:val="0"/>
          <w:sz w:val="20"/>
        </w:rPr>
        <w:t xml:space="preserve">each named executive officer's </w:t>
      </w:r>
      <w:r>
        <w:rPr>
          <w:rFonts w:ascii="Arial" w:eastAsia="Arial" w:hAnsi="Arial" w:cs="Arial"/>
          <w:b w:val="0"/>
          <w:i w:val="0"/>
          <w:sz w:val="20"/>
        </w:rPr>
        <w:t xml:space="preserve">bonus is set forth in the </w:t>
      </w:r>
      <w:r>
        <w:rPr>
          <w:rFonts w:ascii="Arial" w:eastAsia="Arial" w:hAnsi="Arial" w:cs="Arial"/>
          <w:b w:val="0"/>
          <w:i w:val="0"/>
          <w:sz w:val="20"/>
        </w:rPr>
        <w:t>individual compensation summar</w:t>
      </w:r>
      <w:r>
        <w:rPr>
          <w:rFonts w:ascii="Arial" w:eastAsia="Arial" w:hAnsi="Arial" w:cs="Arial"/>
          <w:b w:val="0"/>
          <w:i w:val="0"/>
          <w:sz w:val="20"/>
        </w:rPr>
        <w:t>ies</w:t>
      </w:r>
      <w:r>
        <w:rPr>
          <w:rFonts w:ascii="Arial" w:eastAsia="Arial" w:hAnsi="Arial" w:cs="Arial"/>
          <w:b w:val="0"/>
          <w:i w:val="0"/>
          <w:sz w:val="20"/>
        </w:rPr>
        <w:t xml:space="preserve"> beginning on page </w:t>
      </w:r>
      <w:r>
        <w:rPr>
          <w:rFonts w:ascii="Arial" w:eastAsia="Arial" w:hAnsi="Arial" w:cs="Arial"/>
          <w:b w:val="0"/>
          <w:i w:val="0"/>
          <w:color w:val="0000FF"/>
          <w:sz w:val="20"/>
          <w:u w:val="single"/>
        </w:rPr>
        <w:fldChar w:fldCharType="begin"/>
      </w:r>
      <w:r>
        <w:rPr>
          <w:rFonts w:ascii="Arial" w:eastAsia="Arial" w:hAnsi="Arial" w:cs="Arial"/>
          <w:b w:val="0"/>
          <w:i w:val="0"/>
          <w:color w:val="0000FF"/>
          <w:sz w:val="20"/>
          <w:u w:val="single"/>
        </w:rPr>
        <w:instrText xml:space="preserve"> PAGEREF </w:instrText>
      </w:r>
      <w:r>
        <w:rPr>
          <w:rFonts w:ascii="Arial" w:eastAsia="Arial" w:hAnsi="Arial" w:cs="Arial"/>
          <w:b w:val="0"/>
          <w:i w:val="0"/>
          <w:color w:val="0000FF"/>
          <w:sz w:val="20"/>
          <w:u w:val="single"/>
        </w:rPr>
        <w:instrText xml:space="preserve"> </w:instrText>
      </w:r>
      <w:r>
        <w:rPr>
          <w:rFonts w:ascii="Arial" w:eastAsia="Arial" w:hAnsi="Arial" w:cs="Arial"/>
          <w:b w:val="0"/>
          <w:i w:val="0"/>
          <w:color w:val="0000FF"/>
          <w:sz w:val="20"/>
          <w:u w:val="single"/>
        </w:rPr>
        <w:instrText>Section87</w:instrText>
      </w:r>
      <w:r>
        <w:rPr>
          <w:rFonts w:ascii="Arial" w:eastAsia="Arial" w:hAnsi="Arial" w:cs="Arial"/>
          <w:b w:val="0"/>
          <w:i w:val="0"/>
          <w:color w:val="0000FF"/>
          <w:sz w:val="20"/>
          <w:u w:val="single"/>
        </w:rPr>
        <w:instrText xml:space="preserve"> \h</w:instrText>
      </w:r>
      <w:r>
        <w:rPr>
          <w:rFonts w:ascii="Arial" w:eastAsia="Arial" w:hAnsi="Arial" w:cs="Arial"/>
          <w:b w:val="0"/>
          <w:i w:val="0"/>
          <w:color w:val="0000FF"/>
          <w:sz w:val="20"/>
          <w:u w:val="single"/>
        </w:rPr>
        <w:fldChar w:fldCharType="separate"/>
      </w:r>
      <w:r>
        <w:rPr>
          <w:rFonts w:ascii="Arial" w:eastAsia="Arial" w:hAnsi="Arial" w:cs="Arial"/>
          <w:b w:val="0"/>
          <w:i w:val="0"/>
          <w:color w:val="0000FF"/>
          <w:sz w:val="20"/>
          <w:u w:val="single"/>
        </w:rPr>
        <w:t>57</w:t>
      </w:r>
      <w:r>
        <w:rPr>
          <w:rFonts w:ascii="Arial" w:eastAsia="Arial" w:hAnsi="Arial" w:cs="Arial"/>
          <w:b w:val="0"/>
          <w:i w:val="0"/>
          <w:color w:val="0000FF"/>
          <w:sz w:val="20"/>
          <w:u w:val="single"/>
        </w:rPr>
        <w:fldChar w:fldCharType="end"/>
      </w:r>
      <w:r>
        <w:rPr>
          <w:rFonts w:ascii="Arial" w:eastAsia="Arial" w:hAnsi="Arial" w:cs="Arial"/>
          <w:b w:val="0"/>
          <w:i w:val="0"/>
          <w:sz w:val="20"/>
        </w:rPr>
        <w:t>.</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250"/>
        <w:gridCol w:w="60"/>
        <w:gridCol w:w="1155"/>
        <w:gridCol w:w="195"/>
        <w:gridCol w:w="1170"/>
        <w:gridCol w:w="195"/>
        <w:gridCol w:w="1170"/>
        <w:gridCol w:w="360"/>
        <w:gridCol w:w="1185"/>
        <w:gridCol w:w="315"/>
        <w:gridCol w:w="220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430"/>
        </w:trPr>
        <w:tc>
          <w:tcPr>
            <w:tcW w:w="2250"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center"/>
              <w:outlineLvl w:val="9"/>
              <w:rPr>
                <w:rFonts w:ascii="Arial" w:eastAsia="Arial" w:hAnsi="Arial" w:cs="Arial"/>
                <w:b/>
                <w:i w:val="0"/>
                <w:color w:val="171449"/>
                <w:sz w:val="20"/>
                <w:u w:val="none"/>
              </w:rPr>
            </w:pPr>
          </w:p>
          <w:p>
            <w:pPr>
              <w:pageBreakBefore w:val="0"/>
              <w:numPr>
                <w:ilvl w:val="0"/>
                <w:numId w:val="0"/>
              </w:numPr>
              <w:spacing w:before="0" w:after="0" w:line="288" w:lineRule="auto"/>
              <w:ind w:left="0" w:right="0" w:firstLine="0"/>
              <w:jc w:val="center"/>
              <w:outlineLvl w:val="9"/>
              <w:rPr>
                <w:rFonts w:ascii="Arial" w:eastAsia="Arial" w:hAnsi="Arial" w:cs="Arial"/>
                <w:b/>
                <w:i w:val="0"/>
                <w:color w:val="171449"/>
                <w:sz w:val="20"/>
                <w:u w:val="none"/>
              </w:rPr>
            </w:pPr>
          </w:p>
          <w:p>
            <w:pPr>
              <w:pageBreakBefore w:val="0"/>
              <w:numPr>
                <w:ilvl w:val="0"/>
                <w:numId w:val="0"/>
              </w:numPr>
              <w:spacing w:before="0" w:after="0" w:line="288" w:lineRule="auto"/>
              <w:ind w:left="0" w:right="0" w:firstLine="0"/>
              <w:jc w:val="center"/>
              <w:outlineLvl w:val="9"/>
              <w:rPr>
                <w:rFonts w:ascii="Arial" w:eastAsia="Arial" w:hAnsi="Arial" w:cs="Arial"/>
                <w:b/>
                <w:i w:val="0"/>
                <w:color w:val="171449"/>
                <w:sz w:val="20"/>
                <w:u w:val="none"/>
              </w:rPr>
            </w:pPr>
            <w:r>
              <w:rPr>
                <w:rFonts w:ascii="Arial" w:eastAsia="Arial" w:hAnsi="Arial" w:cs="Arial"/>
                <w:b/>
                <w:i w:val="0"/>
                <w:color w:val="171449"/>
                <w:sz w:val="20"/>
                <w:u w:val="none"/>
              </w:rPr>
              <w:t xml:space="preserve">Executive Officer </w:t>
            </w:r>
          </w:p>
          <w:p>
            <w:pPr>
              <w:pageBreakBefore w:val="0"/>
              <w:numPr>
                <w:ilvl w:val="0"/>
                <w:numId w:val="0"/>
              </w:numPr>
              <w:spacing w:before="0" w:after="0" w:line="288" w:lineRule="auto"/>
              <w:ind w:left="0" w:right="0" w:firstLine="0"/>
              <w:jc w:val="center"/>
              <w:outlineLvl w:val="9"/>
              <w:rPr>
                <w:rFonts w:ascii="Arial" w:eastAsia="Arial" w:hAnsi="Arial" w:cs="Arial"/>
                <w:b/>
                <w:i w:val="0"/>
                <w:color w:val="171449"/>
                <w:sz w:val="20"/>
                <w:u w:val="none"/>
              </w:rPr>
            </w:pPr>
            <w:r>
              <w:rPr>
                <w:rFonts w:ascii="Arial" w:eastAsia="Arial" w:hAnsi="Arial" w:cs="Arial"/>
                <w:b/>
                <w:i w:val="0"/>
                <w:color w:val="171449"/>
                <w:sz w:val="20"/>
                <w:u w:val="none"/>
              </w:rPr>
              <w:t xml:space="preserve">Bonus </w:t>
            </w:r>
          </w:p>
          <w:p>
            <w:pPr>
              <w:pageBreakBefore w:val="0"/>
              <w:numPr>
                <w:ilvl w:val="0"/>
                <w:numId w:val="0"/>
              </w:numPr>
              <w:spacing w:before="0" w:after="0" w:line="288" w:lineRule="auto"/>
              <w:ind w:left="0" w:right="0" w:firstLine="0"/>
              <w:jc w:val="center"/>
              <w:outlineLvl w:val="9"/>
              <w:rPr>
                <w:rFonts w:ascii="Arial" w:eastAsia="Arial" w:hAnsi="Arial" w:cs="Arial"/>
                <w:b/>
                <w:i w:val="0"/>
                <w:color w:val="171449"/>
                <w:sz w:val="20"/>
                <w:u w:val="none"/>
              </w:rPr>
            </w:pPr>
            <w:r>
              <w:rPr>
                <w:rFonts w:ascii="Arial" w:eastAsia="Arial" w:hAnsi="Arial" w:cs="Arial"/>
                <w:b/>
                <w:i w:val="0"/>
                <w:color w:val="171449"/>
                <w:sz w:val="20"/>
                <w:u w:val="none"/>
              </w:rPr>
              <w:t>Summary</w:t>
            </w:r>
          </w:p>
          <w:p>
            <w:pPr>
              <w:pageBreakBefore w:val="0"/>
              <w:numPr>
                <w:ilvl w:val="0"/>
                <w:numId w:val="0"/>
              </w:numPr>
              <w:spacing w:before="0" w:after="0" w:line="288" w:lineRule="auto"/>
              <w:ind w:left="0" w:right="0" w:firstLine="0"/>
              <w:jc w:val="center"/>
              <w:outlineLvl w:val="9"/>
              <w:rPr>
                <w:rFonts w:ascii="Wingdings 3" w:eastAsia="Wingdings 3" w:hAnsi="Wingdings 3" w:cs="Wingdings 3"/>
                <w:b/>
                <w:i w:val="0"/>
                <w:color w:val="171449"/>
                <w:sz w:val="60"/>
                <w:u w:val="none"/>
              </w:rPr>
            </w:pPr>
            <w:r>
              <w:pict>
                <v:shape id="_x0000_s1236" type="#_x0000_t75" style="width:33.75pt;height:33.75pt;margin-top:0;margin-left:0;mso-position-horizontal:center;position:absolute;z-index:251792384">
                  <v:imagedata r:id="rId236" o:title=""/>
                  <o:lock v:ext="edit" aspectratio="t"/>
                  <w10:wrap type="square"/>
                </v:shape>
              </w:pict>
            </w: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55" w:type="dxa"/>
            <w:vMerge w:val="restart"/>
            <w:tcBorders>
              <w:top w:val="nil"/>
              <w:left w:val="nil"/>
              <w:bottom w:val="nil"/>
              <w:right w:val="nil"/>
            </w:tcBorders>
            <w:shd w:val="clear" w:color="auto" w:fill="DBDBDB"/>
            <w:tcMar>
              <w:top w:w="0" w:type="dxa"/>
              <w:left w:w="53" w:type="dxa"/>
              <w:bottom w:w="0" w:type="dxa"/>
              <w:right w:w="53" w:type="dxa"/>
            </w:tcMar>
            <w:vAlign w:val="top"/>
          </w:tcPr>
          <w:p>
            <w:pPr>
              <w:keepNext/>
              <w:pageBreakBefore w:val="0"/>
              <w:spacing w:before="53" w:line="288" w:lineRule="auto"/>
              <w:jc w:val="center"/>
            </w:pPr>
            <w:r>
              <w:rPr>
                <w:rFonts w:ascii="Arial" w:eastAsia="Arial" w:hAnsi="Arial" w:cs="Arial"/>
                <w:b w:val="0"/>
                <w:i w:val="0"/>
                <w:color w:val="000000"/>
                <w:sz w:val="16"/>
                <w:u w:val="none"/>
              </w:rPr>
              <w:t xml:space="preserve">45% weighting (CEO and President) </w:t>
            </w:r>
          </w:p>
          <w:p>
            <w:pPr>
              <w:spacing w:line="288" w:lineRule="auto"/>
              <w:jc w:val="center"/>
            </w:pPr>
          </w:p>
          <w:p>
            <w:pPr>
              <w:spacing w:line="288" w:lineRule="auto"/>
              <w:jc w:val="center"/>
            </w:pPr>
            <w:r>
              <w:rPr>
                <w:rFonts w:ascii="Arial" w:eastAsia="Arial" w:hAnsi="Arial" w:cs="Arial"/>
                <w:b w:val="0"/>
                <w:i w:val="0"/>
                <w:color w:val="000000"/>
                <w:sz w:val="16"/>
                <w:u w:val="none"/>
              </w:rPr>
              <w:t>OR</w:t>
            </w:r>
          </w:p>
          <w:p>
            <w:pPr>
              <w:spacing w:line="288" w:lineRule="auto"/>
              <w:jc w:val="center"/>
            </w:pPr>
          </w:p>
          <w:p>
            <w:pPr>
              <w:spacing w:line="288" w:lineRule="auto"/>
              <w:jc w:val="center"/>
            </w:pPr>
            <w:r>
              <w:rPr>
                <w:rFonts w:ascii="Arial" w:eastAsia="Arial" w:hAnsi="Arial" w:cs="Arial"/>
                <w:b w:val="0"/>
                <w:i w:val="0"/>
                <w:color w:val="000000"/>
                <w:sz w:val="16"/>
                <w:u w:val="none"/>
              </w:rPr>
              <w:t>20% weighting (remaining NEOs)</w:t>
            </w:r>
          </w:p>
          <w:p>
            <w:pPr>
              <w:spacing w:line="288" w:lineRule="auto"/>
              <w:jc w:val="center"/>
            </w:pPr>
          </w:p>
          <w:p>
            <w:pPr>
              <w:spacing w:after="30" w:line="288" w:lineRule="auto"/>
              <w:jc w:val="center"/>
            </w:pPr>
            <w:r>
              <w:rPr>
                <w:rFonts w:ascii="Arial" w:eastAsia="Arial" w:hAnsi="Arial" w:cs="Arial"/>
                <w:b w:val="0"/>
                <w:i w:val="0"/>
                <w:color w:val="000000"/>
                <w:sz w:val="16"/>
                <w:u w:val="none"/>
              </w:rPr>
              <w:t>x</w:t>
            </w: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70" w:type="dxa"/>
            <w:vMerge w:val="restart"/>
            <w:tcBorders>
              <w:top w:val="nil"/>
              <w:left w:val="nil"/>
              <w:bottom w:val="nil"/>
              <w:right w:val="nil"/>
            </w:tcBorders>
            <w:shd w:val="clear" w:color="auto" w:fill="DBDBDB"/>
            <w:tcMar>
              <w:top w:w="0" w:type="dxa"/>
              <w:left w:w="53" w:type="dxa"/>
              <w:bottom w:w="0" w:type="dxa"/>
              <w:right w:w="53" w:type="dxa"/>
            </w:tcMar>
            <w:vAlign w:val="top"/>
          </w:tcPr>
          <w:p>
            <w:pPr>
              <w:keepNext/>
              <w:pageBreakBefore w:val="0"/>
              <w:spacing w:before="53" w:line="288" w:lineRule="auto"/>
              <w:jc w:val="center"/>
            </w:pPr>
            <w:r>
              <w:rPr>
                <w:rFonts w:ascii="Arial" w:eastAsia="Arial" w:hAnsi="Arial" w:cs="Arial"/>
                <w:b w:val="0"/>
                <w:i w:val="0"/>
                <w:color w:val="000000"/>
                <w:sz w:val="16"/>
                <w:u w:val="none"/>
              </w:rPr>
              <w:t xml:space="preserve">35% weighting (CEO and President) </w:t>
            </w:r>
          </w:p>
          <w:p>
            <w:pPr>
              <w:spacing w:line="288" w:lineRule="auto"/>
              <w:jc w:val="center"/>
            </w:pPr>
          </w:p>
          <w:p>
            <w:pPr>
              <w:spacing w:line="288" w:lineRule="auto"/>
              <w:jc w:val="center"/>
            </w:pPr>
            <w:r>
              <w:rPr>
                <w:rFonts w:ascii="Arial" w:eastAsia="Arial" w:hAnsi="Arial" w:cs="Arial"/>
                <w:b w:val="0"/>
                <w:i w:val="0"/>
                <w:color w:val="000000"/>
                <w:sz w:val="16"/>
                <w:u w:val="none"/>
              </w:rPr>
              <w:t>OR</w:t>
            </w:r>
          </w:p>
          <w:p>
            <w:pPr>
              <w:spacing w:line="288" w:lineRule="auto"/>
              <w:jc w:val="center"/>
            </w:pPr>
          </w:p>
          <w:p>
            <w:pPr>
              <w:spacing w:line="288" w:lineRule="auto"/>
              <w:jc w:val="center"/>
            </w:pPr>
            <w:r>
              <w:rPr>
                <w:rFonts w:ascii="Arial" w:eastAsia="Arial" w:hAnsi="Arial" w:cs="Arial"/>
                <w:b w:val="0"/>
                <w:i w:val="0"/>
                <w:color w:val="000000"/>
                <w:sz w:val="16"/>
                <w:u w:val="none"/>
              </w:rPr>
              <w:t>50% weighting (remaining NEOs)</w:t>
            </w:r>
          </w:p>
          <w:p>
            <w:pPr>
              <w:spacing w:line="288" w:lineRule="auto"/>
              <w:jc w:val="center"/>
            </w:pPr>
          </w:p>
          <w:p>
            <w:pPr>
              <w:spacing w:after="30" w:line="288" w:lineRule="auto"/>
              <w:jc w:val="center"/>
            </w:pPr>
            <w:r>
              <w:rPr>
                <w:rFonts w:ascii="Arial" w:eastAsia="Arial" w:hAnsi="Arial" w:cs="Arial"/>
                <w:b w:val="0"/>
                <w:i w:val="0"/>
                <w:color w:val="000000"/>
                <w:sz w:val="16"/>
                <w:u w:val="none"/>
              </w:rPr>
              <w:t>x</w:t>
            </w:r>
          </w:p>
        </w:tc>
        <w:tc>
          <w:tcPr>
            <w:tcW w:w="19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70" w:type="dxa"/>
            <w:vMerge w:val="restart"/>
            <w:tcBorders>
              <w:top w:val="nil"/>
              <w:left w:val="nil"/>
              <w:bottom w:val="nil"/>
              <w:right w:val="nil"/>
            </w:tcBorders>
            <w:shd w:val="clear" w:color="auto" w:fill="DBDBDB"/>
            <w:tcMar>
              <w:top w:w="0" w:type="dxa"/>
              <w:left w:w="53" w:type="dxa"/>
              <w:bottom w:w="0" w:type="dxa"/>
              <w:right w:w="53" w:type="dxa"/>
            </w:tcMar>
            <w:vAlign w:val="top"/>
          </w:tcPr>
          <w:p>
            <w:pPr>
              <w:keepNext/>
              <w:pageBreakBefore w:val="0"/>
              <w:spacing w:before="53" w:line="288" w:lineRule="auto"/>
              <w:jc w:val="center"/>
            </w:pPr>
            <w:r>
              <w:rPr>
                <w:rFonts w:ascii="Arial" w:eastAsia="Arial" w:hAnsi="Arial" w:cs="Arial"/>
                <w:b w:val="0"/>
                <w:i w:val="0"/>
                <w:color w:val="000000"/>
                <w:sz w:val="16"/>
                <w:u w:val="none"/>
              </w:rPr>
              <w:t>20% weighting (CEO and President)</w:t>
            </w:r>
          </w:p>
          <w:p>
            <w:pPr>
              <w:spacing w:line="288" w:lineRule="auto"/>
              <w:jc w:val="center"/>
            </w:pPr>
          </w:p>
          <w:p>
            <w:pPr>
              <w:spacing w:line="288" w:lineRule="auto"/>
              <w:jc w:val="center"/>
            </w:pPr>
            <w:r>
              <w:rPr>
                <w:rFonts w:ascii="Arial" w:eastAsia="Arial" w:hAnsi="Arial" w:cs="Arial"/>
                <w:b w:val="0"/>
                <w:i w:val="0"/>
                <w:color w:val="000000"/>
                <w:sz w:val="16"/>
                <w:u w:val="none"/>
              </w:rPr>
              <w:t>OR</w:t>
            </w:r>
          </w:p>
          <w:p>
            <w:pPr>
              <w:spacing w:line="288" w:lineRule="auto"/>
              <w:jc w:val="center"/>
            </w:pPr>
          </w:p>
          <w:p>
            <w:pPr>
              <w:spacing w:line="288" w:lineRule="auto"/>
              <w:jc w:val="center"/>
            </w:pPr>
            <w:r>
              <w:rPr>
                <w:rFonts w:ascii="Arial" w:eastAsia="Arial" w:hAnsi="Arial" w:cs="Arial"/>
                <w:b w:val="0"/>
                <w:i w:val="0"/>
                <w:color w:val="000000"/>
                <w:sz w:val="16"/>
                <w:u w:val="none"/>
              </w:rPr>
              <w:t>30% weighting (remaining NEOs)</w:t>
            </w:r>
          </w:p>
          <w:p>
            <w:pPr>
              <w:spacing w:line="288" w:lineRule="auto"/>
              <w:jc w:val="center"/>
            </w:pPr>
          </w:p>
          <w:p>
            <w:pPr>
              <w:spacing w:after="30" w:line="288" w:lineRule="auto"/>
              <w:jc w:val="center"/>
            </w:pPr>
            <w:r>
              <w:rPr>
                <w:rFonts w:ascii="Arial" w:eastAsia="Arial" w:hAnsi="Arial" w:cs="Arial"/>
                <w:b w:val="0"/>
                <w:i w:val="0"/>
                <w:color w:val="000000"/>
                <w:sz w:val="16"/>
                <w:u w:val="none"/>
              </w:rPr>
              <w:t>x</w:t>
            </w:r>
          </w:p>
        </w:tc>
        <w:tc>
          <w:tcPr>
            <w:tcW w:w="3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85" w:type="dxa"/>
            <w:vMerge w:val="restart"/>
            <w:tcBorders>
              <w:top w:val="nil"/>
              <w:left w:val="nil"/>
              <w:bottom w:val="nil"/>
              <w:right w:val="nil"/>
            </w:tcBorders>
            <w:shd w:val="clear" w:color="auto" w:fill="4495D1"/>
            <w:tcMar>
              <w:top w:w="0" w:type="dxa"/>
              <w:left w:w="53" w:type="dxa"/>
              <w:bottom w:w="0" w:type="dxa"/>
              <w:right w:w="53" w:type="dxa"/>
            </w:tcMar>
            <w:vAlign w:val="center"/>
          </w:tcPr>
          <w:p>
            <w:pPr>
              <w:keepNext/>
              <w:pageBreakBefore w:val="0"/>
              <w:spacing w:before="0" w:after="0" w:line="288" w:lineRule="auto"/>
              <w:jc w:val="center"/>
            </w:pPr>
            <w:r>
              <w:rPr>
                <w:rFonts w:ascii="Arial" w:eastAsia="Arial" w:hAnsi="Arial" w:cs="Arial"/>
                <w:b/>
                <w:i w:val="0"/>
                <w:color w:val="FFFFFF"/>
                <w:sz w:val="16"/>
                <w:u w:val="none"/>
              </w:rPr>
              <w:t>Committee Discretion (% adjustment to formula-driven payment)</w:t>
            </w:r>
          </w:p>
        </w:tc>
        <w:tc>
          <w:tcPr>
            <w:tcW w:w="31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2205" w:type="dxa"/>
            <w:vMerge w:val="restart"/>
            <w:tcBorders>
              <w:top w:val="nil"/>
              <w:left w:val="nil"/>
              <w:bottom w:val="nil"/>
              <w:right w:val="nil"/>
            </w:tcBorders>
            <w:shd w:val="clear" w:color="auto" w:fill="171449"/>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center"/>
              <w:outlineLvl w:val="9"/>
              <w:rPr>
                <w:rFonts w:ascii="Arial" w:eastAsia="Arial" w:hAnsi="Arial" w:cs="Arial"/>
                <w:b/>
                <w:i w:val="0"/>
                <w:color w:val="FFFFFF"/>
                <w:sz w:val="16"/>
                <w:u w:val="none"/>
              </w:rPr>
            </w:pPr>
            <w:r>
              <w:rPr>
                <w:rFonts w:ascii="Arial" w:eastAsia="Arial" w:hAnsi="Arial" w:cs="Arial"/>
                <w:b/>
                <w:i w:val="0"/>
                <w:color w:val="FFFFFF"/>
                <w:sz w:val="16"/>
                <w:u w:val="none"/>
              </w:rPr>
              <w:t xml:space="preserve">Total </w:t>
            </w:r>
            <w:r>
              <w:rPr>
                <w:rFonts w:ascii="Arial" w:eastAsia="Arial" w:hAnsi="Arial" w:cs="Arial"/>
                <w:b/>
                <w:i w:val="0"/>
                <w:color w:val="FFFFFF"/>
                <w:sz w:val="16"/>
                <w:u w:val="none"/>
              </w:rPr>
              <w:t>2023</w:t>
            </w:r>
            <w:r>
              <w:rPr>
                <w:rFonts w:ascii="Arial" w:eastAsia="Arial" w:hAnsi="Arial" w:cs="Arial"/>
                <w:b/>
                <w:i w:val="0"/>
                <w:color w:val="FFFFFF"/>
                <w:sz w:val="16"/>
                <w:u w:val="none"/>
              </w:rPr>
              <w:t xml:space="preserve"> Bonus Award</w:t>
            </w:r>
          </w:p>
        </w:tc>
      </w:tr>
      <w:tr>
        <w:tblPrEx>
          <w:tblW w:w="10260" w:type="dxa"/>
          <w:tblInd w:w="0" w:type="dxa"/>
          <w:tblLayout w:type="fixed"/>
          <w:tblCellMar>
            <w:left w:w="108" w:type="dxa"/>
            <w:right w:w="108" w:type="dxa"/>
          </w:tblCellMar>
        </w:tblPrEx>
        <w:trPr>
          <w:cantSplit/>
          <w:trHeight w:hRule="exact" w:val="315"/>
        </w:trPr>
        <w:tc>
          <w:tcPr>
            <w:tcW w:w="2250" w:type="dxa"/>
            <w:vMerge/>
            <w:tcBorders>
              <w:top w:val="nil"/>
              <w:left w:val="nil"/>
              <w:bottom w:val="nil"/>
              <w:right w:val="nil"/>
            </w:tcBorders>
          </w:tcPr>
          <w:p>
            <w:pPr>
              <w:keepNext/>
              <w:pageBreakBefore w:val="0"/>
            </w:pPr>
          </w:p>
        </w:tc>
        <w:tc>
          <w:tcPr>
            <w:tcW w:w="60" w:type="dxa"/>
            <w:tcBorders>
              <w:top w:val="nil"/>
              <w:left w:val="nil"/>
              <w:bottom w:val="single" w:sz="8" w:space="0" w:color="FFFFFF"/>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55" w:type="dxa"/>
            <w:vMerge/>
            <w:tcBorders>
              <w:top w:val="nil"/>
              <w:left w:val="nil"/>
              <w:bottom w:val="nil"/>
              <w:right w:val="nil"/>
            </w:tcBorders>
          </w:tcPr>
          <w:p>
            <w:pPr>
              <w:keepNext/>
              <w:pageBreakBefore w:val="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70" w:type="dxa"/>
            <w:vMerge/>
            <w:tcBorders>
              <w:top w:val="nil"/>
              <w:left w:val="nil"/>
              <w:bottom w:val="nil"/>
              <w:right w:val="nil"/>
            </w:tcBorders>
          </w:tcPr>
          <w:p>
            <w:pPr>
              <w:keepNext/>
              <w:pageBreakBefore w:val="0"/>
            </w:pPr>
          </w:p>
        </w:tc>
        <w:tc>
          <w:tcPr>
            <w:tcW w:w="19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70" w:type="dxa"/>
            <w:vMerge/>
            <w:tcBorders>
              <w:top w:val="nil"/>
              <w:left w:val="nil"/>
              <w:bottom w:val="nil"/>
              <w:right w:val="nil"/>
            </w:tcBorders>
          </w:tcPr>
          <w:p>
            <w:pPr>
              <w:keepNext/>
              <w:pageBreakBefore w:val="0"/>
            </w:pPr>
          </w:p>
        </w:tc>
        <w:tc>
          <w:tcPr>
            <w:tcW w:w="36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85" w:type="dxa"/>
            <w:vMerge/>
            <w:tcBorders>
              <w:top w:val="nil"/>
              <w:left w:val="nil"/>
              <w:bottom w:val="nil"/>
              <w:right w:val="nil"/>
            </w:tcBorders>
          </w:tcPr>
          <w:p>
            <w:pPr>
              <w:keepNext/>
              <w:pageBreakBefore w:val="0"/>
            </w:pPr>
          </w:p>
        </w:tc>
        <w:tc>
          <w:tcPr>
            <w:tcW w:w="31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2205" w:type="dxa"/>
            <w:vMerge/>
            <w:tcBorders>
              <w:top w:val="nil"/>
              <w:left w:val="nil"/>
              <w:bottom w:val="nil"/>
              <w:right w:val="nil"/>
            </w:tcBorders>
          </w:tcPr>
          <w:p>
            <w:pPr>
              <w:keepNext/>
              <w:pageBreakBefore w:val="0"/>
            </w:pPr>
          </w:p>
        </w:tc>
      </w:tr>
      <w:tr>
        <w:tblPrEx>
          <w:tblW w:w="10260" w:type="dxa"/>
          <w:tblInd w:w="0" w:type="dxa"/>
          <w:tblLayout w:type="fixed"/>
          <w:tblCellMar>
            <w:left w:w="108" w:type="dxa"/>
            <w:right w:w="108" w:type="dxa"/>
          </w:tblCellMar>
        </w:tblPrEx>
        <w:trPr>
          <w:cantSplit/>
          <w:trHeight w:hRule="exact" w:val="645"/>
        </w:trPr>
        <w:tc>
          <w:tcPr>
            <w:tcW w:w="2250" w:type="dxa"/>
            <w:vMerge/>
            <w:tcBorders>
              <w:top w:val="nil"/>
              <w:left w:val="nil"/>
              <w:bottom w:val="nil"/>
              <w:right w:val="nil"/>
            </w:tcBorders>
          </w:tcPr>
          <w:p>
            <w:pPr>
              <w:keepNext/>
              <w:pageBreakBefore w:val="0"/>
            </w:pPr>
          </w:p>
        </w:tc>
        <w:tc>
          <w:tcPr>
            <w:tcW w:w="60" w:type="dxa"/>
            <w:tcBorders>
              <w:top w:val="single" w:sz="8" w:space="0" w:color="FFFFFF"/>
              <w:left w:val="nil"/>
              <w:bottom w:val="nil"/>
              <w:right w:val="nil"/>
            </w:tcBorders>
            <w:shd w:val="clear" w:color="auto" w:fill="FFFFFF"/>
            <w:tcMar>
              <w:top w:w="0" w:type="dxa"/>
              <w:left w:w="30" w:type="dxa"/>
              <w:bottom w:w="0" w:type="dxa"/>
              <w:right w:w="30" w:type="dxa"/>
            </w:tcMar>
            <w:vAlign w:val="bottom"/>
          </w:tcPr>
          <w:p>
            <w:pPr>
              <w:keepNext/>
              <w:pageBreakBefore w:val="0"/>
              <w:numPr>
                <w:ilvl w:val="0"/>
                <w:numId w:val="0"/>
              </w:numPr>
              <w:spacing w:before="33" w:after="30" w:line="300" w:lineRule="auto"/>
              <w:ind w:left="0" w:right="0" w:firstLine="0"/>
              <w:jc w:val="left"/>
              <w:outlineLvl w:val="9"/>
              <w:rPr>
                <w:rFonts w:ascii="Wingdings 3" w:eastAsia="Wingdings 3" w:hAnsi="Wingdings 3" w:cs="Wingdings 3"/>
                <w:b w:val="0"/>
                <w:i w:val="0"/>
                <w:sz w:val="40"/>
              </w:rPr>
            </w:pPr>
          </w:p>
        </w:tc>
        <w:tc>
          <w:tcPr>
            <w:tcW w:w="1155" w:type="dxa"/>
            <w:tcBorders>
              <w:top w:val="nil"/>
              <w:left w:val="nil"/>
              <w:bottom w:val="nil"/>
              <w:right w:val="nil"/>
            </w:tcBorders>
            <w:shd w:val="clear" w:color="auto" w:fill="1D64A3"/>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center"/>
              <w:outlineLvl w:val="9"/>
              <w:rPr>
                <w:rFonts w:ascii="Arial" w:eastAsia="Arial" w:hAnsi="Arial" w:cs="Arial"/>
                <w:b/>
                <w:i w:val="0"/>
                <w:color w:val="FFFFFF"/>
                <w:sz w:val="16"/>
                <w:u w:val="none"/>
              </w:rPr>
            </w:pPr>
            <w:r>
              <w:rPr>
                <w:rFonts w:ascii="Arial" w:eastAsia="Arial" w:hAnsi="Arial" w:cs="Arial"/>
                <w:b/>
                <w:i w:val="0"/>
                <w:color w:val="FFFFFF"/>
                <w:sz w:val="16"/>
                <w:u w:val="none"/>
              </w:rPr>
              <w:t>Target  Award Opportunity</w:t>
            </w:r>
            <w:r>
              <w:rPr>
                <w:rFonts w:ascii="Arial" w:eastAsia="Arial" w:hAnsi="Arial" w:cs="Arial"/>
                <w:b/>
                <w:i w:val="0"/>
                <w:color w:val="FFFFFF"/>
                <w:sz w:val="16"/>
                <w:u w:val="none"/>
                <w:vertAlign w:val="superscript"/>
              </w:rPr>
              <w:t>(1)</w:t>
            </w:r>
          </w:p>
        </w:tc>
        <w:tc>
          <w:tcPr>
            <w:tcW w:w="195" w:type="dxa"/>
            <w:tcBorders>
              <w:top w:val="nil"/>
              <w:left w:val="nil"/>
              <w:bottom w:val="single" w:sz="8" w:space="0" w:color="FFFFFF"/>
              <w:right w:val="nil"/>
            </w:tcBorders>
            <w:tcMar>
              <w:top w:w="0" w:type="dxa"/>
              <w:left w:w="53" w:type="dxa"/>
              <w:bottom w:w="0" w:type="dxa"/>
              <w:right w:w="53" w:type="dxa"/>
            </w:tcMar>
            <w:vAlign w:val="center"/>
          </w:tcPr>
          <w:p>
            <w:pPr>
              <w:keepNext/>
              <w:pageBreakBefore w:val="0"/>
              <w:spacing w:before="0" w:after="0" w:line="288" w:lineRule="auto"/>
              <w:jc w:val="center"/>
            </w:pPr>
            <w:r>
              <w:rPr>
                <w:rFonts w:ascii="Arial" w:eastAsia="Arial" w:hAnsi="Arial" w:cs="Arial"/>
                <w:b/>
                <w:i w:val="0"/>
                <w:color w:val="171449"/>
                <w:sz w:val="20"/>
                <w:u w:val="none"/>
              </w:rPr>
              <w:t>+</w:t>
            </w:r>
          </w:p>
        </w:tc>
        <w:tc>
          <w:tcPr>
            <w:tcW w:w="1170" w:type="dxa"/>
            <w:tcBorders>
              <w:top w:val="nil"/>
              <w:left w:val="nil"/>
              <w:bottom w:val="nil"/>
              <w:right w:val="nil"/>
            </w:tcBorders>
            <w:shd w:val="clear" w:color="auto" w:fill="1D64A3"/>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center"/>
              <w:outlineLvl w:val="9"/>
              <w:rPr>
                <w:rFonts w:ascii="Arial" w:eastAsia="Arial" w:hAnsi="Arial" w:cs="Arial"/>
                <w:b/>
                <w:i w:val="0"/>
                <w:color w:val="FFFFFF"/>
                <w:sz w:val="16"/>
                <w:u w:val="none"/>
              </w:rPr>
            </w:pPr>
            <w:r>
              <w:rPr>
                <w:rFonts w:ascii="Arial" w:eastAsia="Arial" w:hAnsi="Arial" w:cs="Arial"/>
                <w:b/>
                <w:i w:val="0"/>
                <w:color w:val="FFFFFF"/>
                <w:sz w:val="16"/>
                <w:u w:val="none"/>
              </w:rPr>
              <w:t>Target  Award Opportunity</w:t>
            </w:r>
            <w:r>
              <w:rPr>
                <w:rFonts w:ascii="Arial" w:eastAsia="Arial" w:hAnsi="Arial" w:cs="Arial"/>
                <w:b/>
                <w:i w:val="0"/>
                <w:color w:val="FFFFFF"/>
                <w:sz w:val="16"/>
                <w:u w:val="none"/>
                <w:vertAlign w:val="superscript"/>
              </w:rPr>
              <w:t>(1)</w:t>
            </w:r>
          </w:p>
        </w:tc>
        <w:tc>
          <w:tcPr>
            <w:tcW w:w="195" w:type="dxa"/>
            <w:tcBorders>
              <w:top w:val="nil"/>
              <w:left w:val="nil"/>
              <w:bottom w:val="single" w:sz="8" w:space="0" w:color="FFFFFF"/>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center"/>
            </w:pPr>
            <w:r>
              <w:rPr>
                <w:rFonts w:ascii="Arial" w:eastAsia="Arial" w:hAnsi="Arial" w:cs="Arial"/>
                <w:b/>
                <w:i w:val="0"/>
                <w:color w:val="171449"/>
                <w:sz w:val="20"/>
                <w:u w:val="none"/>
              </w:rPr>
              <w:t>+</w:t>
            </w:r>
          </w:p>
        </w:tc>
        <w:tc>
          <w:tcPr>
            <w:tcW w:w="1170" w:type="dxa"/>
            <w:tcBorders>
              <w:top w:val="nil"/>
              <w:left w:val="nil"/>
              <w:bottom w:val="nil"/>
              <w:right w:val="nil"/>
            </w:tcBorders>
            <w:shd w:val="clear" w:color="auto" w:fill="1D64A3"/>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center"/>
              <w:outlineLvl w:val="9"/>
              <w:rPr>
                <w:rFonts w:ascii="Arial" w:eastAsia="Arial" w:hAnsi="Arial" w:cs="Arial"/>
                <w:b/>
                <w:i w:val="0"/>
                <w:color w:val="FFFFFF"/>
                <w:sz w:val="16"/>
                <w:u w:val="none"/>
              </w:rPr>
            </w:pPr>
            <w:r>
              <w:rPr>
                <w:rFonts w:ascii="Arial" w:eastAsia="Arial" w:hAnsi="Arial" w:cs="Arial"/>
                <w:b/>
                <w:i w:val="0"/>
                <w:color w:val="FFFFFF"/>
                <w:sz w:val="16"/>
                <w:u w:val="none"/>
              </w:rPr>
              <w:t>Target  Award Opportunity</w:t>
            </w:r>
            <w:r>
              <w:rPr>
                <w:rFonts w:ascii="Arial" w:eastAsia="Arial" w:hAnsi="Arial" w:cs="Arial"/>
                <w:b/>
                <w:i w:val="0"/>
                <w:color w:val="FFFFFF"/>
                <w:sz w:val="16"/>
                <w:u w:val="none"/>
                <w:vertAlign w:val="superscript"/>
              </w:rPr>
              <w:t>(1)</w:t>
            </w:r>
          </w:p>
        </w:tc>
        <w:tc>
          <w:tcPr>
            <w:tcW w:w="360" w:type="dxa"/>
            <w:tcBorders>
              <w:top w:val="nil"/>
              <w:left w:val="nil"/>
              <w:bottom w:val="single" w:sz="8" w:space="0" w:color="FFFFFF"/>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center"/>
            </w:pPr>
          </w:p>
        </w:tc>
        <w:tc>
          <w:tcPr>
            <w:tcW w:w="1185" w:type="dxa"/>
            <w:vMerge/>
            <w:tcBorders>
              <w:top w:val="nil"/>
              <w:left w:val="nil"/>
              <w:bottom w:val="nil"/>
              <w:right w:val="nil"/>
            </w:tcBorders>
          </w:tcPr>
          <w:p>
            <w:pPr>
              <w:keepNext/>
              <w:pageBreakBefore w:val="0"/>
            </w:pPr>
          </w:p>
        </w:tc>
        <w:tc>
          <w:tcPr>
            <w:tcW w:w="315" w:type="dxa"/>
            <w:tcBorders>
              <w:top w:val="nil"/>
              <w:left w:val="nil"/>
              <w:bottom w:val="single" w:sz="8" w:space="0" w:color="FFFFFF"/>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center"/>
            </w:pPr>
            <w:r>
              <w:rPr>
                <w:rFonts w:ascii="Arial" w:eastAsia="Arial" w:hAnsi="Arial" w:cs="Arial"/>
                <w:b/>
                <w:i w:val="0"/>
                <w:color w:val="171449"/>
                <w:sz w:val="20"/>
                <w:u w:val="none"/>
              </w:rPr>
              <w:t>=</w:t>
            </w:r>
          </w:p>
        </w:tc>
        <w:tc>
          <w:tcPr>
            <w:tcW w:w="2205" w:type="dxa"/>
            <w:vMerge/>
            <w:tcBorders>
              <w:top w:val="nil"/>
              <w:left w:val="nil"/>
              <w:bottom w:val="nil"/>
              <w:right w:val="nil"/>
            </w:tcBorders>
          </w:tcPr>
          <w:p>
            <w:pPr>
              <w:keepNext/>
              <w:pageBreakBefore w:val="0"/>
            </w:pPr>
          </w:p>
        </w:tc>
      </w:tr>
      <w:tr>
        <w:tblPrEx>
          <w:tblW w:w="10260" w:type="dxa"/>
          <w:tblInd w:w="0" w:type="dxa"/>
          <w:tblLayout w:type="fixed"/>
          <w:tblCellMar>
            <w:left w:w="108" w:type="dxa"/>
            <w:right w:w="108" w:type="dxa"/>
          </w:tblCellMar>
        </w:tblPrEx>
        <w:trPr>
          <w:cantSplit/>
          <w:trHeight w:hRule="exact" w:val="1200"/>
        </w:trPr>
        <w:tc>
          <w:tcPr>
            <w:tcW w:w="2250" w:type="dxa"/>
            <w:vMerge/>
            <w:tcBorders>
              <w:top w:val="nil"/>
              <w:left w:val="nil"/>
              <w:bottom w:val="nil"/>
              <w:right w:val="nil"/>
            </w:tcBorders>
          </w:tcPr>
          <w:p>
            <w:pPr>
              <w:pageBreakBefore w:val="0"/>
            </w:pPr>
          </w:p>
        </w:tc>
        <w:tc>
          <w:tcPr>
            <w:tcW w:w="60" w:type="dxa"/>
            <w:tcBorders>
              <w:top w:val="nil"/>
              <w:left w:val="nil"/>
              <w:bottom w:val="nil"/>
              <w:right w:val="nil"/>
            </w:tcBorders>
            <w:shd w:val="clear" w:color="auto" w:fill="FFFFFF"/>
            <w:tcMar>
              <w:top w:w="0" w:type="dxa"/>
              <w:left w:w="0" w:type="dxa"/>
              <w:bottom w:w="0" w:type="dxa"/>
              <w:right w:w="0" w:type="dxa"/>
            </w:tcMar>
            <w:vAlign w:val="bottom"/>
          </w:tcPr>
          <w:p>
            <w:pPr>
              <w:pageBreakBefore w:val="0"/>
              <w:spacing w:before="0" w:after="0"/>
            </w:pPr>
          </w:p>
        </w:tc>
        <w:tc>
          <w:tcPr>
            <w:tcW w:w="1155" w:type="dxa"/>
            <w:tcBorders>
              <w:top w:val="nil"/>
              <w:left w:val="nil"/>
              <w:bottom w:val="single" w:sz="8" w:space="0" w:color="FFFFFF"/>
              <w:right w:val="nil"/>
            </w:tcBorders>
            <w:shd w:val="clear" w:color="auto" w:fill="4495D1"/>
            <w:tcMar>
              <w:top w:w="0" w:type="dxa"/>
              <w:left w:w="53" w:type="dxa"/>
              <w:bottom w:w="0" w:type="dxa"/>
              <w:right w:w="53" w:type="dxa"/>
            </w:tcMar>
            <w:vAlign w:val="top"/>
          </w:tcPr>
          <w:p>
            <w:pPr>
              <w:pageBreakBefore w:val="0"/>
              <w:numPr>
                <w:ilvl w:val="0"/>
                <w:numId w:val="0"/>
              </w:numPr>
              <w:spacing w:before="33" w:after="0" w:line="288" w:lineRule="auto"/>
              <w:ind w:left="0" w:right="0" w:firstLine="0"/>
              <w:jc w:val="center"/>
              <w:outlineLvl w:val="9"/>
              <w:rPr>
                <w:rFonts w:ascii="Arial" w:eastAsia="Arial" w:hAnsi="Arial" w:cs="Arial"/>
                <w:b/>
                <w:i w:val="0"/>
                <w:color w:val="FFFFFF"/>
                <w:sz w:val="16"/>
                <w:u w:val="none"/>
              </w:rPr>
            </w:pPr>
            <w:r>
              <w:rPr>
                <w:rFonts w:ascii="Arial" w:eastAsia="Arial" w:hAnsi="Arial" w:cs="Arial"/>
                <w:b/>
                <w:i w:val="0"/>
                <w:color w:val="FFFFFF"/>
                <w:sz w:val="16"/>
                <w:u w:val="none"/>
              </w:rPr>
              <w:t>x</w:t>
            </w:r>
          </w:p>
          <w:p>
            <w:pPr>
              <w:pageBreakBefore w:val="0"/>
              <w:numPr>
                <w:ilvl w:val="0"/>
                <w:numId w:val="0"/>
              </w:numPr>
              <w:spacing w:before="0" w:after="30" w:line="288" w:lineRule="auto"/>
              <w:ind w:left="0" w:right="0" w:firstLine="0"/>
              <w:jc w:val="center"/>
              <w:outlineLvl w:val="9"/>
              <w:rPr>
                <w:rFonts w:ascii="Arial" w:eastAsia="Arial" w:hAnsi="Arial" w:cs="Arial"/>
                <w:b/>
                <w:i w:val="0"/>
                <w:color w:val="FFFFFF"/>
                <w:sz w:val="16"/>
                <w:u w:val="none"/>
              </w:rPr>
            </w:pPr>
            <w:r>
              <w:rPr>
                <w:rFonts w:ascii="Arial" w:eastAsia="Arial" w:hAnsi="Arial" w:cs="Arial"/>
                <w:b/>
                <w:i w:val="0"/>
                <w:color w:val="FFFFFF"/>
                <w:sz w:val="16"/>
                <w:u w:val="none"/>
              </w:rPr>
              <w:t>Financial Component Multiplier</w:t>
            </w:r>
            <w:r>
              <w:rPr>
                <w:rFonts w:ascii="Arial" w:eastAsia="Arial" w:hAnsi="Arial" w:cs="Arial"/>
                <w:b/>
                <w:i w:val="0"/>
                <w:color w:val="FFFFFF"/>
                <w:sz w:val="16"/>
                <w:u w:val="none"/>
                <w:vertAlign w:val="superscript"/>
              </w:rPr>
              <w:t>(2)</w:t>
            </w:r>
          </w:p>
        </w:tc>
        <w:tc>
          <w:tcPr>
            <w:tcW w:w="195" w:type="dxa"/>
            <w:tcBorders>
              <w:top w:val="single" w:sz="8" w:space="0" w:color="FFFFFF"/>
              <w:left w:val="nil"/>
              <w:bottom w:val="nil"/>
              <w:right w:val="nil"/>
            </w:tcBorders>
            <w:tcMar>
              <w:top w:w="0" w:type="dxa"/>
              <w:left w:w="0" w:type="dxa"/>
              <w:bottom w:w="0" w:type="dxa"/>
              <w:right w:w="0" w:type="dxa"/>
            </w:tcMar>
            <w:vAlign w:val="bottom"/>
          </w:tcPr>
          <w:p>
            <w:pPr>
              <w:pageBreakBefore w:val="0"/>
              <w:spacing w:before="0" w:after="0"/>
            </w:pPr>
          </w:p>
        </w:tc>
        <w:tc>
          <w:tcPr>
            <w:tcW w:w="1170" w:type="dxa"/>
            <w:tcBorders>
              <w:top w:val="nil"/>
              <w:left w:val="nil"/>
              <w:bottom w:val="single" w:sz="8" w:space="0" w:color="FFFFFF"/>
              <w:right w:val="nil"/>
            </w:tcBorders>
            <w:shd w:val="clear" w:color="auto" w:fill="4495D1"/>
            <w:tcMar>
              <w:top w:w="0" w:type="dxa"/>
              <w:left w:w="53" w:type="dxa"/>
              <w:bottom w:w="0" w:type="dxa"/>
              <w:right w:w="53" w:type="dxa"/>
            </w:tcMar>
            <w:vAlign w:val="top"/>
          </w:tcPr>
          <w:p>
            <w:pPr>
              <w:pageBreakBefore w:val="0"/>
              <w:numPr>
                <w:ilvl w:val="0"/>
                <w:numId w:val="0"/>
              </w:numPr>
              <w:spacing w:before="33" w:after="0" w:line="288" w:lineRule="auto"/>
              <w:ind w:left="0" w:right="0" w:firstLine="0"/>
              <w:jc w:val="center"/>
              <w:outlineLvl w:val="9"/>
              <w:rPr>
                <w:rFonts w:ascii="Arial" w:eastAsia="Arial" w:hAnsi="Arial" w:cs="Arial"/>
                <w:b/>
                <w:i w:val="0"/>
                <w:color w:val="FFFFFF"/>
                <w:sz w:val="16"/>
                <w:u w:val="none"/>
              </w:rPr>
            </w:pPr>
            <w:r>
              <w:rPr>
                <w:rFonts w:ascii="Arial" w:eastAsia="Arial" w:hAnsi="Arial" w:cs="Arial"/>
                <w:b/>
                <w:i w:val="0"/>
                <w:color w:val="FFFFFF"/>
                <w:sz w:val="16"/>
                <w:u w:val="none"/>
              </w:rPr>
              <w:t>x</w:t>
            </w:r>
          </w:p>
          <w:p>
            <w:pPr>
              <w:pageBreakBefore w:val="0"/>
              <w:numPr>
                <w:ilvl w:val="0"/>
                <w:numId w:val="0"/>
              </w:numPr>
              <w:spacing w:before="0" w:after="30" w:line="288" w:lineRule="auto"/>
              <w:ind w:left="0" w:right="0" w:firstLine="0"/>
              <w:jc w:val="center"/>
              <w:outlineLvl w:val="9"/>
              <w:rPr>
                <w:rFonts w:ascii="Arial" w:eastAsia="Arial" w:hAnsi="Arial" w:cs="Arial"/>
                <w:b/>
                <w:i w:val="0"/>
                <w:color w:val="FFFFFF"/>
                <w:sz w:val="16"/>
                <w:u w:val="none"/>
              </w:rPr>
            </w:pPr>
            <w:r>
              <w:rPr>
                <w:rFonts w:ascii="Arial" w:eastAsia="Arial" w:hAnsi="Arial" w:cs="Arial"/>
                <w:b/>
                <w:i w:val="0"/>
                <w:color w:val="FFFFFF"/>
                <w:sz w:val="16"/>
                <w:u w:val="none"/>
              </w:rPr>
              <w:t>Corporate Component Multiplier</w:t>
            </w:r>
            <w:r>
              <w:rPr>
                <w:rFonts w:ascii="Arial" w:eastAsia="Arial" w:hAnsi="Arial" w:cs="Arial"/>
                <w:b/>
                <w:i w:val="0"/>
                <w:color w:val="FFFFFF"/>
                <w:sz w:val="16"/>
                <w:u w:val="none"/>
                <w:vertAlign w:val="superscript"/>
              </w:rPr>
              <w:t>(</w:t>
            </w:r>
            <w:r>
              <w:rPr>
                <w:rFonts w:ascii="Arial" w:eastAsia="Arial" w:hAnsi="Arial" w:cs="Arial"/>
                <w:b/>
                <w:i w:val="0"/>
                <w:color w:val="FFFFFF"/>
                <w:sz w:val="16"/>
                <w:u w:val="none"/>
                <w:vertAlign w:val="superscript"/>
              </w:rPr>
              <w:t>3</w:t>
            </w:r>
            <w:r>
              <w:rPr>
                <w:rFonts w:ascii="Arial" w:eastAsia="Arial" w:hAnsi="Arial" w:cs="Arial"/>
                <w:b/>
                <w:i w:val="0"/>
                <w:color w:val="FFFFFF"/>
                <w:sz w:val="16"/>
                <w:u w:val="none"/>
                <w:vertAlign w:val="superscript"/>
              </w:rPr>
              <w:t>)</w:t>
            </w:r>
          </w:p>
        </w:tc>
        <w:tc>
          <w:tcPr>
            <w:tcW w:w="195" w:type="dxa"/>
            <w:tcBorders>
              <w:top w:val="single" w:sz="8" w:space="0" w:color="FFFFFF"/>
              <w:left w:val="nil"/>
              <w:bottom w:val="nil"/>
              <w:right w:val="nil"/>
            </w:tcBorders>
            <w:shd w:val="clear" w:color="auto" w:fill="FFFFFF"/>
            <w:tcMar>
              <w:top w:w="0" w:type="dxa"/>
              <w:left w:w="0" w:type="dxa"/>
              <w:bottom w:w="0" w:type="dxa"/>
              <w:right w:w="0" w:type="dxa"/>
            </w:tcMar>
            <w:vAlign w:val="bottom"/>
          </w:tcPr>
          <w:p>
            <w:pPr>
              <w:pageBreakBefore w:val="0"/>
              <w:spacing w:before="0" w:after="0"/>
            </w:pPr>
          </w:p>
        </w:tc>
        <w:tc>
          <w:tcPr>
            <w:tcW w:w="1170" w:type="dxa"/>
            <w:tcBorders>
              <w:top w:val="nil"/>
              <w:left w:val="nil"/>
              <w:bottom w:val="nil"/>
              <w:right w:val="nil"/>
            </w:tcBorders>
            <w:shd w:val="clear" w:color="auto" w:fill="4495D1"/>
            <w:tcMar>
              <w:top w:w="0" w:type="dxa"/>
              <w:left w:w="53" w:type="dxa"/>
              <w:bottom w:w="0" w:type="dxa"/>
              <w:right w:w="53" w:type="dxa"/>
            </w:tcMar>
            <w:vAlign w:val="top"/>
          </w:tcPr>
          <w:p>
            <w:pPr>
              <w:pageBreakBefore w:val="0"/>
              <w:spacing w:before="33" w:line="288" w:lineRule="auto"/>
              <w:jc w:val="center"/>
            </w:pPr>
            <w:r>
              <w:rPr>
                <w:rFonts w:ascii="Arial" w:eastAsia="Arial" w:hAnsi="Arial" w:cs="Arial"/>
                <w:b/>
                <w:i w:val="0"/>
                <w:color w:val="FFFFFF"/>
                <w:sz w:val="16"/>
                <w:u w:val="none"/>
              </w:rPr>
              <w:t>x</w:t>
            </w:r>
          </w:p>
          <w:p>
            <w:pPr>
              <w:spacing w:after="30" w:line="288" w:lineRule="auto"/>
              <w:jc w:val="center"/>
            </w:pPr>
            <w:r>
              <w:rPr>
                <w:rFonts w:ascii="Arial" w:eastAsia="Arial" w:hAnsi="Arial" w:cs="Arial"/>
                <w:b/>
                <w:i w:val="0"/>
                <w:color w:val="FFFFFF"/>
                <w:sz w:val="16"/>
                <w:u w:val="none"/>
              </w:rPr>
              <w:t>Individual Component Multiplier</w:t>
            </w:r>
          </w:p>
        </w:tc>
        <w:tc>
          <w:tcPr>
            <w:tcW w:w="360" w:type="dxa"/>
            <w:tcBorders>
              <w:top w:val="single" w:sz="8" w:space="0" w:color="FFFFFF"/>
              <w:left w:val="nil"/>
              <w:bottom w:val="nil"/>
              <w:right w:val="nil"/>
            </w:tcBorders>
            <w:shd w:val="clear" w:color="auto" w:fill="FFFFFF"/>
            <w:tcMar>
              <w:top w:w="0" w:type="dxa"/>
              <w:left w:w="0" w:type="dxa"/>
              <w:bottom w:w="0" w:type="dxa"/>
              <w:right w:w="0" w:type="dxa"/>
            </w:tcMar>
            <w:vAlign w:val="bottom"/>
          </w:tcPr>
          <w:p>
            <w:pPr>
              <w:pageBreakBefore w:val="0"/>
              <w:spacing w:before="0" w:after="0"/>
            </w:pPr>
          </w:p>
        </w:tc>
        <w:tc>
          <w:tcPr>
            <w:tcW w:w="1185" w:type="dxa"/>
            <w:vMerge/>
            <w:tcBorders>
              <w:top w:val="nil"/>
              <w:left w:val="nil"/>
              <w:bottom w:val="nil"/>
              <w:right w:val="nil"/>
            </w:tcBorders>
          </w:tcPr>
          <w:p>
            <w:pPr>
              <w:pageBreakBefore w:val="0"/>
            </w:pPr>
          </w:p>
        </w:tc>
        <w:tc>
          <w:tcPr>
            <w:tcW w:w="315" w:type="dxa"/>
            <w:tcBorders>
              <w:top w:val="single" w:sz="8" w:space="0" w:color="FFFFFF"/>
              <w:left w:val="nil"/>
              <w:bottom w:val="nil"/>
              <w:right w:val="nil"/>
            </w:tcBorders>
            <w:shd w:val="clear" w:color="auto" w:fill="FFFFFF"/>
            <w:tcMar>
              <w:top w:w="0" w:type="dxa"/>
              <w:left w:w="0" w:type="dxa"/>
              <w:bottom w:w="0" w:type="dxa"/>
              <w:right w:w="0" w:type="dxa"/>
            </w:tcMar>
            <w:vAlign w:val="bottom"/>
          </w:tcPr>
          <w:p>
            <w:pPr>
              <w:pageBreakBefore w:val="0"/>
              <w:spacing w:before="0" w:after="0"/>
            </w:pPr>
          </w:p>
        </w:tc>
        <w:tc>
          <w:tcPr>
            <w:tcW w:w="2205" w:type="dxa"/>
            <w:vMerge/>
            <w:tcBorders>
              <w:top w:val="nil"/>
              <w:left w:val="nil"/>
              <w:bottom w:val="nil"/>
              <w:right w:val="nil"/>
            </w:tcBorders>
          </w:tcPr>
          <w:p>
            <w:pPr>
              <w:pageBreakBefore w:val="0"/>
            </w:pPr>
          </w:p>
        </w:tc>
      </w:tr>
    </w:tbl>
    <w:p>
      <w:pPr>
        <w:keepNext w:val="0"/>
        <w:keepLines w:val="0"/>
        <w:pageBreakBefore w:val="0"/>
        <w:widowControl/>
        <w:numPr>
          <w:ilvl w:val="0"/>
          <w:numId w:val="243"/>
        </w:numPr>
        <w:spacing w:before="12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Target Award Opportunity is determined by multiplying each executive's base salary by his or her target award opportunity percentage set forth above under "</w:t>
      </w:r>
      <w:r>
        <w:rPr>
          <w:rFonts w:ascii="Arial" w:eastAsia="Arial" w:hAnsi="Arial" w:cs="Arial"/>
          <w:b w:val="0"/>
          <w:i w:val="0"/>
          <w:color w:val="969698"/>
          <w:sz w:val="16"/>
          <w:u w:val="none"/>
        </w:rPr>
        <w:t>202</w:t>
      </w:r>
      <w:r>
        <w:rPr>
          <w:rFonts w:ascii="Arial" w:eastAsia="Arial" w:hAnsi="Arial" w:cs="Arial"/>
          <w:b w:val="0"/>
          <w:i w:val="0"/>
          <w:color w:val="969698"/>
          <w:sz w:val="16"/>
          <w:u w:val="none"/>
        </w:rPr>
        <w:t>3</w:t>
      </w:r>
      <w:r>
        <w:rPr>
          <w:rFonts w:ascii="Arial" w:eastAsia="Arial" w:hAnsi="Arial" w:cs="Arial"/>
          <w:b w:val="0"/>
          <w:i w:val="0"/>
          <w:color w:val="969698"/>
          <w:sz w:val="16"/>
          <w:u w:val="none"/>
        </w:rPr>
        <w:t xml:space="preserve"> Bonus Award Opportunity</w:t>
      </w:r>
      <w:r>
        <w:rPr>
          <w:rFonts w:ascii="Arial" w:eastAsia="Arial" w:hAnsi="Arial" w:cs="Arial"/>
          <w:b w:val="0"/>
          <w:i w:val="0"/>
          <w:color w:val="969698"/>
          <w:sz w:val="16"/>
          <w:u w:val="none"/>
        </w:rPr>
        <w:t>."</w:t>
      </w:r>
    </w:p>
    <w:p>
      <w:pPr>
        <w:keepNext w:val="0"/>
        <w:keepLines w:val="0"/>
        <w:pageBreakBefore w:val="0"/>
        <w:widowControl/>
        <w:numPr>
          <w:ilvl w:val="0"/>
          <w:numId w:val="243"/>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The financial </w:t>
      </w:r>
      <w:r>
        <w:rPr>
          <w:rFonts w:ascii="Arial" w:eastAsia="Arial" w:hAnsi="Arial" w:cs="Arial"/>
          <w:b w:val="0"/>
          <w:i w:val="0"/>
          <w:color w:val="969698"/>
          <w:sz w:val="16"/>
          <w:u w:val="none"/>
        </w:rPr>
        <w:t xml:space="preserve">component was achieved </w:t>
      </w:r>
      <w:r>
        <w:rPr>
          <w:rFonts w:ascii="Arial" w:eastAsia="Arial" w:hAnsi="Arial" w:cs="Arial"/>
          <w:b w:val="0"/>
          <w:i w:val="0"/>
          <w:color w:val="969698"/>
          <w:sz w:val="16"/>
          <w:u w:val="none"/>
        </w:rPr>
        <w:t>between</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tar</w:t>
      </w:r>
      <w:r>
        <w:rPr>
          <w:rFonts w:ascii="Arial" w:eastAsia="Arial" w:hAnsi="Arial" w:cs="Arial"/>
          <w:b w:val="0"/>
          <w:i w:val="0"/>
          <w:color w:val="969698"/>
          <w:sz w:val="16"/>
          <w:u w:val="none"/>
        </w:rPr>
        <w:t>get and maximum</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Consequently, each executive received an amount pursuant to this component of the bonus award above target, resulting in multipliers above 100%. The </w:t>
      </w:r>
      <w:r>
        <w:rPr>
          <w:rFonts w:ascii="Arial" w:eastAsia="Arial" w:hAnsi="Arial" w:cs="Arial"/>
          <w:b w:val="0"/>
          <w:i w:val="0"/>
          <w:color w:val="969698"/>
          <w:sz w:val="16"/>
          <w:u w:val="none"/>
        </w:rPr>
        <w:t>financial</w:t>
      </w:r>
      <w:r>
        <w:rPr>
          <w:rFonts w:ascii="Arial" w:eastAsia="Arial" w:hAnsi="Arial" w:cs="Arial"/>
          <w:b w:val="0"/>
          <w:i w:val="0"/>
          <w:color w:val="969698"/>
          <w:sz w:val="16"/>
          <w:u w:val="none"/>
        </w:rPr>
        <w:t xml:space="preserve"> component multiplier varies by executive as they are each entitled to earn different percentages of their base salary as a bonus depending on the Company’s </w:t>
      </w:r>
      <w:r>
        <w:rPr>
          <w:rFonts w:ascii="Arial" w:eastAsia="Arial" w:hAnsi="Arial" w:cs="Arial"/>
          <w:b w:val="0"/>
          <w:i w:val="0"/>
          <w:color w:val="969698"/>
          <w:sz w:val="16"/>
          <w:u w:val="none"/>
        </w:rPr>
        <w:t>financial</w:t>
      </w:r>
      <w:r>
        <w:rPr>
          <w:rFonts w:ascii="Arial" w:eastAsia="Arial" w:hAnsi="Arial" w:cs="Arial"/>
          <w:b w:val="0"/>
          <w:i w:val="0"/>
          <w:color w:val="969698"/>
          <w:sz w:val="16"/>
          <w:u w:val="none"/>
        </w:rPr>
        <w:t xml:space="preserve"> component achievement. </w:t>
      </w:r>
      <w:r>
        <w:rPr>
          <w:rFonts w:ascii="Arial" w:eastAsia="Arial" w:hAnsi="Arial" w:cs="Arial"/>
          <w:b w:val="0"/>
          <w:i w:val="0"/>
          <w:color w:val="969698"/>
          <w:sz w:val="16"/>
          <w:u w:val="none"/>
        </w:rPr>
        <w:t>Therefore,</w:t>
      </w:r>
      <w:r>
        <w:rPr>
          <w:rFonts w:ascii="Arial" w:eastAsia="Arial" w:hAnsi="Arial" w:cs="Arial"/>
          <w:b w:val="0"/>
          <w:i w:val="0"/>
          <w:color w:val="969698"/>
          <w:sz w:val="16"/>
          <w:u w:val="none"/>
        </w:rPr>
        <w:t xml:space="preserve"> the same level of </w:t>
      </w:r>
      <w:r>
        <w:rPr>
          <w:rFonts w:ascii="Arial" w:eastAsia="Arial" w:hAnsi="Arial" w:cs="Arial"/>
          <w:b w:val="0"/>
          <w:i w:val="0"/>
          <w:color w:val="969698"/>
          <w:sz w:val="16"/>
          <w:u w:val="none"/>
        </w:rPr>
        <w:t>financial</w:t>
      </w:r>
      <w:r>
        <w:rPr>
          <w:rFonts w:ascii="Arial" w:eastAsia="Arial" w:hAnsi="Arial" w:cs="Arial"/>
          <w:b w:val="0"/>
          <w:i w:val="0"/>
          <w:color w:val="969698"/>
          <w:sz w:val="16"/>
          <w:u w:val="none"/>
        </w:rPr>
        <w:t xml:space="preserve"> component achievement translates into slightly different percentages of earned target bonus award opportunity for each executive.</w:t>
      </w:r>
    </w:p>
    <w:p>
      <w:pPr>
        <w:keepNext w:val="0"/>
        <w:keepLines w:val="0"/>
        <w:pageBreakBefore w:val="0"/>
        <w:widowControl/>
        <w:numPr>
          <w:ilvl w:val="0"/>
          <w:numId w:val="243"/>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The corporate component was achieved at </w:t>
      </w:r>
      <w:r>
        <w:rPr>
          <w:rFonts w:ascii="Arial" w:eastAsia="Arial" w:hAnsi="Arial" w:cs="Arial"/>
          <w:b w:val="0"/>
          <w:i w:val="0"/>
          <w:color w:val="969698"/>
          <w:sz w:val="16"/>
          <w:u w:val="none"/>
        </w:rPr>
        <w:t>80%</w:t>
      </w:r>
      <w:r>
        <w:rPr>
          <w:rFonts w:ascii="Arial" w:eastAsia="Arial" w:hAnsi="Arial" w:cs="Arial"/>
          <w:b w:val="0"/>
          <w:i w:val="0"/>
          <w:color w:val="969698"/>
          <w:sz w:val="16"/>
          <w:u w:val="none"/>
        </w:rPr>
        <w:t xml:space="preserve">, which is </w:t>
      </w:r>
      <w:r>
        <w:rPr>
          <w:rFonts w:ascii="Arial" w:eastAsia="Arial" w:hAnsi="Arial" w:cs="Arial"/>
          <w:b w:val="0"/>
          <w:i w:val="0"/>
          <w:color w:val="969698"/>
          <w:sz w:val="16"/>
          <w:u w:val="none"/>
        </w:rPr>
        <w:t>equal</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to</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the </w:t>
      </w:r>
      <w:r>
        <w:rPr>
          <w:rFonts w:ascii="Arial" w:eastAsia="Arial" w:hAnsi="Arial" w:cs="Arial"/>
          <w:b w:val="0"/>
          <w:i w:val="0"/>
          <w:color w:val="969698"/>
          <w:sz w:val="16"/>
          <w:u w:val="none"/>
        </w:rPr>
        <w:t>target score</w:t>
      </w:r>
      <w:r>
        <w:rPr>
          <w:rFonts w:ascii="Arial" w:eastAsia="Arial" w:hAnsi="Arial" w:cs="Arial"/>
          <w:b w:val="0"/>
          <w:i w:val="0"/>
          <w:color w:val="969698"/>
          <w:sz w:val="16"/>
          <w:u w:val="none"/>
        </w:rPr>
        <w:t xml:space="preserve">. Consequently, each executive received an amount pursuant to this component of the bonus award </w:t>
      </w:r>
      <w:r>
        <w:rPr>
          <w:rFonts w:ascii="Arial" w:eastAsia="Arial" w:hAnsi="Arial" w:cs="Arial"/>
          <w:b w:val="0"/>
          <w:i w:val="0"/>
          <w:color w:val="969698"/>
          <w:sz w:val="16"/>
          <w:u w:val="none"/>
        </w:rPr>
        <w:t>equal to</w:t>
      </w:r>
      <w:r>
        <w:rPr>
          <w:rFonts w:ascii="Arial" w:eastAsia="Arial" w:hAnsi="Arial" w:cs="Arial"/>
          <w:b w:val="0"/>
          <w:i w:val="0"/>
          <w:color w:val="969698"/>
          <w:sz w:val="16"/>
          <w:u w:val="none"/>
        </w:rPr>
        <w:t xml:space="preserve"> target, resulting in multipliers </w:t>
      </w:r>
      <w:r>
        <w:rPr>
          <w:rFonts w:ascii="Arial" w:eastAsia="Arial" w:hAnsi="Arial" w:cs="Arial"/>
          <w:b w:val="0"/>
          <w:i w:val="0"/>
          <w:color w:val="969698"/>
          <w:sz w:val="16"/>
          <w:u w:val="none"/>
        </w:rPr>
        <w:t>of</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100%</w:t>
      </w:r>
      <w:r>
        <w:rPr>
          <w:rFonts w:ascii="Arial" w:eastAsia="Arial" w:hAnsi="Arial" w:cs="Arial"/>
          <w:b w:val="0"/>
          <w:i w:val="0"/>
          <w:color w:val="969698"/>
          <w:sz w:val="16"/>
          <w:u w:val="none"/>
        </w:rPr>
        <w:t xml:space="preserve">. The </w:t>
      </w:r>
      <w:r>
        <w:rPr>
          <w:rFonts w:ascii="Arial" w:eastAsia="Arial" w:hAnsi="Arial" w:cs="Arial"/>
          <w:b w:val="0"/>
          <w:i w:val="0"/>
          <w:color w:val="969698"/>
          <w:sz w:val="16"/>
          <w:u w:val="none"/>
        </w:rPr>
        <w:t xml:space="preserve"> corporate component multiplier varies by executive as they are each entitled to earn different percentages of their base salary as a bonus depending on the Company’s corporate component achievement. </w:t>
      </w:r>
      <w:r>
        <w:rPr>
          <w:rFonts w:ascii="Arial" w:eastAsia="Arial" w:hAnsi="Arial" w:cs="Arial"/>
          <w:b w:val="0"/>
          <w:i w:val="0"/>
          <w:color w:val="969698"/>
          <w:sz w:val="16"/>
          <w:u w:val="none"/>
        </w:rPr>
        <w:t>Therefore,</w:t>
      </w:r>
      <w:r>
        <w:rPr>
          <w:rFonts w:ascii="Arial" w:eastAsia="Arial" w:hAnsi="Arial" w:cs="Arial"/>
          <w:b w:val="0"/>
          <w:i w:val="0"/>
          <w:color w:val="969698"/>
          <w:sz w:val="16"/>
          <w:u w:val="none"/>
        </w:rPr>
        <w:t xml:space="preserve"> the same level of corporate component achievement translates into slightly different percentages of earned target bonus award opportunity for each executive.</w:t>
      </w:r>
    </w:p>
    <w:p>
      <w:pPr>
        <w:keepNext w:val="0"/>
        <w:keepLines w:val="0"/>
        <w:pageBreakBefore w:val="0"/>
        <w:widowControl/>
        <w:numPr>
          <w:ilvl w:val="0"/>
          <w:numId w:val="0"/>
        </w:numPr>
        <w:spacing w:before="0" w:after="60" w:line="288" w:lineRule="auto"/>
        <w:ind w:left="-720" w:right="0" w:firstLine="360"/>
        <w:jc w:val="both"/>
        <w:outlineLvl w:val="9"/>
        <w:rPr>
          <w:rFonts w:ascii="Arial" w:eastAsia="Arial" w:hAnsi="Arial" w:cs="Arial"/>
          <w:b w:val="0"/>
          <w:i w:val="0"/>
          <w:color w:val="969698"/>
          <w:sz w:val="16"/>
          <w:u w:val="none"/>
        </w:rPr>
      </w:pPr>
    </w:p>
    <w:p>
      <w:pPr>
        <w:keepNext/>
        <w:keepLines w:val="0"/>
        <w:pageBreakBefore w:val="0"/>
        <w:widowControl/>
        <w:numPr>
          <w:ilvl w:val="0"/>
          <w:numId w:val="0"/>
        </w:numPr>
        <w:spacing w:before="0" w:after="60" w:line="288" w:lineRule="auto"/>
        <w:ind w:left="-720" w:right="0" w:firstLine="360"/>
        <w:jc w:val="both"/>
        <w:outlineLvl w:val="9"/>
        <w:rPr>
          <w:rFonts w:ascii="Arial" w:eastAsia="Arial" w:hAnsi="Arial" w:cs="Arial"/>
          <w:b/>
          <w:i w:val="0"/>
          <w:color w:val="4495D1"/>
          <w:sz w:val="20"/>
          <w:u w:val="none"/>
        </w:rPr>
      </w:pPr>
    </w:p>
    <w:p>
      <w:pPr>
        <w:keepNext/>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0"/>
          <w:u w:val="none"/>
        </w:rPr>
      </w:pPr>
    </w:p>
    <w:p>
      <w:pPr>
        <w:keepNext/>
        <w:keepLines w:val="0"/>
        <w:pageBreakBefore w:val="0"/>
        <w:widowControl/>
        <w:numPr>
          <w:ilvl w:val="0"/>
          <w:numId w:val="0"/>
        </w:numPr>
        <w:spacing w:before="0" w:after="60" w:line="288" w:lineRule="auto"/>
        <w:ind w:left="0" w:right="0" w:firstLine="0"/>
        <w:jc w:val="left"/>
        <w:outlineLvl w:val="9"/>
        <w:rPr>
          <w:rFonts w:ascii="Arial" w:eastAsia="Arial" w:hAnsi="Arial" w:cs="Arial"/>
          <w:b w:val="0"/>
          <w:i w:val="0"/>
          <w:color w:val="969698"/>
          <w:sz w:val="16"/>
          <w:u w:val="none"/>
        </w:rPr>
        <w:sectPr>
          <w:headerReference w:type="default" r:id="rId237"/>
          <w:footerReference w:type="default" r:id="rId238"/>
          <w:type w:val="continuous"/>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171449"/>
          <w:sz w:val="24"/>
          <w:u w:val="none"/>
        </w:rPr>
      </w:pPr>
      <w:bookmarkStart w:id="83" w:name="Section86"/>
      <w:bookmarkEnd w:id="83"/>
    </w:p>
    <w:p>
      <w:pPr>
        <w:keepNext/>
        <w:keepLines w:val="0"/>
        <w:pageBreakBefore w:val="0"/>
        <w:widowControl/>
        <w:numPr>
          <w:ilvl w:val="0"/>
          <w:numId w:val="0"/>
        </w:numPr>
        <w:spacing w:before="0" w:after="60" w:line="288" w:lineRule="auto"/>
        <w:ind w:left="0" w:right="0" w:firstLine="0"/>
        <w:jc w:val="both"/>
        <w:outlineLvl w:val="2"/>
        <w:rPr>
          <w:rFonts w:ascii="Arial" w:eastAsia="Arial" w:hAnsi="Arial" w:cs="Arial"/>
          <w:b/>
          <w:i w:val="0"/>
          <w:color w:val="171449"/>
          <w:sz w:val="24"/>
          <w:u w:val="none"/>
        </w:rPr>
      </w:pPr>
      <w:r>
        <w:rPr>
          <w:rFonts w:ascii="Arial" w:eastAsia="Arial" w:hAnsi="Arial" w:cs="Arial"/>
          <w:b/>
          <w:i w:val="0"/>
          <w:color w:val="171449"/>
          <w:sz w:val="24"/>
          <w:u w:val="none"/>
        </w:rPr>
        <w:t>Long-Term Incentive Compensation</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 Amended and Restated 2016 Equity Incentive Plan (as amended, the "Equity Plan") provides our employees with long-term equity incentive ("LTI") compensation, which we believe furthers our objective of aligning the interests of management and the other plan participants with those of our shareholders. The Equity Plan also contains a Joint Share Ownership Plan</w:t>
      </w:r>
      <w:r>
        <w:rPr>
          <w:rFonts w:ascii="Arial" w:eastAsia="Arial" w:hAnsi="Arial" w:cs="Arial"/>
          <w:b w:val="0"/>
          <w:i w:val="0"/>
          <w:sz w:val="20"/>
        </w:rPr>
        <w:t xml:space="preserve"> sub-plan</w:t>
      </w:r>
      <w:r>
        <w:rPr>
          <w:rFonts w:ascii="Arial" w:eastAsia="Arial" w:hAnsi="Arial" w:cs="Arial"/>
          <w:b w:val="0"/>
          <w:i w:val="0"/>
          <w:sz w:val="20"/>
        </w:rPr>
        <w:t xml:space="preserve">, which supports the </w:t>
      </w:r>
      <w:r>
        <w:rPr>
          <w:rFonts w:ascii="Arial" w:eastAsia="Arial" w:hAnsi="Arial" w:cs="Arial"/>
          <w:b w:val="0"/>
          <w:i w:val="0"/>
          <w:sz w:val="20"/>
        </w:rPr>
        <w:t>JSOP A</w:t>
      </w:r>
      <w:r>
        <w:rPr>
          <w:rFonts w:ascii="Arial" w:eastAsia="Arial" w:hAnsi="Arial" w:cs="Arial"/>
          <w:b w:val="0"/>
          <w:i w:val="0"/>
          <w:sz w:val="20"/>
        </w:rPr>
        <w:t>ward made to our CEO in 2020</w:t>
      </w:r>
      <w:r>
        <w:rPr>
          <w:rFonts w:ascii="Arial" w:eastAsia="Arial" w:hAnsi="Arial" w:cs="Arial"/>
          <w:b w:val="0"/>
          <w:i w:val="0"/>
          <w:sz w:val="20"/>
        </w:rPr>
        <w:t xml:space="preserve"> that remains outstanding</w:t>
      </w:r>
      <w:r>
        <w:rPr>
          <w:rFonts w:ascii="Arial" w:eastAsia="Arial" w:hAnsi="Arial" w:cs="Arial"/>
          <w:b w:val="0"/>
          <w:i w:val="0"/>
          <w:sz w:val="20"/>
        </w:rPr>
        <w:t xml:space="preserve"> </w:t>
      </w:r>
      <w:r>
        <w:rPr>
          <w:rFonts w:ascii="Arial" w:eastAsia="Arial" w:hAnsi="Arial" w:cs="Arial"/>
          <w:b w:val="0"/>
          <w:i w:val="0"/>
          <w:sz w:val="20"/>
        </w:rPr>
        <w:t>as</w:t>
      </w:r>
      <w:r>
        <w:rPr>
          <w:rFonts w:ascii="Arial" w:eastAsia="Arial" w:hAnsi="Arial" w:cs="Arial"/>
          <w:b w:val="0"/>
          <w:i w:val="0"/>
          <w:sz w:val="20"/>
        </w:rPr>
        <w:t xml:space="preserve"> his sole </w:t>
      </w:r>
      <w:r>
        <w:rPr>
          <w:rFonts w:ascii="Arial" w:eastAsia="Arial" w:hAnsi="Arial" w:cs="Arial"/>
          <w:b w:val="0"/>
          <w:i w:val="0"/>
          <w:sz w:val="20"/>
        </w:rPr>
        <w:t xml:space="preserve">LTI award.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Equity Plan is administered by the Compensation Committee. Our Equity Plan awards are designed to link executive compensation directly to the Company's long-term performance through the use of performance stock unit awards ("PSUs"), time-vested restricted stock unit awards ("RSUs"), and </w:t>
      </w:r>
      <w:r>
        <w:rPr>
          <w:rFonts w:ascii="Arial" w:eastAsia="Arial" w:hAnsi="Arial" w:cs="Arial"/>
          <w:b w:val="0"/>
          <w:i w:val="0"/>
          <w:sz w:val="20"/>
        </w:rPr>
        <w:t>the</w:t>
      </w:r>
      <w:r>
        <w:rPr>
          <w:rFonts w:ascii="Arial" w:eastAsia="Arial" w:hAnsi="Arial" w:cs="Arial"/>
          <w:b w:val="0"/>
          <w:i w:val="0"/>
          <w:sz w:val="20"/>
        </w:rPr>
        <w:t xml:space="preserve"> JSOP </w:t>
      </w:r>
      <w:r>
        <w:rPr>
          <w:rFonts w:ascii="Arial" w:eastAsia="Arial" w:hAnsi="Arial" w:cs="Arial"/>
          <w:b w:val="0"/>
          <w:i w:val="0"/>
          <w:sz w:val="20"/>
        </w:rPr>
        <w:t>A</w:t>
      </w:r>
      <w:r>
        <w:rPr>
          <w:rFonts w:ascii="Arial" w:eastAsia="Arial" w:hAnsi="Arial" w:cs="Arial"/>
          <w:b w:val="0"/>
          <w:i w:val="0"/>
          <w:sz w:val="20"/>
        </w:rPr>
        <w:t xml:space="preserve">ward for our CEO. For senior executives, our philosophy is to weight performance-based equity awards more heavily than time-based equity awards, although we consider the combined PSU/RSU awards to be effective in encouraging both long-term financial performance and retention of key talent. LTI plan awards comprise a significant component of an executive's total compensation, which we believe creates alignment with shareholders.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For </w:t>
      </w:r>
      <w:r>
        <w:rPr>
          <w:rFonts w:ascii="Arial" w:eastAsia="Arial" w:hAnsi="Arial" w:cs="Arial"/>
          <w:b w:val="0"/>
          <w:i w:val="0"/>
          <w:color w:val="000000"/>
          <w:sz w:val="20"/>
          <w:u w:val="none"/>
        </w:rPr>
        <w:t>2023</w:t>
      </w:r>
      <w:r>
        <w:rPr>
          <w:rFonts w:ascii="Arial" w:eastAsia="Arial" w:hAnsi="Arial" w:cs="Arial"/>
          <w:b w:val="0"/>
          <w:i w:val="0"/>
          <w:sz w:val="20"/>
        </w:rPr>
        <w:t xml:space="preserve">, PSUs were tied to growth in </w:t>
      </w:r>
      <w:r>
        <w:rPr>
          <w:rFonts w:ascii="Arial" w:eastAsia="Arial" w:hAnsi="Arial" w:cs="Arial"/>
          <w:b w:val="0"/>
          <w:i w:val="0"/>
          <w:sz w:val="20"/>
        </w:rPr>
        <w:t>FD</w:t>
      </w:r>
      <w:r>
        <w:rPr>
          <w:rFonts w:ascii="Arial" w:eastAsia="Arial" w:hAnsi="Arial" w:cs="Arial"/>
          <w:b w:val="0"/>
          <w:i w:val="0"/>
          <w:sz w:val="20"/>
        </w:rPr>
        <w:t xml:space="preserve">BVPS or average annual Adjusted ROE over three-year performance periods. The JSOP </w:t>
      </w:r>
      <w:r>
        <w:rPr>
          <w:rFonts w:ascii="Arial" w:eastAsia="Arial" w:hAnsi="Arial" w:cs="Arial"/>
          <w:b w:val="0"/>
          <w:i w:val="0"/>
          <w:sz w:val="20"/>
        </w:rPr>
        <w:t>A</w:t>
      </w:r>
      <w:r>
        <w:rPr>
          <w:rFonts w:ascii="Arial" w:eastAsia="Arial" w:hAnsi="Arial" w:cs="Arial"/>
          <w:b w:val="0"/>
          <w:i w:val="0"/>
          <w:sz w:val="20"/>
        </w:rPr>
        <w:t xml:space="preserve">ward granted to our CEO </w:t>
      </w:r>
      <w:r>
        <w:rPr>
          <w:rFonts w:ascii="Arial" w:eastAsia="Arial" w:hAnsi="Arial" w:cs="Arial"/>
          <w:b w:val="0"/>
          <w:i w:val="0"/>
          <w:sz w:val="20"/>
        </w:rPr>
        <w:t xml:space="preserve">in 2020 </w:t>
      </w:r>
      <w:r>
        <w:rPr>
          <w:rFonts w:ascii="Arial" w:eastAsia="Arial" w:hAnsi="Arial" w:cs="Arial"/>
          <w:b w:val="0"/>
          <w:i w:val="0"/>
          <w:sz w:val="20"/>
        </w:rPr>
        <w:t xml:space="preserve">is tied to the market price of our ordinary shares and growth in </w:t>
      </w:r>
      <w:r>
        <w:rPr>
          <w:rFonts w:ascii="Arial" w:eastAsia="Arial" w:hAnsi="Arial" w:cs="Arial"/>
          <w:b w:val="0"/>
          <w:i w:val="0"/>
          <w:sz w:val="20"/>
        </w:rPr>
        <w:t>FD</w:t>
      </w:r>
      <w:r>
        <w:rPr>
          <w:rFonts w:ascii="Arial" w:eastAsia="Arial" w:hAnsi="Arial" w:cs="Arial"/>
          <w:b w:val="0"/>
          <w:i w:val="0"/>
          <w:sz w:val="20"/>
        </w:rPr>
        <w:t>BVPS.</w:t>
      </w:r>
      <w:r>
        <w:rPr>
          <w:rFonts w:ascii="Arial" w:eastAsia="Arial" w:hAnsi="Arial" w:cs="Arial"/>
          <w:b w:val="0"/>
          <w:i w:val="0"/>
          <w:sz w:val="20"/>
        </w:rPr>
        <w:t xml:space="preserve"> </w:t>
      </w:r>
    </w:p>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performance targets applicable to the PSUs granted to our NEOs in </w:t>
      </w:r>
      <w:r>
        <w:rPr>
          <w:rFonts w:ascii="Arial" w:eastAsia="Arial" w:hAnsi="Arial" w:cs="Arial"/>
          <w:b w:val="0"/>
          <w:i w:val="0"/>
          <w:color w:val="000000"/>
          <w:sz w:val="20"/>
          <w:u w:val="none"/>
        </w:rPr>
        <w:t>2023</w:t>
      </w:r>
      <w:r>
        <w:rPr>
          <w:rFonts w:ascii="Arial" w:eastAsia="Arial" w:hAnsi="Arial" w:cs="Arial"/>
          <w:b w:val="0"/>
          <w:i w:val="0"/>
          <w:sz w:val="20"/>
        </w:rPr>
        <w:t xml:space="preserve"> </w:t>
      </w:r>
      <w:r>
        <w:rPr>
          <w:rFonts w:ascii="Arial" w:eastAsia="Arial" w:hAnsi="Arial" w:cs="Arial"/>
          <w:b w:val="0"/>
          <w:i w:val="0"/>
          <w:sz w:val="20"/>
        </w:rPr>
        <w:t>are set forth below. The Compensation Committee set the performance condition threshold, target, and maximum levels as set forth in the table below, taking into account the Company's business planning and forecasting.</w:t>
      </w:r>
      <w:r>
        <w:rPr>
          <w:rFonts w:ascii="Arial" w:eastAsia="Arial" w:hAnsi="Arial" w:cs="Arial"/>
          <w:b w:val="0"/>
          <w:i w:val="0"/>
          <w:sz w:val="20"/>
        </w:rPr>
        <w:t xml:space="preserve"> </w:t>
      </w:r>
      <w:r>
        <w:rPr>
          <w:rFonts w:ascii="Arial" w:eastAsia="Arial" w:hAnsi="Arial" w:cs="Arial"/>
          <w:b w:val="0"/>
          <w:i w:val="0"/>
          <w:color w:val="000000"/>
          <w:sz w:val="20"/>
          <w:u w:val="none"/>
        </w:rPr>
        <w:t>The value</w:t>
      </w:r>
      <w:r>
        <w:rPr>
          <w:rFonts w:ascii="Arial" w:eastAsia="Arial" w:hAnsi="Arial" w:cs="Arial"/>
          <w:b w:val="0"/>
          <w:i w:val="0"/>
          <w:color w:val="000000"/>
          <w:sz w:val="20"/>
          <w:u w:val="none"/>
        </w:rPr>
        <w:t xml:space="preserve">s below were </w:t>
      </w:r>
      <w:r>
        <w:rPr>
          <w:rFonts w:ascii="Arial" w:eastAsia="Arial" w:hAnsi="Arial" w:cs="Arial"/>
          <w:b w:val="0"/>
          <w:i w:val="0"/>
          <w:color w:val="000000"/>
          <w:sz w:val="20"/>
          <w:u w:val="none"/>
        </w:rPr>
        <w:t>originally</w:t>
      </w:r>
      <w:r>
        <w:rPr>
          <w:rFonts w:ascii="Arial" w:eastAsia="Arial" w:hAnsi="Arial" w:cs="Arial"/>
          <w:b w:val="0"/>
          <w:i w:val="0"/>
          <w:color w:val="000000"/>
          <w:sz w:val="20"/>
          <w:u w:val="none"/>
        </w:rPr>
        <w:t xml:space="preserve"> set in February 2023 and </w:t>
      </w:r>
      <w:r>
        <w:rPr>
          <w:rFonts w:ascii="Arial" w:eastAsia="Arial" w:hAnsi="Arial" w:cs="Arial"/>
          <w:b w:val="0"/>
          <w:i w:val="0"/>
          <w:color w:val="000000"/>
          <w:sz w:val="20"/>
          <w:u w:val="none"/>
        </w:rPr>
        <w:t>subsequently</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amended in May 2023 to align to </w:t>
      </w:r>
      <w:r>
        <w:rPr>
          <w:rFonts w:ascii="Arial" w:eastAsia="Arial" w:hAnsi="Arial" w:cs="Arial"/>
          <w:b w:val="0"/>
          <w:i w:val="0"/>
          <w:color w:val="000000"/>
          <w:sz w:val="20"/>
          <w:u w:val="none"/>
        </w:rPr>
        <w:t>revisions to the</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Company</w:t>
      </w:r>
      <w:r>
        <w:rPr>
          <w:rFonts w:ascii="Arial" w:eastAsia="Arial" w:hAnsi="Arial" w:cs="Arial"/>
          <w:b w:val="0"/>
          <w:i w:val="0"/>
          <w:color w:val="000000"/>
          <w:sz w:val="20"/>
          <w:u w:val="none"/>
        </w:rPr>
        <w:t xml:space="preserve">'s </w:t>
      </w:r>
      <w:r>
        <w:rPr>
          <w:rFonts w:ascii="Arial" w:eastAsia="Arial" w:hAnsi="Arial" w:cs="Arial"/>
          <w:b w:val="0"/>
          <w:i w:val="0"/>
          <w:color w:val="000000"/>
          <w:sz w:val="20"/>
          <w:u w:val="none"/>
        </w:rPr>
        <w:t xml:space="preserve">financial </w:t>
      </w:r>
      <w:r>
        <w:rPr>
          <w:rFonts w:ascii="Arial" w:eastAsia="Arial" w:hAnsi="Arial" w:cs="Arial"/>
          <w:b w:val="0"/>
          <w:i w:val="0"/>
          <w:color w:val="000000"/>
          <w:sz w:val="20"/>
          <w:u w:val="none"/>
        </w:rPr>
        <w:t>forecast</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as well as peer benchmarking</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No incremental grant date fair value was created through such ame</w:t>
      </w:r>
      <w:r>
        <w:rPr>
          <w:rFonts w:ascii="Arial" w:eastAsia="Arial" w:hAnsi="Arial" w:cs="Arial"/>
          <w:b w:val="0"/>
          <w:i w:val="0"/>
          <w:color w:val="000000"/>
          <w:sz w:val="20"/>
          <w:u w:val="none"/>
        </w:rPr>
        <w:t>ndments.</w:t>
      </w:r>
    </w:p>
    <w:tbl>
      <w:tblP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000"/>
        <w:gridCol w:w="1395"/>
        <w:gridCol w:w="1305"/>
        <w:gridCol w:w="3000"/>
        <w:gridCol w:w="1395"/>
      </w:tblGrid>
      <w:tr>
        <w:tblPrEx>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60"/>
          <w:jc w:val="center"/>
        </w:trPr>
        <w:tc>
          <w:tcPr>
            <w:tcW w:w="10095" w:type="dxa"/>
            <w:gridSpan w:val="5"/>
            <w:tcBorders>
              <w:top w:val="nil"/>
              <w:left w:val="nil"/>
              <w:bottom w:val="nil"/>
              <w:right w:val="nil"/>
            </w:tcBorders>
            <w:shd w:val="clear" w:color="auto" w:fill="1D64A3"/>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center"/>
              <w:outlineLvl w:val="9"/>
              <w:rPr>
                <w:rFonts w:ascii="Arial" w:eastAsia="Arial" w:hAnsi="Arial" w:cs="Arial"/>
                <w:b/>
                <w:i w:val="0"/>
                <w:color w:val="FFFFFF"/>
                <w:sz w:val="16"/>
                <w:u w:val="none"/>
              </w:rPr>
            </w:pPr>
            <w:r>
              <w:rPr>
                <w:rFonts w:ascii="Arial" w:eastAsia="Arial" w:hAnsi="Arial" w:cs="Arial"/>
                <w:b/>
                <w:i w:val="0"/>
                <w:color w:val="FFFFFF"/>
                <w:sz w:val="16"/>
                <w:u w:val="none"/>
              </w:rPr>
              <w:t xml:space="preserve">PSUs (Performance Period: January 1, </w:t>
            </w:r>
            <w:r>
              <w:rPr>
                <w:rFonts w:ascii="Arial" w:eastAsia="Arial" w:hAnsi="Arial" w:cs="Arial"/>
                <w:b/>
                <w:i w:val="0"/>
                <w:color w:val="FFFFFF"/>
                <w:sz w:val="16"/>
                <w:u w:val="none"/>
              </w:rPr>
              <w:t>2023</w:t>
            </w:r>
            <w:r>
              <w:rPr>
                <w:rFonts w:ascii="Arial" w:eastAsia="Arial" w:hAnsi="Arial" w:cs="Arial"/>
                <w:b/>
                <w:i w:val="0"/>
                <w:color w:val="FFFFFF"/>
                <w:sz w:val="16"/>
                <w:u w:val="none"/>
              </w:rPr>
              <w:t xml:space="preserve"> - December 31, </w:t>
            </w:r>
            <w:r>
              <w:rPr>
                <w:rFonts w:ascii="Arial" w:eastAsia="Arial" w:hAnsi="Arial" w:cs="Arial"/>
                <w:b/>
                <w:i w:val="0"/>
                <w:color w:val="FFFFFF"/>
                <w:sz w:val="16"/>
                <w:u w:val="none"/>
              </w:rPr>
              <w:t>2025</w:t>
            </w:r>
            <w:r>
              <w:rPr>
                <w:rFonts w:ascii="Arial" w:eastAsia="Arial" w:hAnsi="Arial" w:cs="Arial"/>
                <w:b/>
                <w:i w:val="0"/>
                <w:color w:val="FFFFFF"/>
                <w:sz w:val="16"/>
                <w:u w:val="none"/>
              </w:rPr>
              <w:t>)</w:t>
            </w:r>
            <w:r>
              <w:rPr>
                <w:rFonts w:ascii="Arial" w:eastAsia="Arial" w:hAnsi="Arial" w:cs="Arial"/>
                <w:b/>
                <w:i w:val="0"/>
                <w:color w:val="FFFFFF"/>
                <w:sz w:val="16"/>
                <w:u w:val="none"/>
                <w:vertAlign w:val="superscript"/>
              </w:rPr>
              <w:t>(1)</w:t>
            </w:r>
          </w:p>
        </w:tc>
      </w:tr>
      <w:tr>
        <w:tblPrEx>
          <w:tblW w:w="10095" w:type="dxa"/>
          <w:jc w:val="center"/>
          <w:tblLayout w:type="fixed"/>
          <w:tblCellMar>
            <w:left w:w="108" w:type="dxa"/>
            <w:right w:w="108" w:type="dxa"/>
          </w:tblCellMar>
        </w:tblPrEx>
        <w:trPr>
          <w:cantSplit/>
          <w:trHeight w:hRule="exact" w:val="720"/>
          <w:jc w:val="center"/>
        </w:trPr>
        <w:tc>
          <w:tcPr>
            <w:tcW w:w="3000"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FFFFFF"/>
                <w:sz w:val="16"/>
                <w:u w:val="none"/>
              </w:rPr>
              <w:t>Growth in 3-Year FDBVPS</w:t>
            </w:r>
          </w:p>
        </w:tc>
        <w:tc>
          <w:tcPr>
            <w:tcW w:w="139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30" w:line="288" w:lineRule="auto"/>
              <w:ind w:left="0" w:right="0" w:firstLine="0"/>
              <w:jc w:val="center"/>
              <w:outlineLvl w:val="9"/>
              <w:rPr>
                <w:rFonts w:ascii="Arial" w:eastAsia="Arial" w:hAnsi="Arial" w:cs="Arial"/>
                <w:b/>
                <w:i w:val="0"/>
                <w:color w:val="FFFFFF"/>
                <w:sz w:val="16"/>
                <w:u w:val="none"/>
              </w:rPr>
            </w:pPr>
            <w:r>
              <w:rPr>
                <w:rFonts w:ascii="Arial" w:eastAsia="Arial" w:hAnsi="Arial" w:cs="Arial"/>
                <w:b/>
                <w:i w:val="0"/>
                <w:color w:val="FFFFFF"/>
                <w:sz w:val="16"/>
                <w:u w:val="none"/>
              </w:rPr>
              <w:t>PSU Vesting as a Percentage of Target</w:t>
            </w:r>
            <w:r>
              <w:rPr>
                <w:rFonts w:ascii="Arial" w:eastAsia="Arial" w:hAnsi="Arial" w:cs="Arial"/>
                <w:b/>
                <w:i w:val="0"/>
                <w:color w:val="FFFFFF"/>
                <w:sz w:val="16"/>
                <w:u w:val="none"/>
                <w:vertAlign w:val="superscript"/>
              </w:rPr>
              <w:t>(2)</w:t>
            </w:r>
          </w:p>
        </w:tc>
        <w:tc>
          <w:tcPr>
            <w:tcW w:w="130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3000"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FFFFFF"/>
                <w:sz w:val="16"/>
                <w:u w:val="none"/>
              </w:rPr>
              <w:t>Average Annual Adjusted ROE for 3-Year Period</w:t>
            </w:r>
          </w:p>
        </w:tc>
        <w:tc>
          <w:tcPr>
            <w:tcW w:w="139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30" w:line="288" w:lineRule="auto"/>
              <w:ind w:left="0" w:right="0" w:firstLine="0"/>
              <w:jc w:val="center"/>
              <w:outlineLvl w:val="9"/>
              <w:rPr>
                <w:rFonts w:ascii="Arial" w:eastAsia="Arial" w:hAnsi="Arial" w:cs="Arial"/>
                <w:b/>
                <w:i w:val="0"/>
                <w:color w:val="FFFFFF"/>
                <w:sz w:val="16"/>
                <w:u w:val="none"/>
              </w:rPr>
            </w:pPr>
            <w:r>
              <w:rPr>
                <w:rFonts w:ascii="Arial" w:eastAsia="Arial" w:hAnsi="Arial" w:cs="Arial"/>
                <w:b/>
                <w:i w:val="0"/>
                <w:color w:val="FFFFFF"/>
                <w:sz w:val="16"/>
                <w:u w:val="none"/>
              </w:rPr>
              <w:t>PSU Vesting as a Percentage of Target</w:t>
            </w:r>
            <w:r>
              <w:rPr>
                <w:rFonts w:ascii="Arial" w:eastAsia="Arial" w:hAnsi="Arial" w:cs="Arial"/>
                <w:b/>
                <w:i w:val="0"/>
                <w:color w:val="FFFFFF"/>
                <w:sz w:val="16"/>
                <w:u w:val="none"/>
                <w:vertAlign w:val="superscript"/>
              </w:rPr>
              <w:t>(2)</w:t>
            </w:r>
          </w:p>
        </w:tc>
      </w:tr>
      <w:tr>
        <w:tblPrEx>
          <w:tblW w:w="10095" w:type="dxa"/>
          <w:jc w:val="center"/>
          <w:tblLayout w:type="fixed"/>
          <w:tblCellMar>
            <w:left w:w="108" w:type="dxa"/>
            <w:right w:w="108" w:type="dxa"/>
          </w:tblCellMar>
        </w:tblPrEx>
        <w:trPr>
          <w:cantSplit/>
          <w:trHeight w:hRule="exact" w:val="105"/>
          <w:jc w:val="center"/>
        </w:trPr>
        <w:tc>
          <w:tcPr>
            <w:tcW w:w="300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39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300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39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r>
      <w:tr>
        <w:tblPrEx>
          <w:tblW w:w="10095" w:type="dxa"/>
          <w:jc w:val="center"/>
          <w:tblLayout w:type="fixed"/>
          <w:tblCellMar>
            <w:left w:w="108" w:type="dxa"/>
            <w:right w:w="108" w:type="dxa"/>
          </w:tblCellMar>
        </w:tblPrEx>
        <w:trPr>
          <w:cantSplit/>
          <w:trHeight w:hRule="exact" w:val="525"/>
          <w:jc w:val="center"/>
        </w:trPr>
        <w:tc>
          <w:tcPr>
            <w:tcW w:w="3000"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20"/>
                <w:u w:val="none"/>
              </w:rPr>
              <w:t>64.1% or more (Maximum)</w:t>
            </w:r>
          </w:p>
        </w:tc>
        <w:tc>
          <w:tcPr>
            <w:tcW w:w="1395"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200%</w:t>
            </w: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3000"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21.9% or more (Maximum)</w:t>
            </w:r>
          </w:p>
        </w:tc>
        <w:tc>
          <w:tcPr>
            <w:tcW w:w="1395"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200%</w:t>
            </w:r>
          </w:p>
        </w:tc>
      </w:tr>
      <w:tr>
        <w:tblPrEx>
          <w:tblW w:w="10095" w:type="dxa"/>
          <w:jc w:val="center"/>
          <w:tblLayout w:type="fixed"/>
          <w:tblCellMar>
            <w:left w:w="108" w:type="dxa"/>
            <w:right w:w="108" w:type="dxa"/>
          </w:tblCellMar>
        </w:tblPrEx>
        <w:trPr>
          <w:cantSplit/>
          <w:trHeight w:hRule="exact" w:val="405"/>
          <w:jc w:val="center"/>
        </w:trPr>
        <w:tc>
          <w:tcPr>
            <w:tcW w:w="3000"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20"/>
                <w:u w:val="none"/>
              </w:rPr>
              <w:t>42.7% (Target)</w:t>
            </w:r>
          </w:p>
        </w:tc>
        <w:tc>
          <w:tcPr>
            <w:tcW w:w="1395"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100%</w:t>
            </w:r>
          </w:p>
        </w:tc>
        <w:tc>
          <w:tcPr>
            <w:tcW w:w="130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300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14.6% (Target)</w:t>
            </w:r>
          </w:p>
        </w:tc>
        <w:tc>
          <w:tcPr>
            <w:tcW w:w="1395"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100%</w:t>
            </w:r>
          </w:p>
        </w:tc>
      </w:tr>
      <w:tr>
        <w:tblPrEx>
          <w:tblW w:w="10095" w:type="dxa"/>
          <w:jc w:val="center"/>
          <w:tblLayout w:type="fixed"/>
          <w:tblCellMar>
            <w:left w:w="108" w:type="dxa"/>
            <w:right w:w="108" w:type="dxa"/>
          </w:tblCellMar>
        </w:tblPrEx>
        <w:trPr>
          <w:cantSplit/>
          <w:trHeight w:hRule="exact" w:val="405"/>
          <w:jc w:val="center"/>
        </w:trPr>
        <w:tc>
          <w:tcPr>
            <w:tcW w:w="3000"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20"/>
                <w:u w:val="none"/>
              </w:rPr>
              <w:t>21.4% (Threshold)</w:t>
            </w:r>
          </w:p>
        </w:tc>
        <w:tc>
          <w:tcPr>
            <w:tcW w:w="1395"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50%</w:t>
            </w: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3000"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88" w:lineRule="auto"/>
              <w:jc w:val="left"/>
            </w:pPr>
            <w:r>
              <w:rPr>
                <w:rFonts w:ascii="Arial" w:eastAsia="Arial" w:hAnsi="Arial" w:cs="Arial"/>
                <w:b w:val="0"/>
                <w:i w:val="0"/>
                <w:color w:val="000000"/>
                <w:sz w:val="20"/>
                <w:u w:val="none"/>
              </w:rPr>
              <w:t>7.3% (Threshold)</w:t>
            </w:r>
          </w:p>
        </w:tc>
        <w:tc>
          <w:tcPr>
            <w:tcW w:w="1395" w:type="dxa"/>
            <w:tcBorders>
              <w:top w:val="nil"/>
              <w:left w:val="nil"/>
              <w:bottom w:val="nil"/>
              <w:right w:val="nil"/>
            </w:tcBorders>
            <w:shd w:val="clear" w:color="auto" w:fill="DBDBDB"/>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50%</w:t>
            </w:r>
          </w:p>
        </w:tc>
      </w:tr>
      <w:tr>
        <w:tblPrEx>
          <w:tblW w:w="10095" w:type="dxa"/>
          <w:jc w:val="center"/>
          <w:tblLayout w:type="fixed"/>
          <w:tblCellMar>
            <w:left w:w="108" w:type="dxa"/>
            <w:right w:w="108" w:type="dxa"/>
          </w:tblCellMar>
        </w:tblPrEx>
        <w:trPr>
          <w:cantSplit/>
          <w:trHeight w:hRule="exact" w:val="525"/>
          <w:jc w:val="center"/>
        </w:trPr>
        <w:tc>
          <w:tcPr>
            <w:tcW w:w="3000" w:type="dxa"/>
            <w:tcBorders>
              <w:top w:val="nil"/>
              <w:left w:val="nil"/>
              <w:bottom w:val="single" w:sz="4" w:space="0" w:color="929292"/>
              <w:right w:val="nil"/>
            </w:tcBorders>
            <w:shd w:val="clear" w:color="auto" w:fill="FFFFFF"/>
            <w:tcMar>
              <w:top w:w="0" w:type="dxa"/>
              <w:left w:w="53" w:type="dxa"/>
              <w:bottom w:w="0" w:type="dxa"/>
              <w:right w:w="53" w:type="dxa"/>
            </w:tcMar>
            <w:vAlign w:val="center"/>
          </w:tcPr>
          <w:p>
            <w:pPr>
              <w:pageBreakBefore w:val="0"/>
              <w:spacing w:before="0" w:after="0" w:line="288" w:lineRule="auto"/>
              <w:ind w:left="90"/>
              <w:jc w:val="left"/>
            </w:pPr>
            <w:r>
              <w:rPr>
                <w:rFonts w:ascii="Arial" w:eastAsia="Arial" w:hAnsi="Arial" w:cs="Arial"/>
                <w:b w:val="0"/>
                <w:i w:val="0"/>
                <w:color w:val="000000"/>
                <w:sz w:val="20"/>
                <w:u w:val="none"/>
              </w:rPr>
              <w:t>Less than 21.4% (Below Threshold)</w:t>
            </w:r>
          </w:p>
        </w:tc>
        <w:tc>
          <w:tcPr>
            <w:tcW w:w="1395" w:type="dxa"/>
            <w:tcBorders>
              <w:top w:val="nil"/>
              <w:left w:val="nil"/>
              <w:bottom w:val="single" w:sz="4" w:space="0" w:color="929292"/>
              <w:right w:val="nil"/>
            </w:tcBorders>
            <w:shd w:val="clear" w:color="auto" w:fill="FFFFFF"/>
            <w:tcMar>
              <w:top w:w="0" w:type="dxa"/>
              <w:left w:w="53" w:type="dxa"/>
              <w:bottom w:w="0" w:type="dxa"/>
              <w:right w:w="15" w:type="dxa"/>
            </w:tcMar>
            <w:vAlign w:val="center"/>
          </w:tcPr>
          <w:p>
            <w:pPr>
              <w:pageBreakBefore w:val="0"/>
              <w:spacing w:before="0" w:after="0" w:line="288" w:lineRule="auto"/>
              <w:jc w:val="center"/>
            </w:pPr>
            <w:r>
              <w:rPr>
                <w:rFonts w:ascii="Arial" w:eastAsia="Arial" w:hAnsi="Arial" w:cs="Arial"/>
                <w:b w:val="0"/>
                <w:i w:val="0"/>
                <w:color w:val="000000"/>
                <w:sz w:val="20"/>
                <w:u w:val="none"/>
              </w:rPr>
              <w:t>—%</w:t>
            </w:r>
          </w:p>
        </w:tc>
        <w:tc>
          <w:tcPr>
            <w:tcW w:w="1305" w:type="dxa"/>
            <w:tcBorders>
              <w:top w:val="nil"/>
              <w:left w:val="nil"/>
              <w:bottom w:val="single" w:sz="4" w:space="0" w:color="929292"/>
              <w:right w:val="nil"/>
            </w:tcBorders>
            <w:shd w:val="clear" w:color="auto" w:fill="FFFFFF"/>
            <w:tcMar>
              <w:top w:w="0" w:type="dxa"/>
              <w:left w:w="0" w:type="dxa"/>
              <w:bottom w:w="0" w:type="dxa"/>
              <w:right w:w="0" w:type="dxa"/>
            </w:tcMar>
            <w:vAlign w:val="bottom"/>
          </w:tcPr>
          <w:p>
            <w:pPr>
              <w:pageBreakBefore w:val="0"/>
              <w:spacing w:before="0" w:after="0"/>
            </w:pPr>
          </w:p>
        </w:tc>
        <w:tc>
          <w:tcPr>
            <w:tcW w:w="3000" w:type="dxa"/>
            <w:tcBorders>
              <w:top w:val="nil"/>
              <w:left w:val="nil"/>
              <w:bottom w:val="single" w:sz="4" w:space="0" w:color="929292"/>
              <w:right w:val="nil"/>
            </w:tcBorders>
            <w:shd w:val="clear" w:color="auto" w:fill="FFFFFF"/>
            <w:tcMar>
              <w:top w:w="0" w:type="dxa"/>
              <w:left w:w="53" w:type="dxa"/>
              <w:bottom w:w="0" w:type="dxa"/>
              <w:right w:w="15" w:type="dxa"/>
            </w:tcMar>
            <w:vAlign w:val="center"/>
          </w:tcPr>
          <w:p>
            <w:pPr>
              <w:pageBreakBefore w:val="0"/>
              <w:spacing w:before="0" w:after="0" w:line="288" w:lineRule="auto"/>
              <w:jc w:val="left"/>
            </w:pPr>
            <w:r>
              <w:rPr>
                <w:rFonts w:ascii="Arial" w:eastAsia="Arial" w:hAnsi="Arial" w:cs="Arial"/>
                <w:b w:val="0"/>
                <w:i w:val="0"/>
                <w:color w:val="000000"/>
                <w:sz w:val="20"/>
                <w:u w:val="none"/>
              </w:rPr>
              <w:t>Less than 7.3% (Below Threshold)</w:t>
            </w:r>
          </w:p>
        </w:tc>
        <w:tc>
          <w:tcPr>
            <w:tcW w:w="1395" w:type="dxa"/>
            <w:tcBorders>
              <w:top w:val="nil"/>
              <w:left w:val="nil"/>
              <w:bottom w:val="single" w:sz="4" w:space="0" w:color="929292"/>
              <w:right w:val="nil"/>
            </w:tcBorders>
            <w:shd w:val="clear" w:color="auto" w:fill="FFFFFF"/>
            <w:tcMar>
              <w:top w:w="0" w:type="dxa"/>
              <w:left w:w="53" w:type="dxa"/>
              <w:bottom w:w="0" w:type="dxa"/>
              <w:right w:w="15" w:type="dxa"/>
            </w:tcMar>
            <w:vAlign w:val="center"/>
          </w:tcPr>
          <w:p>
            <w:pPr>
              <w:pageBreakBefore w:val="0"/>
              <w:spacing w:before="0" w:after="0" w:line="288" w:lineRule="auto"/>
              <w:jc w:val="center"/>
            </w:pPr>
            <w:r>
              <w:rPr>
                <w:rFonts w:ascii="Arial" w:eastAsia="Arial" w:hAnsi="Arial" w:cs="Arial"/>
                <w:b w:val="0"/>
                <w:i w:val="0"/>
                <w:color w:val="000000"/>
                <w:sz w:val="20"/>
                <w:u w:val="none"/>
              </w:rPr>
              <w:t>—%</w:t>
            </w:r>
          </w:p>
        </w:tc>
      </w:tr>
    </w:tbl>
    <w:p>
      <w:pPr>
        <w:keepNext w:val="0"/>
        <w:keepLines w:val="0"/>
        <w:pageBreakBefore w:val="0"/>
        <w:widowControl/>
        <w:numPr>
          <w:ilvl w:val="0"/>
          <w:numId w:val="244"/>
        </w:numPr>
        <w:spacing w:before="120" w:after="60" w:line="288" w:lineRule="auto"/>
        <w:ind w:left="360" w:right="0" w:hanging="360"/>
        <w:jc w:val="left"/>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50% of the PSUs granted are subject to the </w:t>
      </w:r>
      <w:r>
        <w:rPr>
          <w:rFonts w:ascii="Arial" w:eastAsia="Arial" w:hAnsi="Arial" w:cs="Arial"/>
          <w:b w:val="0"/>
          <w:i w:val="0"/>
          <w:color w:val="969698"/>
          <w:sz w:val="16"/>
          <w:u w:val="none"/>
        </w:rPr>
        <w:t>FD</w:t>
      </w:r>
      <w:r>
        <w:rPr>
          <w:rFonts w:ascii="Arial" w:eastAsia="Arial" w:hAnsi="Arial" w:cs="Arial"/>
          <w:b w:val="0"/>
          <w:i w:val="0"/>
          <w:color w:val="969698"/>
          <w:sz w:val="16"/>
          <w:u w:val="none"/>
        </w:rPr>
        <w:t>BVPS metrics set forth in the table and 50% are subject to the Adjusted ROE metrics set forth in the table.</w:t>
      </w:r>
    </w:p>
    <w:p>
      <w:pPr>
        <w:keepNext w:val="0"/>
        <w:keepLines w:val="0"/>
        <w:pageBreakBefore w:val="0"/>
        <w:widowControl/>
        <w:numPr>
          <w:ilvl w:val="0"/>
          <w:numId w:val="244"/>
        </w:numPr>
        <w:spacing w:before="0" w:after="60" w:line="288" w:lineRule="auto"/>
        <w:ind w:left="360" w:right="0" w:hanging="360"/>
        <w:jc w:val="left"/>
        <w:outlineLvl w:val="9"/>
        <w:rPr>
          <w:rFonts w:ascii="Arial" w:eastAsia="Arial" w:hAnsi="Arial" w:cs="Arial"/>
          <w:b w:val="0"/>
          <w:i w:val="0"/>
          <w:color w:val="969698"/>
          <w:sz w:val="16"/>
          <w:u w:val="none"/>
        </w:rPr>
      </w:pPr>
      <w:r>
        <w:rPr>
          <w:rFonts w:ascii="Arial" w:eastAsia="Arial" w:hAnsi="Arial" w:cs="Arial"/>
          <w:b w:val="0"/>
          <w:i w:val="0"/>
          <w:color w:val="969698"/>
          <w:sz w:val="16"/>
          <w:u w:val="none"/>
        </w:rPr>
        <w:t>Actual payout levels between threshold and target and target and maximum are determined by straight-line interpolation.</w:t>
      </w:r>
    </w:p>
    <w:p>
      <w:pPr>
        <w:keepNext w:val="0"/>
        <w:keepLines w:val="0"/>
        <w:pageBreakBefore w:val="0"/>
        <w:widowControl/>
        <w:numPr>
          <w:ilvl w:val="0"/>
          <w:numId w:val="0"/>
        </w:numPr>
        <w:spacing w:before="0" w:after="60" w:line="288" w:lineRule="auto"/>
        <w:ind w:left="-720" w:right="0" w:firstLine="360"/>
        <w:jc w:val="left"/>
        <w:outlineLvl w:val="9"/>
        <w:rPr>
          <w:rFonts w:ascii="Arial" w:eastAsia="Arial" w:hAnsi="Arial" w:cs="Arial"/>
          <w:b w:val="0"/>
          <w:i w:val="0"/>
          <w:color w:val="969698"/>
          <w:sz w:val="16"/>
          <w:u w:val="none"/>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969698"/>
          <w:sz w:val="20"/>
          <w:u w:val="none"/>
        </w:rPr>
      </w:pPr>
      <w:r>
        <w:rPr>
          <w:rFonts w:ascii="Arial" w:eastAsia="Arial" w:hAnsi="Arial" w:cs="Arial"/>
          <w:b w:val="0"/>
          <w:i w:val="0"/>
          <w:sz w:val="20"/>
        </w:rPr>
        <w:t xml:space="preserve">Full descriptions of the equity awards granted to each of our named executive officer under the Equity Plan in 2023 are provided below in the section entitled "NEO Compensation Summaries" beginning on page </w:t>
      </w:r>
      <w:r>
        <w:rPr>
          <w:rFonts w:ascii="Arial" w:eastAsia="Arial" w:hAnsi="Arial" w:cs="Arial"/>
          <w:b w:val="0"/>
          <w:i w:val="0"/>
          <w:color w:val="0000FF"/>
          <w:sz w:val="20"/>
          <w:u w:val="single"/>
        </w:rPr>
        <w:fldChar w:fldCharType="begin"/>
      </w:r>
      <w:r>
        <w:rPr>
          <w:rFonts w:ascii="Arial" w:eastAsia="Arial" w:hAnsi="Arial" w:cs="Arial"/>
          <w:b w:val="0"/>
          <w:i w:val="0"/>
          <w:color w:val="0000FF"/>
          <w:sz w:val="20"/>
          <w:u w:val="single"/>
        </w:rPr>
        <w:instrText xml:space="preserve"> PAGEREF </w:instrText>
      </w:r>
      <w:r>
        <w:rPr>
          <w:rFonts w:ascii="Arial" w:eastAsia="Arial" w:hAnsi="Arial" w:cs="Arial"/>
          <w:b w:val="0"/>
          <w:i w:val="0"/>
          <w:color w:val="0000FF"/>
          <w:sz w:val="20"/>
          <w:u w:val="single"/>
        </w:rPr>
        <w:instrText xml:space="preserve"> </w:instrText>
      </w:r>
      <w:r>
        <w:rPr>
          <w:rFonts w:ascii="Arial" w:eastAsia="Arial" w:hAnsi="Arial" w:cs="Arial"/>
          <w:b w:val="0"/>
          <w:i w:val="0"/>
          <w:color w:val="0000FF"/>
          <w:sz w:val="20"/>
          <w:u w:val="single"/>
        </w:rPr>
        <w:instrText>Section87</w:instrText>
      </w:r>
      <w:r>
        <w:rPr>
          <w:rFonts w:ascii="Arial" w:eastAsia="Arial" w:hAnsi="Arial" w:cs="Arial"/>
          <w:b w:val="0"/>
          <w:i w:val="0"/>
          <w:color w:val="0000FF"/>
          <w:sz w:val="20"/>
          <w:u w:val="single"/>
        </w:rPr>
        <w:instrText xml:space="preserve"> \h</w:instrText>
      </w:r>
      <w:r>
        <w:rPr>
          <w:rFonts w:ascii="Arial" w:eastAsia="Arial" w:hAnsi="Arial" w:cs="Arial"/>
          <w:b w:val="0"/>
          <w:i w:val="0"/>
          <w:color w:val="0000FF"/>
          <w:sz w:val="20"/>
          <w:u w:val="single"/>
        </w:rPr>
        <w:fldChar w:fldCharType="separate"/>
      </w:r>
      <w:r>
        <w:rPr>
          <w:rFonts w:ascii="Arial" w:eastAsia="Arial" w:hAnsi="Arial" w:cs="Arial"/>
          <w:b w:val="0"/>
          <w:i w:val="0"/>
          <w:color w:val="0000FF"/>
          <w:sz w:val="20"/>
          <w:u w:val="single"/>
        </w:rPr>
        <w:t>57</w:t>
      </w:r>
      <w:r>
        <w:rPr>
          <w:rFonts w:ascii="Arial" w:eastAsia="Arial" w:hAnsi="Arial" w:cs="Arial"/>
          <w:b w:val="0"/>
          <w:i w:val="0"/>
          <w:color w:val="0000FF"/>
          <w:sz w:val="20"/>
          <w:u w:val="single"/>
        </w:rPr>
        <w:fldChar w:fldCharType="end"/>
      </w:r>
      <w:r>
        <w:rPr>
          <w:rFonts w:ascii="Arial" w:eastAsia="Arial" w:hAnsi="Arial" w:cs="Arial"/>
          <w:b w:val="0"/>
          <w:i w:val="0"/>
          <w:sz w:val="20"/>
        </w:rPr>
        <w: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969698"/>
          <w:sz w:val="16"/>
          <w:u w:val="none"/>
        </w:rPr>
        <w:sectPr>
          <w:headerReference w:type="default" r:id="rId239"/>
          <w:footerReference w:type="default" r:id="rId240"/>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both"/>
        <w:outlineLvl w:val="2"/>
        <w:rPr>
          <w:rFonts w:ascii="Arial" w:eastAsia="Arial" w:hAnsi="Arial" w:cs="Arial"/>
          <w:b/>
          <w:i w:val="0"/>
          <w:color w:val="171449"/>
          <w:sz w:val="24"/>
          <w:u w:val="none"/>
        </w:rPr>
      </w:pPr>
      <w:bookmarkStart w:id="84" w:name="Section87"/>
      <w:bookmarkEnd w:id="84"/>
      <w:r>
        <w:rPr>
          <w:rFonts w:ascii="Arial" w:eastAsia="Arial" w:hAnsi="Arial" w:cs="Arial"/>
          <w:b/>
          <w:i w:val="0"/>
          <w:color w:val="171449"/>
          <w:sz w:val="24"/>
          <w:u w:val="none"/>
        </w:rPr>
        <w:t>NEO Compensation Summaries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000000"/>
          <w:sz w:val="20"/>
          <w:u w:val="none"/>
        </w:rPr>
      </w:pPr>
      <w:r>
        <w:rPr>
          <w:rFonts w:ascii="Arial" w:eastAsia="Arial" w:hAnsi="Arial" w:cs="Arial"/>
          <w:b w:val="0"/>
          <w:i w:val="0"/>
          <w:color w:val="000000"/>
          <w:sz w:val="20"/>
          <w:u w:val="none"/>
        </w:rPr>
        <w:t xml:space="preserve">The </w:t>
      </w:r>
      <w:r>
        <w:rPr>
          <w:rFonts w:ascii="Arial" w:eastAsia="Arial" w:hAnsi="Arial" w:cs="Arial"/>
          <w:b w:val="0"/>
          <w:i w:val="0"/>
          <w:color w:val="000000"/>
          <w:sz w:val="20"/>
          <w:u w:val="none"/>
        </w:rPr>
        <w:t>summaries set for</w:t>
      </w:r>
      <w:r>
        <w:rPr>
          <w:rFonts w:ascii="Arial" w:eastAsia="Arial" w:hAnsi="Arial" w:cs="Arial"/>
          <w:b w:val="0"/>
          <w:i w:val="0"/>
          <w:color w:val="000000"/>
          <w:sz w:val="20"/>
          <w:u w:val="none"/>
        </w:rPr>
        <w:t>th</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b</w:t>
      </w:r>
      <w:r>
        <w:rPr>
          <w:rFonts w:ascii="Arial" w:eastAsia="Arial" w:hAnsi="Arial" w:cs="Arial"/>
          <w:b w:val="0"/>
          <w:i w:val="0"/>
          <w:color w:val="000000"/>
          <w:sz w:val="20"/>
          <w:u w:val="none"/>
        </w:rPr>
        <w:t xml:space="preserve">elow </w:t>
      </w:r>
      <w:r>
        <w:rPr>
          <w:rFonts w:ascii="Arial" w:eastAsia="Arial" w:hAnsi="Arial" w:cs="Arial"/>
          <w:b w:val="0"/>
          <w:i w:val="0"/>
          <w:color w:val="000000"/>
          <w:sz w:val="20"/>
          <w:u w:val="none"/>
        </w:rPr>
        <w:t>detail the key compensation componen</w:t>
      </w:r>
      <w:r>
        <w:rPr>
          <w:rFonts w:ascii="Arial" w:eastAsia="Arial" w:hAnsi="Arial" w:cs="Arial"/>
          <w:b w:val="0"/>
          <w:i w:val="0"/>
          <w:color w:val="000000"/>
          <w:sz w:val="20"/>
          <w:u w:val="none"/>
        </w:rPr>
        <w:t>ts and decisions for 2023 for each named executive officer.</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Annual</w:t>
      </w:r>
      <w:r>
        <w:rPr>
          <w:rFonts w:ascii="Arial" w:eastAsia="Arial" w:hAnsi="Arial" w:cs="Arial"/>
          <w:b w:val="0"/>
          <w:i w:val="0"/>
          <w:color w:val="000000"/>
          <w:sz w:val="20"/>
          <w:u w:val="none"/>
        </w:rPr>
        <w:t xml:space="preserve"> Com</w:t>
      </w:r>
      <w:r>
        <w:rPr>
          <w:rFonts w:ascii="Arial" w:eastAsia="Arial" w:hAnsi="Arial" w:cs="Arial"/>
          <w:b w:val="0"/>
          <w:i w:val="0"/>
          <w:color w:val="000000"/>
          <w:sz w:val="20"/>
          <w:u w:val="none"/>
        </w:rPr>
        <w:t>pensation Mi</w:t>
      </w:r>
      <w:r>
        <w:rPr>
          <w:rFonts w:ascii="Arial" w:eastAsia="Arial" w:hAnsi="Arial" w:cs="Arial"/>
          <w:b w:val="0"/>
          <w:i w:val="0"/>
          <w:color w:val="000000"/>
          <w:sz w:val="20"/>
          <w:u w:val="none"/>
        </w:rPr>
        <w:t xml:space="preserve">x, presented in the </w:t>
      </w:r>
      <w:r>
        <w:rPr>
          <w:rFonts w:ascii="Arial" w:eastAsia="Arial" w:hAnsi="Arial" w:cs="Arial"/>
          <w:b w:val="0"/>
          <w:i w:val="0"/>
          <w:color w:val="000000"/>
          <w:sz w:val="20"/>
          <w:u w:val="none"/>
        </w:rPr>
        <w:t>graphics</w:t>
      </w:r>
      <w:r>
        <w:rPr>
          <w:rFonts w:ascii="Arial" w:eastAsia="Arial" w:hAnsi="Arial" w:cs="Arial"/>
          <w:b w:val="0"/>
          <w:i w:val="0"/>
          <w:color w:val="000000"/>
          <w:sz w:val="20"/>
          <w:u w:val="none"/>
        </w:rPr>
        <w:t xml:space="preserve"> and tables below, includes</w:t>
      </w:r>
      <w:r>
        <w:rPr>
          <w:rFonts w:ascii="Arial" w:eastAsia="Arial" w:hAnsi="Arial" w:cs="Arial"/>
          <w:b w:val="0"/>
          <w:i w:val="0"/>
          <w:color w:val="000000"/>
          <w:sz w:val="20"/>
          <w:u w:val="none"/>
        </w:rPr>
        <w:t xml:space="preserve"> each executive's base salary, </w:t>
      </w:r>
      <w:r>
        <w:rPr>
          <w:rFonts w:ascii="Arial" w:eastAsia="Arial" w:hAnsi="Arial" w:cs="Arial"/>
          <w:b w:val="0"/>
          <w:i w:val="0"/>
          <w:color w:val="000000"/>
          <w:sz w:val="20"/>
          <w:u w:val="none"/>
        </w:rPr>
        <w:t>target level of annual incentive achievement</w:t>
      </w:r>
      <w:r>
        <w:rPr>
          <w:rFonts w:ascii="Arial" w:eastAsia="Arial" w:hAnsi="Arial" w:cs="Arial"/>
          <w:b w:val="0"/>
          <w:i w:val="0"/>
          <w:color w:val="000000"/>
          <w:sz w:val="20"/>
          <w:u w:val="none"/>
        </w:rPr>
        <w:t>,</w:t>
      </w:r>
      <w:r>
        <w:rPr>
          <w:rFonts w:ascii="Arial" w:eastAsia="Arial" w:hAnsi="Arial" w:cs="Arial"/>
          <w:b w:val="0"/>
          <w:i w:val="0"/>
          <w:color w:val="000000"/>
          <w:sz w:val="20"/>
          <w:u w:val="none"/>
        </w:rPr>
        <w:t xml:space="preserve"> and the </w:t>
      </w:r>
      <w:r>
        <w:rPr>
          <w:rFonts w:ascii="Arial" w:eastAsia="Arial" w:hAnsi="Arial" w:cs="Arial"/>
          <w:b w:val="0"/>
          <w:i w:val="0"/>
          <w:color w:val="000000"/>
          <w:sz w:val="20"/>
          <w:u w:val="none"/>
        </w:rPr>
        <w:t xml:space="preserve">grant date fair value </w:t>
      </w:r>
      <w:r>
        <w:rPr>
          <w:rFonts w:ascii="Arial" w:eastAsia="Arial" w:hAnsi="Arial" w:cs="Arial"/>
          <w:b w:val="0"/>
          <w:i w:val="0"/>
          <w:color w:val="000000"/>
          <w:sz w:val="20"/>
          <w:u w:val="none"/>
        </w:rPr>
        <w:t>of equity awards</w:t>
      </w:r>
      <w:r>
        <w:rPr>
          <w:rFonts w:ascii="Arial" w:eastAsia="Arial" w:hAnsi="Arial" w:cs="Arial"/>
          <w:b w:val="0"/>
          <w:i w:val="0"/>
          <w:color w:val="000000"/>
          <w:sz w:val="20"/>
          <w:u w:val="none"/>
        </w:rPr>
        <w:t xml:space="preserve"> relevant to </w:t>
      </w:r>
      <w:r>
        <w:rPr>
          <w:rFonts w:ascii="Arial" w:eastAsia="Arial" w:hAnsi="Arial" w:cs="Arial"/>
          <w:b w:val="0"/>
          <w:i w:val="0"/>
          <w:color w:val="000000"/>
          <w:sz w:val="20"/>
          <w:u w:val="none"/>
        </w:rPr>
        <w:t>2023</w:t>
      </w:r>
      <w:r>
        <w:rPr>
          <w:rFonts w:ascii="Arial" w:eastAsia="Arial" w:hAnsi="Arial" w:cs="Arial"/>
          <w:b w:val="0"/>
          <w:i w:val="0"/>
          <w:color w:val="000000"/>
          <w:sz w:val="20"/>
          <w:u w:val="none"/>
        </w:rPr>
        <w:t>.</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T</w:t>
      </w:r>
      <w:r>
        <w:rPr>
          <w:rFonts w:ascii="Arial" w:eastAsia="Arial" w:hAnsi="Arial" w:cs="Arial"/>
          <w:b w:val="0"/>
          <w:i w:val="0"/>
          <w:color w:val="000000"/>
          <w:sz w:val="20"/>
          <w:u w:val="none"/>
        </w:rPr>
        <w:t xml:space="preserve">he grant </w:t>
      </w:r>
      <w:r>
        <w:rPr>
          <w:rFonts w:ascii="Arial" w:eastAsia="Arial" w:hAnsi="Arial" w:cs="Arial"/>
          <w:b w:val="0"/>
          <w:i w:val="0"/>
          <w:color w:val="000000"/>
          <w:sz w:val="20"/>
          <w:u w:val="none"/>
        </w:rPr>
        <w:t>date fair value</w:t>
      </w:r>
      <w:r>
        <w:rPr>
          <w:rFonts w:ascii="Arial" w:eastAsia="Arial" w:hAnsi="Arial" w:cs="Arial"/>
          <w:b w:val="0"/>
          <w:i w:val="0"/>
          <w:color w:val="000000"/>
          <w:sz w:val="20"/>
          <w:u w:val="none"/>
        </w:rPr>
        <w:t>s</w:t>
      </w:r>
      <w:r>
        <w:rPr>
          <w:rFonts w:ascii="Arial" w:eastAsia="Arial" w:hAnsi="Arial" w:cs="Arial"/>
          <w:b w:val="0"/>
          <w:i w:val="0"/>
          <w:color w:val="000000"/>
          <w:sz w:val="20"/>
          <w:u w:val="none"/>
        </w:rPr>
        <w:t xml:space="preserve"> of equity awards</w:t>
      </w:r>
      <w:r>
        <w:rPr>
          <w:rFonts w:ascii="Arial" w:eastAsia="Arial" w:hAnsi="Arial" w:cs="Arial"/>
          <w:b w:val="0"/>
          <w:i w:val="0"/>
          <w:color w:val="000000"/>
          <w:sz w:val="20"/>
          <w:u w:val="none"/>
        </w:rPr>
        <w:t xml:space="preserve"> that are granted</w:t>
      </w:r>
      <w:r>
        <w:rPr>
          <w:rFonts w:ascii="Arial" w:eastAsia="Arial" w:hAnsi="Arial" w:cs="Arial"/>
          <w:b w:val="0"/>
          <w:i w:val="0"/>
          <w:color w:val="000000"/>
          <w:sz w:val="20"/>
          <w:u w:val="none"/>
        </w:rPr>
        <w:t xml:space="preserve"> on a less</w:t>
      </w:r>
      <w:r>
        <w:rPr>
          <w:rFonts w:ascii="Arial" w:eastAsia="Arial" w:hAnsi="Arial" w:cs="Arial"/>
          <w:b w:val="0"/>
          <w:i w:val="0"/>
          <w:color w:val="000000"/>
          <w:sz w:val="20"/>
          <w:u w:val="none"/>
        </w:rPr>
        <w:t>-</w:t>
      </w:r>
      <w:r>
        <w:rPr>
          <w:rFonts w:ascii="Arial" w:eastAsia="Arial" w:hAnsi="Arial" w:cs="Arial"/>
          <w:b w:val="0"/>
          <w:i w:val="0"/>
          <w:color w:val="000000"/>
          <w:sz w:val="20"/>
          <w:u w:val="none"/>
        </w:rPr>
        <w:t>than</w:t>
      </w:r>
      <w:r>
        <w:rPr>
          <w:rFonts w:ascii="Arial" w:eastAsia="Arial" w:hAnsi="Arial" w:cs="Arial"/>
          <w:b w:val="0"/>
          <w:i w:val="0"/>
          <w:color w:val="000000"/>
          <w:sz w:val="20"/>
          <w:u w:val="none"/>
        </w:rPr>
        <w:t>-</w:t>
      </w:r>
      <w:r>
        <w:rPr>
          <w:rFonts w:ascii="Arial" w:eastAsia="Arial" w:hAnsi="Arial" w:cs="Arial"/>
          <w:b w:val="0"/>
          <w:i w:val="0"/>
          <w:color w:val="000000"/>
          <w:sz w:val="20"/>
          <w:u w:val="none"/>
        </w:rPr>
        <w:t>annual basis</w:t>
      </w:r>
      <w:r>
        <w:rPr>
          <w:rFonts w:ascii="Arial" w:eastAsia="Arial" w:hAnsi="Arial" w:cs="Arial"/>
          <w:b w:val="0"/>
          <w:i w:val="0"/>
          <w:color w:val="000000"/>
          <w:sz w:val="20"/>
          <w:u w:val="none"/>
        </w:rPr>
        <w:t xml:space="preserve"> are </w:t>
      </w:r>
      <w:r>
        <w:rPr>
          <w:rFonts w:ascii="Arial" w:eastAsia="Arial" w:hAnsi="Arial" w:cs="Arial"/>
          <w:b w:val="0"/>
          <w:i w:val="0"/>
          <w:color w:val="000000"/>
          <w:sz w:val="20"/>
          <w:u w:val="none"/>
        </w:rPr>
        <w:t>divided</w:t>
      </w:r>
      <w:r>
        <w:rPr>
          <w:rFonts w:ascii="Arial" w:eastAsia="Arial" w:hAnsi="Arial" w:cs="Arial"/>
          <w:b w:val="0"/>
          <w:i w:val="0"/>
          <w:color w:val="000000"/>
          <w:sz w:val="20"/>
          <w:u w:val="none"/>
        </w:rPr>
        <w:t xml:space="preserve"> by the number of years the award is inten</w:t>
      </w:r>
      <w:r>
        <w:rPr>
          <w:rFonts w:ascii="Arial" w:eastAsia="Arial" w:hAnsi="Arial" w:cs="Arial"/>
          <w:b w:val="0"/>
          <w:i w:val="0"/>
          <w:color w:val="000000"/>
          <w:sz w:val="20"/>
          <w:u w:val="none"/>
        </w:rPr>
        <w:t>ded to cover</w:t>
      </w:r>
      <w:r>
        <w:rPr>
          <w:rFonts w:ascii="Arial" w:eastAsia="Arial" w:hAnsi="Arial" w:cs="Arial"/>
          <w:b w:val="0"/>
          <w:i w:val="0"/>
          <w:color w:val="000000"/>
          <w:sz w:val="20"/>
          <w:u w:val="none"/>
        </w:rPr>
        <w:t xml:space="preserve"> and presented in each year</w:t>
      </w:r>
      <w:r>
        <w:rPr>
          <w:rFonts w:ascii="Arial" w:eastAsia="Arial" w:hAnsi="Arial" w:cs="Arial"/>
          <w:b w:val="0"/>
          <w:i w:val="0"/>
          <w:color w:val="000000"/>
          <w:sz w:val="20"/>
          <w:u w:val="none"/>
        </w:rPr>
        <w:t xml:space="preserve"> to which it applies includ</w:t>
      </w:r>
      <w:r>
        <w:rPr>
          <w:rFonts w:ascii="Arial" w:eastAsia="Arial" w:hAnsi="Arial" w:cs="Arial"/>
          <w:b w:val="0"/>
          <w:i w:val="0"/>
          <w:color w:val="000000"/>
          <w:sz w:val="20"/>
          <w:u w:val="none"/>
        </w:rPr>
        <w:t>ing the grant year</w:t>
      </w:r>
      <w:r>
        <w:rPr>
          <w:rFonts w:ascii="Arial" w:eastAsia="Arial" w:hAnsi="Arial" w:cs="Arial"/>
          <w:b w:val="0"/>
          <w:i w:val="0"/>
          <w:color w:val="000000"/>
          <w:sz w:val="20"/>
          <w:u w:val="none"/>
        </w:rPr>
        <w:t xml:space="preserve">, as detailed in the </w:t>
      </w:r>
      <w:r>
        <w:rPr>
          <w:rFonts w:ascii="Arial" w:eastAsia="Arial" w:hAnsi="Arial" w:cs="Arial"/>
          <w:b w:val="0"/>
          <w:i w:val="0"/>
          <w:color w:val="000000"/>
          <w:sz w:val="20"/>
          <w:u w:val="none"/>
        </w:rPr>
        <w:t>footnotes to the tables</w:t>
      </w:r>
      <w:r>
        <w:rPr>
          <w:rFonts w:ascii="Arial" w:eastAsia="Arial" w:hAnsi="Arial" w:cs="Arial"/>
          <w:b w:val="0"/>
          <w:i w:val="0"/>
          <w:color w:val="000000"/>
          <w:sz w:val="20"/>
          <w:u w:val="none"/>
        </w:rPr>
        <w:t xml:space="preserve"> below</w:t>
      </w:r>
      <w:r>
        <w:rPr>
          <w:rFonts w:ascii="Arial" w:eastAsia="Arial" w:hAnsi="Arial" w:cs="Arial"/>
          <w:b w:val="0"/>
          <w:i w:val="0"/>
          <w:color w:val="000000"/>
          <w:sz w:val="20"/>
          <w:u w:val="none"/>
        </w:rPr>
        <w:t>.</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For each executive, </w:t>
      </w:r>
      <w:r>
        <w:rPr>
          <w:rFonts w:ascii="Arial" w:eastAsia="Arial" w:hAnsi="Arial" w:cs="Arial"/>
          <w:b w:val="0"/>
          <w:i w:val="0"/>
          <w:color w:val="000000"/>
          <w:sz w:val="20"/>
          <w:u w:val="none"/>
        </w:rPr>
        <w:t>t</w:t>
      </w:r>
      <w:r>
        <w:rPr>
          <w:rFonts w:ascii="Arial" w:eastAsia="Arial" w:hAnsi="Arial" w:cs="Arial"/>
          <w:b w:val="0"/>
          <w:i w:val="0"/>
          <w:color w:val="000000"/>
          <w:sz w:val="20"/>
          <w:u w:val="none"/>
        </w:rPr>
        <w:t xml:space="preserve">he summaries also provide </w:t>
      </w:r>
      <w:r>
        <w:rPr>
          <w:rFonts w:ascii="Arial" w:eastAsia="Arial" w:hAnsi="Arial" w:cs="Arial"/>
          <w:b w:val="0"/>
          <w:i w:val="0"/>
          <w:color w:val="000000"/>
          <w:sz w:val="20"/>
          <w:u w:val="none"/>
        </w:rPr>
        <w:t>detail</w:t>
      </w:r>
      <w:r>
        <w:rPr>
          <w:rFonts w:ascii="Arial" w:eastAsia="Arial" w:hAnsi="Arial" w:cs="Arial"/>
          <w:b w:val="0"/>
          <w:i w:val="0"/>
          <w:color w:val="000000"/>
          <w:sz w:val="20"/>
          <w:u w:val="none"/>
        </w:rPr>
        <w:t xml:space="preserve"> on</w:t>
      </w:r>
      <w:r>
        <w:rPr>
          <w:rFonts w:ascii="Arial" w:eastAsia="Arial" w:hAnsi="Arial" w:cs="Arial"/>
          <w:b w:val="0"/>
          <w:i w:val="0"/>
          <w:color w:val="000000"/>
          <w:sz w:val="20"/>
          <w:u w:val="none"/>
        </w:rPr>
        <w:t xml:space="preserve"> any changes to compensation components</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the det</w:t>
      </w:r>
      <w:r>
        <w:rPr>
          <w:rFonts w:ascii="Arial" w:eastAsia="Arial" w:hAnsi="Arial" w:cs="Arial"/>
          <w:b w:val="0"/>
          <w:i w:val="0"/>
          <w:color w:val="000000"/>
          <w:sz w:val="20"/>
          <w:u w:val="none"/>
        </w:rPr>
        <w:t xml:space="preserve">ermination of </w:t>
      </w:r>
      <w:r>
        <w:rPr>
          <w:rFonts w:ascii="Arial" w:eastAsia="Arial" w:hAnsi="Arial" w:cs="Arial"/>
          <w:b w:val="0"/>
          <w:i w:val="0"/>
          <w:color w:val="000000"/>
          <w:sz w:val="20"/>
          <w:u w:val="none"/>
        </w:rPr>
        <w:t xml:space="preserve">actual </w:t>
      </w:r>
      <w:r>
        <w:rPr>
          <w:rFonts w:ascii="Arial" w:eastAsia="Arial" w:hAnsi="Arial" w:cs="Arial"/>
          <w:b w:val="0"/>
          <w:i w:val="0"/>
          <w:color w:val="000000"/>
          <w:sz w:val="20"/>
          <w:u w:val="none"/>
        </w:rPr>
        <w:t>2023 bonuses</w:t>
      </w:r>
      <w:r>
        <w:rPr>
          <w:rFonts w:ascii="Arial" w:eastAsia="Arial" w:hAnsi="Arial" w:cs="Arial"/>
          <w:b w:val="0"/>
          <w:i w:val="0"/>
          <w:color w:val="000000"/>
          <w:sz w:val="20"/>
          <w:u w:val="none"/>
        </w:rPr>
        <w:t>, and the</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settlement of any </w:t>
      </w:r>
      <w:r>
        <w:rPr>
          <w:rFonts w:ascii="Arial" w:eastAsia="Arial" w:hAnsi="Arial" w:cs="Arial"/>
          <w:b w:val="0"/>
          <w:i w:val="0"/>
          <w:color w:val="000000"/>
          <w:sz w:val="20"/>
          <w:u w:val="none"/>
        </w:rPr>
        <w:t>performance</w:t>
      </w:r>
      <w:r>
        <w:rPr>
          <w:rFonts w:ascii="Arial" w:eastAsia="Arial" w:hAnsi="Arial" w:cs="Arial"/>
          <w:b w:val="0"/>
          <w:i w:val="0"/>
          <w:color w:val="000000"/>
          <w:sz w:val="20"/>
          <w:u w:val="none"/>
        </w:rPr>
        <w:t>-based equity awards with a performance period ending December 31, 2023.</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 </w:t>
      </w:r>
    </w:p>
    <w:p>
      <w:pPr>
        <w:keepNext/>
        <w:keepLines w:val="0"/>
        <w:pageBreakBefore w:val="0"/>
        <w:widowControl/>
        <w:numPr>
          <w:ilvl w:val="0"/>
          <w:numId w:val="0"/>
        </w:numPr>
        <w:spacing w:before="0" w:after="100" w:line="288" w:lineRule="auto"/>
        <w:ind w:left="0" w:right="0" w:firstLine="0"/>
        <w:jc w:val="both"/>
        <w:outlineLvl w:val="9"/>
        <w:rPr>
          <w:rFonts w:ascii="Arial" w:eastAsia="Arial" w:hAnsi="Arial" w:cs="Arial"/>
          <w:b/>
          <w:i w:val="0"/>
          <w:color w:val="171449"/>
          <w:sz w:val="24"/>
          <w:u w:val="none"/>
        </w:rPr>
      </w:pPr>
      <w:r>
        <w:rPr>
          <w:rFonts w:ascii="Arial" w:eastAsia="Arial" w:hAnsi="Arial" w:cs="Arial"/>
          <w:b/>
          <w:i w:val="0"/>
          <w:color w:val="171449"/>
          <w:sz w:val="4"/>
          <w:u w:val="none"/>
        </w:rPr>
        <w:t xml:space="preserve"> </w:t>
      </w:r>
    </w:p>
    <w:p>
      <w:pPr>
        <w:keepNext/>
        <w:keepLines w:val="0"/>
        <w:pageBreakBefore w:val="0"/>
        <w:widowControl/>
        <w:numPr>
          <w:ilvl w:val="0"/>
          <w:numId w:val="0"/>
        </w:numPr>
        <w:spacing w:before="0" w:after="60" w:line="288" w:lineRule="auto"/>
        <w:ind w:left="0" w:right="0" w:firstLine="0"/>
        <w:jc w:val="both"/>
        <w:outlineLvl w:val="9"/>
        <w:sectPr>
          <w:headerReference w:type="default" r:id="rId241"/>
          <w:footerReference w:type="default" r:id="rId242"/>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171449"/>
          <w:sz w:val="24"/>
          <w:u w:val="none"/>
        </w:rPr>
      </w:pPr>
      <w:bookmarkStart w:id="85" w:name="Section88"/>
      <w:bookmarkEnd w:id="85"/>
      <w:r>
        <w:rPr>
          <w:rFonts w:ascii="Arial" w:eastAsia="Arial" w:hAnsi="Arial" w:cs="Arial"/>
          <w:b/>
          <w:i w:val="0"/>
          <w:color w:val="171449"/>
          <w:sz w:val="4"/>
          <w:u w:val="none"/>
        </w:rPr>
        <w:t xml:space="preserve"> </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500"/>
        <w:gridCol w:w="315"/>
        <w:gridCol w:w="844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00"/>
        </w:trPr>
        <w:tc>
          <w:tcPr>
            <w:tcW w:w="1500"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hanging="90"/>
              <w:jc w:val="left"/>
              <w:outlineLvl w:val="9"/>
              <w:rPr>
                <w:rFonts w:ascii="Arial" w:eastAsia="Arial" w:hAnsi="Arial" w:cs="Arial"/>
                <w:b w:val="0"/>
                <w:i w:val="0"/>
                <w:sz w:val="20"/>
              </w:rPr>
            </w:pPr>
            <w:r>
              <w:pict>
                <v:shape id="_x0000_i1237" type="#_x0000_t75" style="width:77.36pt;height:83.52pt">
                  <v:imagedata r:id="rId169" o:title=""/>
                  <o:lock v:ext="edit" aspectratio="t"/>
                </v:shape>
              </w:pict>
            </w:r>
          </w:p>
        </w:tc>
        <w:tc>
          <w:tcPr>
            <w:tcW w:w="315" w:type="dxa"/>
            <w:vMerge w:val="restart"/>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22"/>
                <w:u w:val="none"/>
              </w:rPr>
              <w:t xml:space="preserve">  Dominic Silvester</w:t>
            </w: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val="0"/>
                <w:i w:val="0"/>
                <w:color w:val="000000"/>
                <w:sz w:val="20"/>
                <w:u w:val="none"/>
              </w:rPr>
              <w:t xml:space="preserve">  Chief Executive Officer</w:t>
            </w:r>
          </w:p>
        </w:tc>
      </w:tr>
      <w:tr>
        <w:tblPrEx>
          <w:tblW w:w="10260" w:type="dxa"/>
          <w:tblInd w:w="0" w:type="dxa"/>
          <w:tblLayout w:type="fixed"/>
          <w:tblCellMar>
            <w:left w:w="108" w:type="dxa"/>
            <w:right w:w="108" w:type="dxa"/>
          </w:tblCellMar>
        </w:tblPrEx>
        <w:trPr>
          <w:cantSplit/>
          <w:trHeight w:hRule="exact" w:val="225"/>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20"/>
                <w:u w:val="none"/>
              </w:rPr>
              <w:t xml:space="preserve">  2023 Annual Compensation Mix</w:t>
            </w: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single" w:sz="12" w:space="0" w:color="4494D1"/>
            </w:tcBorders>
          </w:tcPr>
          <w:p>
            <w:pPr>
              <w:keepNext/>
              <w:pageBreakBefore w:val="0"/>
            </w:pPr>
          </w:p>
        </w:tc>
        <w:tc>
          <w:tcPr>
            <w:tcW w:w="8445" w:type="dxa"/>
            <w:vMerge w:val="restart"/>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hanging="1080"/>
              <w:jc w:val="left"/>
              <w:outlineLvl w:val="9"/>
              <w:rPr>
                <w:rFonts w:ascii="Arial" w:eastAsia="Arial" w:hAnsi="Arial" w:cs="Arial"/>
                <w:b/>
                <w:i w:val="0"/>
                <w:sz w:val="20"/>
              </w:rPr>
            </w:pPr>
            <w:r>
              <w:pict>
                <v:shape id="_x0000_i1238" type="#_x0000_t75" style="width:567pt;height:318.94pt">
                  <v:imagedata r:id="rId243" o:title=""/>
                  <o:lock v:ext="edit" aspectratio="t"/>
                </v:shape>
              </w:pict>
            </w: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single" w:sz="12" w:space="0" w:color="4494D1"/>
            </w:tcBorders>
          </w:tcPr>
          <w:p>
            <w:pPr>
              <w:keepNext/>
              <w:pageBreakBefore w:val="0"/>
            </w:pPr>
          </w:p>
        </w:tc>
        <w:tc>
          <w:tcPr>
            <w:tcW w:w="8445" w:type="dxa"/>
            <w:vMerge/>
            <w:tcBorders>
              <w:top w:val="nil"/>
              <w:left w:val="nil"/>
              <w:bottom w:val="nil"/>
              <w:right w:val="nil"/>
            </w:tcBorders>
          </w:tcPr>
          <w:p>
            <w:pPr>
              <w:keepNext/>
              <w:pageBreakBefore w:val="0"/>
            </w:pPr>
          </w:p>
        </w:tc>
      </w:tr>
      <w:tr>
        <w:tblPrEx>
          <w:tblW w:w="10260" w:type="dxa"/>
          <w:tblInd w:w="0" w:type="dxa"/>
          <w:tblLayout w:type="fixed"/>
          <w:tblCellMar>
            <w:left w:w="108" w:type="dxa"/>
            <w:right w:w="108" w:type="dxa"/>
          </w:tblCellMar>
        </w:tblPrEx>
        <w:trPr>
          <w:cantSplit/>
          <w:trHeight w:hRule="exact" w:val="1845"/>
        </w:trPr>
        <w:tc>
          <w:tcPr>
            <w:tcW w:w="150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315" w:type="dxa"/>
            <w:tcBorders>
              <w:top w:val="nil"/>
              <w:left w:val="nil"/>
              <w:bottom w:val="nil"/>
              <w:right w:val="single" w:sz="12" w:space="0" w:color="4494D1"/>
            </w:tcBorders>
            <w:tcMar>
              <w:top w:w="0" w:type="dxa"/>
              <w:left w:w="0" w:type="dxa"/>
              <w:bottom w:w="0" w:type="dxa"/>
              <w:right w:w="0" w:type="dxa"/>
            </w:tcMar>
            <w:vAlign w:val="bottom"/>
          </w:tcPr>
          <w:p>
            <w:pPr>
              <w:pageBreakBefore w:val="0"/>
              <w:spacing w:before="0" w:after="0"/>
            </w:pPr>
          </w:p>
        </w:tc>
        <w:tc>
          <w:tcPr>
            <w:tcW w:w="8445" w:type="dxa"/>
            <w:vMerge/>
            <w:tcBorders>
              <w:top w:val="nil"/>
              <w:left w:val="nil"/>
              <w:bottom w:val="nil"/>
              <w:right w:val="nil"/>
            </w:tcBorders>
          </w:tcPr>
          <w:p>
            <w:pPr>
              <w:pageBreakBefore w:val="0"/>
            </w:pPr>
          </w:p>
        </w:tc>
      </w:tr>
    </w:tbl>
    <w:p>
      <w:pPr>
        <w:keepNext w:val="0"/>
        <w:keepLines w:val="0"/>
        <w:pageBreakBefore w:val="0"/>
        <w:widowControl/>
        <w:numPr>
          <w:ilvl w:val="0"/>
          <w:numId w:val="0"/>
        </w:numPr>
        <w:spacing w:before="6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3"/>
        <w:rPr>
          <w:rFonts w:ascii="Arial" w:eastAsia="Arial" w:hAnsi="Arial" w:cs="Arial"/>
          <w:b/>
          <w:i w:val="0"/>
          <w:color w:val="4494D1"/>
          <w:sz w:val="20"/>
          <w:u w:val="none"/>
        </w:rPr>
      </w:pPr>
      <w:r>
        <w:rPr>
          <w:rFonts w:ascii="Arial" w:eastAsia="Arial" w:hAnsi="Arial" w:cs="Arial"/>
          <w:b/>
          <w:i w:val="0"/>
          <w:color w:val="4494D1"/>
          <w:sz w:val="20"/>
          <w:u w:val="none"/>
        </w:rPr>
        <w:t>2023 Compensation Ele</w:t>
      </w:r>
      <w:r>
        <w:rPr>
          <w:rFonts w:ascii="Arial" w:eastAsia="Arial" w:hAnsi="Arial" w:cs="Arial"/>
          <w:b/>
          <w:i w:val="0"/>
          <w:color w:val="4494D1"/>
          <w:sz w:val="20"/>
          <w:u w:val="none"/>
        </w:rPr>
        <w:t>ments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As shown in the table below, for 2023, the </w:t>
      </w:r>
      <w:r>
        <w:rPr>
          <w:rFonts w:ascii="Arial" w:eastAsia="Arial" w:hAnsi="Arial" w:cs="Arial"/>
          <w:b w:val="0"/>
          <w:i w:val="0"/>
          <w:sz w:val="20"/>
        </w:rPr>
        <w:t xml:space="preserve">Compensation Committee </w:t>
      </w:r>
      <w:r>
        <w:rPr>
          <w:rFonts w:ascii="Arial" w:eastAsia="Arial" w:hAnsi="Arial" w:cs="Arial"/>
          <w:b w:val="0"/>
          <w:i w:val="0"/>
          <w:sz w:val="20"/>
        </w:rPr>
        <w:t xml:space="preserve">maintained </w:t>
      </w:r>
      <w:r>
        <w:rPr>
          <w:rFonts w:ascii="Arial" w:eastAsia="Arial" w:hAnsi="Arial" w:cs="Arial"/>
          <w:b w:val="0"/>
          <w:i w:val="0"/>
          <w:sz w:val="20"/>
        </w:rPr>
        <w:t>Mr. Silvester's base salary</w:t>
      </w:r>
      <w:r>
        <w:rPr>
          <w:rFonts w:ascii="Arial" w:eastAsia="Arial" w:hAnsi="Arial" w:cs="Arial"/>
          <w:b w:val="0"/>
          <w:i w:val="0"/>
          <w:sz w:val="20"/>
        </w:rPr>
        <w:t xml:space="preserve">, which was </w:t>
      </w:r>
      <w:r>
        <w:rPr>
          <w:rFonts w:ascii="Arial" w:eastAsia="Arial" w:hAnsi="Arial" w:cs="Arial"/>
          <w:b w:val="0"/>
          <w:i w:val="0"/>
          <w:sz w:val="20"/>
        </w:rPr>
        <w:t>set in March 2021 in connection with his relocation to Bermuda and the extension of his employment</w:t>
      </w:r>
      <w:r>
        <w:rPr>
          <w:rFonts w:ascii="Arial" w:eastAsia="Arial" w:hAnsi="Arial" w:cs="Arial"/>
          <w:b w:val="0"/>
          <w:i w:val="0"/>
          <w:sz w:val="20"/>
        </w:rPr>
        <w:t xml:space="preserve"> term</w:t>
      </w:r>
      <w:r>
        <w:rPr>
          <w:rFonts w:ascii="Arial" w:eastAsia="Arial" w:hAnsi="Arial" w:cs="Arial"/>
          <w:b w:val="0"/>
          <w:i w:val="0"/>
          <w:sz w:val="20"/>
        </w:rPr>
        <w:t xml:space="preserve">, </w:t>
      </w:r>
      <w:r>
        <w:rPr>
          <w:rFonts w:ascii="Arial" w:eastAsia="Arial" w:hAnsi="Arial" w:cs="Arial"/>
          <w:b w:val="0"/>
          <w:i w:val="0"/>
          <w:sz w:val="20"/>
        </w:rPr>
        <w:t>as we</w:t>
      </w:r>
      <w:r>
        <w:rPr>
          <w:rFonts w:ascii="Arial" w:eastAsia="Arial" w:hAnsi="Arial" w:cs="Arial"/>
          <w:b w:val="0"/>
          <w:i w:val="0"/>
          <w:sz w:val="20"/>
        </w:rPr>
        <w:t>ll as</w:t>
      </w:r>
      <w:r>
        <w:rPr>
          <w:rFonts w:ascii="Arial" w:eastAsia="Arial" w:hAnsi="Arial" w:cs="Arial"/>
          <w:b w:val="0"/>
          <w:i w:val="0"/>
          <w:sz w:val="20"/>
        </w:rPr>
        <w:t xml:space="preserve"> his</w:t>
      </w:r>
      <w:r>
        <w:rPr>
          <w:rFonts w:ascii="Arial" w:eastAsia="Arial" w:hAnsi="Arial" w:cs="Arial"/>
          <w:b w:val="0"/>
          <w:i w:val="0"/>
          <w:sz w:val="20"/>
        </w:rPr>
        <w:t xml:space="preserve"> </w:t>
      </w:r>
      <w:r>
        <w:rPr>
          <w:rFonts w:ascii="Arial" w:eastAsia="Arial" w:hAnsi="Arial" w:cs="Arial"/>
          <w:b w:val="0"/>
          <w:i w:val="0"/>
          <w:sz w:val="20"/>
        </w:rPr>
        <w:t>annual cash incentive awa</w:t>
      </w:r>
      <w:r>
        <w:rPr>
          <w:rFonts w:ascii="Arial" w:eastAsia="Arial" w:hAnsi="Arial" w:cs="Arial"/>
          <w:b w:val="0"/>
          <w:i w:val="0"/>
          <w:sz w:val="20"/>
        </w:rPr>
        <w:t>rd</w:t>
      </w:r>
      <w:r>
        <w:rPr>
          <w:rFonts w:ascii="Arial" w:eastAsia="Arial" w:hAnsi="Arial" w:cs="Arial"/>
          <w:b w:val="0"/>
          <w:i w:val="0"/>
          <w:sz w:val="20"/>
        </w:rPr>
        <w:t xml:space="preserve"> target</w:t>
      </w:r>
      <w:r>
        <w:rPr>
          <w:rFonts w:ascii="Arial" w:eastAsia="Arial" w:hAnsi="Arial" w:cs="Arial"/>
          <w:b w:val="0"/>
          <w:i w:val="0"/>
          <w:sz w:val="20"/>
        </w:rPr>
        <w:t>.</w:t>
      </w:r>
      <w:r>
        <w:rPr>
          <w:rFonts w:ascii="Arial" w:eastAsia="Arial" w:hAnsi="Arial" w:cs="Arial"/>
          <w:b w:val="0"/>
          <w:i w:val="0"/>
          <w:sz w:val="20"/>
        </w:rPr>
        <w:t xml:space="preserve"> </w:t>
      </w:r>
      <w:r>
        <w:rPr>
          <w:rFonts w:ascii="Arial" w:eastAsia="Arial" w:hAnsi="Arial" w:cs="Arial"/>
          <w:b w:val="0"/>
          <w:i w:val="0"/>
          <w:sz w:val="20"/>
        </w:rPr>
        <w:t xml:space="preserve">No new equity awards were granted to Mr. Silvester in 2023. The Compensation Committee </w:t>
      </w:r>
      <w:r>
        <w:rPr>
          <w:rFonts w:ascii="Arial" w:eastAsia="Arial" w:hAnsi="Arial" w:cs="Arial"/>
          <w:b w:val="0"/>
          <w:i w:val="0"/>
          <w:sz w:val="20"/>
        </w:rPr>
        <w:t>does not consider Mr. Silvester eligible for annual LTI award</w:t>
      </w:r>
      <w:r>
        <w:rPr>
          <w:rFonts w:ascii="Arial" w:eastAsia="Arial" w:hAnsi="Arial" w:cs="Arial"/>
          <w:b w:val="0"/>
          <w:i w:val="0"/>
          <w:sz w:val="20"/>
        </w:rPr>
        <w:t>s, and</w:t>
      </w:r>
      <w:r>
        <w:rPr>
          <w:rFonts w:ascii="Arial" w:eastAsia="Arial" w:hAnsi="Arial" w:cs="Arial"/>
          <w:b w:val="0"/>
          <w:i w:val="0"/>
          <w:sz w:val="20"/>
        </w:rPr>
        <w:t xml:space="preserve"> intends the JSOP </w:t>
      </w:r>
      <w:r>
        <w:rPr>
          <w:rFonts w:ascii="Arial" w:eastAsia="Arial" w:hAnsi="Arial" w:cs="Arial"/>
          <w:b w:val="0"/>
          <w:i w:val="0"/>
          <w:sz w:val="20"/>
        </w:rPr>
        <w:t>A</w:t>
      </w:r>
      <w:r>
        <w:rPr>
          <w:rFonts w:ascii="Arial" w:eastAsia="Arial" w:hAnsi="Arial" w:cs="Arial"/>
          <w:b w:val="0"/>
          <w:i w:val="0"/>
          <w:sz w:val="20"/>
        </w:rPr>
        <w:t xml:space="preserve">ward granted to </w:t>
      </w:r>
      <w:r>
        <w:rPr>
          <w:rFonts w:ascii="Arial" w:eastAsia="Arial" w:hAnsi="Arial" w:cs="Arial"/>
          <w:b w:val="0"/>
          <w:i w:val="0"/>
          <w:sz w:val="20"/>
        </w:rPr>
        <w:t>Mr. Silvester in January 2020 and extended in July 2022</w:t>
      </w:r>
      <w:r>
        <w:rPr>
          <w:rFonts w:ascii="Arial" w:eastAsia="Arial" w:hAnsi="Arial" w:cs="Arial"/>
          <w:b w:val="0"/>
          <w:i w:val="0"/>
          <w:sz w:val="20"/>
        </w:rPr>
        <w:t xml:space="preserve"> to be the sole LTI award for </w:t>
      </w:r>
      <w:r>
        <w:rPr>
          <w:rFonts w:ascii="Arial" w:eastAsia="Arial" w:hAnsi="Arial" w:cs="Arial"/>
          <w:b w:val="0"/>
          <w:i w:val="0"/>
          <w:sz w:val="20"/>
        </w:rPr>
        <w:t>Mr. Silvester</w:t>
      </w:r>
      <w:r>
        <w:rPr>
          <w:rFonts w:ascii="Arial" w:eastAsia="Arial" w:hAnsi="Arial" w:cs="Arial"/>
          <w:b w:val="0"/>
          <w:i w:val="0"/>
          <w:sz w:val="20"/>
        </w:rPr>
        <w:t xml:space="preserve"> until it vests in January 2025.</w:t>
      </w:r>
      <w:r>
        <w:rPr>
          <w:rFonts w:ascii="Arial" w:eastAsia="Arial" w:hAnsi="Arial" w:cs="Arial"/>
          <w:b w:val="0"/>
          <w:i w:val="0"/>
          <w:sz w:val="20"/>
        </w:rPr>
        <w:t xml:space="preserve"> </w:t>
      </w:r>
      <w:r>
        <w:rPr>
          <w:rFonts w:ascii="Arial" w:eastAsia="Arial" w:hAnsi="Arial" w:cs="Arial"/>
          <w:b w:val="0"/>
          <w:i w:val="0"/>
          <w:color w:val="000000"/>
          <w:sz w:val="20"/>
          <w:u w:val="none"/>
        </w:rPr>
        <w:t xml:space="preserve">In setting Mr. Silvester's compensation, the </w:t>
      </w:r>
      <w:r>
        <w:rPr>
          <w:rFonts w:ascii="Arial" w:eastAsia="Arial" w:hAnsi="Arial" w:cs="Arial"/>
          <w:b w:val="0"/>
          <w:i w:val="0"/>
          <w:color w:val="000000"/>
          <w:sz w:val="20"/>
          <w:u w:val="none"/>
        </w:rPr>
        <w:t>Compensation Committee</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considered his </w:t>
      </w:r>
      <w:r>
        <w:rPr>
          <w:rFonts w:ascii="Arial" w:eastAsia="Arial" w:hAnsi="Arial" w:cs="Arial"/>
          <w:b w:val="0"/>
          <w:i w:val="0"/>
          <w:color w:val="000000"/>
          <w:sz w:val="20"/>
          <w:u w:val="none"/>
        </w:rPr>
        <w:t xml:space="preserve">legacy compensation arrangements, </w:t>
      </w:r>
      <w:r>
        <w:rPr>
          <w:rFonts w:ascii="Arial" w:eastAsia="Arial" w:hAnsi="Arial" w:cs="Arial"/>
          <w:b w:val="0"/>
          <w:i w:val="0"/>
          <w:color w:val="000000"/>
          <w:sz w:val="20"/>
          <w:u w:val="none"/>
        </w:rPr>
        <w:t>perf</w:t>
      </w:r>
      <w:r>
        <w:rPr>
          <w:rFonts w:ascii="Arial" w:eastAsia="Arial" w:hAnsi="Arial" w:cs="Arial"/>
          <w:b w:val="0"/>
          <w:i w:val="0"/>
          <w:color w:val="000000"/>
          <w:sz w:val="20"/>
          <w:u w:val="none"/>
        </w:rPr>
        <w:t>ormance</w:t>
      </w:r>
      <w:r>
        <w:rPr>
          <w:rFonts w:ascii="Arial" w:eastAsia="Arial" w:hAnsi="Arial" w:cs="Arial"/>
          <w:b w:val="0"/>
          <w:i w:val="0"/>
          <w:color w:val="000000"/>
          <w:sz w:val="20"/>
          <w:u w:val="none"/>
        </w:rPr>
        <w:t>,</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and the </w:t>
      </w:r>
      <w:r>
        <w:rPr>
          <w:rFonts w:ascii="Arial" w:eastAsia="Arial" w:hAnsi="Arial" w:cs="Arial"/>
          <w:b w:val="0"/>
          <w:i w:val="0"/>
          <w:color w:val="000000"/>
          <w:sz w:val="20"/>
          <w:u w:val="none"/>
        </w:rPr>
        <w:t xml:space="preserve">value to the </w:t>
      </w:r>
      <w:r>
        <w:rPr>
          <w:rFonts w:ascii="Arial" w:eastAsia="Arial" w:hAnsi="Arial" w:cs="Arial"/>
          <w:b w:val="0"/>
          <w:i w:val="0"/>
          <w:color w:val="000000"/>
          <w:sz w:val="20"/>
          <w:u w:val="none"/>
        </w:rPr>
        <w:t>C</w:t>
      </w:r>
      <w:r>
        <w:rPr>
          <w:rFonts w:ascii="Arial" w:eastAsia="Arial" w:hAnsi="Arial" w:cs="Arial"/>
          <w:b w:val="0"/>
          <w:i w:val="0"/>
          <w:color w:val="000000"/>
          <w:sz w:val="20"/>
          <w:u w:val="none"/>
        </w:rPr>
        <w:t>ompany</w:t>
      </w:r>
      <w:r>
        <w:rPr>
          <w:rFonts w:ascii="Arial" w:eastAsia="Arial" w:hAnsi="Arial" w:cs="Arial"/>
          <w:b w:val="0"/>
          <w:i w:val="0"/>
          <w:color w:val="000000"/>
          <w:sz w:val="20"/>
          <w:u w:val="none"/>
        </w:rPr>
        <w:t xml:space="preserve"> of</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leadership</w:t>
      </w:r>
      <w:r>
        <w:rPr>
          <w:rFonts w:ascii="Arial" w:eastAsia="Arial" w:hAnsi="Arial" w:cs="Arial"/>
          <w:b w:val="0"/>
          <w:i w:val="0"/>
          <w:color w:val="000000"/>
          <w:sz w:val="20"/>
          <w:u w:val="none"/>
        </w:rPr>
        <w:t xml:space="preserve"> continuity</w:t>
      </w:r>
      <w:r>
        <w:rPr>
          <w:rFonts w:ascii="Arial" w:eastAsia="Arial" w:hAnsi="Arial" w:cs="Arial"/>
          <w:b w:val="0"/>
          <w:i w:val="0"/>
          <w:color w:val="000000"/>
          <w:sz w:val="20"/>
          <w:u w:val="none"/>
        </w:rPr>
        <w:t>.</w:t>
      </w:r>
      <w:r>
        <w:rPr>
          <w:rFonts w:ascii="Arial" w:eastAsia="Arial" w:hAnsi="Arial" w:cs="Arial"/>
          <w:b w:val="0"/>
          <w:i w:val="0"/>
          <w:color w:val="000000"/>
          <w:sz w:val="20"/>
          <w:u w:val="none"/>
        </w:rPr>
        <w:t xml:space="preserve"> </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580"/>
        <w:gridCol w:w="3690"/>
        <w:gridCol w:w="1995"/>
        <w:gridCol w:w="199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705"/>
        </w:trPr>
        <w:tc>
          <w:tcPr>
            <w:tcW w:w="2580"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3690"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Type of Compensation</w:t>
            </w:r>
          </w:p>
          <w:p>
            <w:pPr>
              <w:pageBreakBefore w:val="0"/>
              <w:numPr>
                <w:ilvl w:val="0"/>
                <w:numId w:val="0"/>
              </w:numPr>
              <w:spacing w:before="0" w:after="30" w:line="240" w:lineRule="auto"/>
              <w:ind w:left="0" w:right="0" w:firstLine="0"/>
              <w:jc w:val="left"/>
              <w:outlineLvl w:val="9"/>
              <w:rPr>
                <w:rFonts w:ascii="Arial" w:eastAsia="Arial" w:hAnsi="Arial" w:cs="Arial"/>
                <w:b/>
                <w:i w:val="0"/>
                <w:sz w:val="6"/>
              </w:rPr>
            </w:pPr>
            <w:r>
              <w:rPr>
                <w:rFonts w:ascii="Arial" w:eastAsia="Arial" w:hAnsi="Arial" w:cs="Arial"/>
                <w:b/>
                <w:i w:val="0"/>
                <w:sz w:val="6"/>
              </w:rPr>
              <w:t xml:space="preserve"> </w:t>
            </w:r>
          </w:p>
        </w:tc>
        <w:tc>
          <w:tcPr>
            <w:tcW w:w="199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 xml:space="preserve">2023 </w:t>
            </w:r>
            <w:r>
              <w:rPr>
                <w:rFonts w:ascii="Arial" w:eastAsia="Arial" w:hAnsi="Arial" w:cs="Arial"/>
                <w:b/>
                <w:i w:val="0"/>
                <w:sz w:val="18"/>
              </w:rPr>
              <w:t>Amounts</w:t>
            </w:r>
          </w:p>
          <w:p>
            <w:pPr>
              <w:pageBreakBefore w:val="0"/>
              <w:numPr>
                <w:ilvl w:val="0"/>
                <w:numId w:val="0"/>
              </w:numPr>
              <w:spacing w:before="0" w:after="30" w:line="240" w:lineRule="auto"/>
              <w:ind w:left="0" w:right="0" w:firstLine="0"/>
              <w:jc w:val="left"/>
              <w:outlineLvl w:val="9"/>
              <w:rPr>
                <w:rFonts w:ascii="Arial" w:eastAsia="Arial" w:hAnsi="Arial" w:cs="Arial"/>
                <w:b/>
                <w:i w:val="0"/>
                <w:sz w:val="8"/>
              </w:rPr>
            </w:pPr>
            <w:r>
              <w:rPr>
                <w:rFonts w:ascii="Arial" w:eastAsia="Arial" w:hAnsi="Arial" w:cs="Arial"/>
                <w:b/>
                <w:i w:val="0"/>
                <w:sz w:val="8"/>
              </w:rPr>
              <w:t xml:space="preserve"> </w:t>
            </w:r>
          </w:p>
        </w:tc>
        <w:tc>
          <w:tcPr>
            <w:tcW w:w="199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 xml:space="preserve">2022 </w:t>
            </w:r>
            <w:r>
              <w:rPr>
                <w:rFonts w:ascii="Arial" w:eastAsia="Arial" w:hAnsi="Arial" w:cs="Arial"/>
                <w:b/>
                <w:i w:val="0"/>
                <w:sz w:val="18"/>
              </w:rPr>
              <w:t>Amounts</w:t>
            </w:r>
          </w:p>
          <w:p>
            <w:pPr>
              <w:pageBreakBefore w:val="0"/>
              <w:numPr>
                <w:ilvl w:val="0"/>
                <w:numId w:val="0"/>
              </w:numPr>
              <w:spacing w:before="0" w:after="30" w:line="240" w:lineRule="auto"/>
              <w:ind w:left="0" w:right="0" w:firstLine="0"/>
              <w:jc w:val="left"/>
              <w:outlineLvl w:val="9"/>
              <w:rPr>
                <w:rFonts w:ascii="Arial" w:eastAsia="Arial" w:hAnsi="Arial" w:cs="Arial"/>
                <w:b/>
                <w:i w:val="0"/>
                <w:sz w:val="8"/>
              </w:rPr>
            </w:pPr>
            <w:r>
              <w:rPr>
                <w:rFonts w:ascii="Arial" w:eastAsia="Arial" w:hAnsi="Arial" w:cs="Arial"/>
                <w:b/>
                <w:i w:val="0"/>
                <w:sz w:val="8"/>
              </w:rPr>
              <w:t xml:space="preserve"> </w:t>
            </w:r>
          </w:p>
        </w:tc>
      </w:tr>
      <w:tr>
        <w:tblPrEx>
          <w:tblW w:w="10260" w:type="dxa"/>
          <w:tblInd w:w="0" w:type="dxa"/>
          <w:tblLayout w:type="fixed"/>
          <w:tblCellMar>
            <w:left w:w="108" w:type="dxa"/>
            <w:right w:w="108" w:type="dxa"/>
          </w:tblCellMar>
        </w:tblPrEx>
        <w:trPr>
          <w:cantSplit/>
          <w:trHeight w:hRule="exact" w:val="315"/>
        </w:trPr>
        <w:tc>
          <w:tcPr>
            <w:tcW w:w="2580" w:type="dxa"/>
            <w:tcBorders>
              <w:top w:val="single" w:sz="12" w:space="0" w:color="4494D1"/>
              <w:left w:val="nil"/>
              <w:bottom w:val="single" w:sz="8" w:space="0" w:color="B6B6B6"/>
              <w:right w:val="nil"/>
            </w:tcBorders>
            <w:tcMar>
              <w:top w:w="0" w:type="dxa"/>
              <w:left w:w="53" w:type="dxa"/>
              <w:bottom w:w="0" w:type="dxa"/>
              <w:right w:w="53"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Base Salary</w:t>
            </w:r>
          </w:p>
        </w:tc>
        <w:tc>
          <w:tcPr>
            <w:tcW w:w="3690" w:type="dxa"/>
            <w:tcBorders>
              <w:top w:val="single" w:sz="12" w:space="0" w:color="4494D1"/>
              <w:left w:val="nil"/>
              <w:bottom w:val="single" w:sz="8" w:space="0" w:color="B6B6B6"/>
              <w:right w:val="nil"/>
            </w:tcBorders>
            <w:tcMar>
              <w:top w:w="0" w:type="dxa"/>
              <w:left w:w="53" w:type="dxa"/>
              <w:bottom w:w="0" w:type="dxa"/>
              <w:right w:w="53"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Fixed</w:t>
            </w:r>
          </w:p>
        </w:tc>
        <w:tc>
          <w:tcPr>
            <w:tcW w:w="199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$2,500,000</w:t>
            </w:r>
          </w:p>
        </w:tc>
        <w:tc>
          <w:tcPr>
            <w:tcW w:w="199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$2,500,000</w:t>
            </w:r>
          </w:p>
        </w:tc>
      </w:tr>
      <w:tr>
        <w:tblPrEx>
          <w:tblW w:w="10260" w:type="dxa"/>
          <w:tblInd w:w="0" w:type="dxa"/>
          <w:tblLayout w:type="fixed"/>
          <w:tblCellMar>
            <w:left w:w="108" w:type="dxa"/>
            <w:right w:w="108" w:type="dxa"/>
          </w:tblCellMar>
        </w:tblPrEx>
        <w:trPr>
          <w:cantSplit/>
          <w:trHeight w:hRule="exact" w:val="540"/>
        </w:trPr>
        <w:tc>
          <w:tcPr>
            <w:tcW w:w="2580"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numPr>
                <w:ilvl w:val="0"/>
                <w:numId w:val="0"/>
              </w:numPr>
              <w:spacing w:before="0" w:after="6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Annual </w:t>
            </w:r>
            <w:r>
              <w:rPr>
                <w:rFonts w:ascii="Arial" w:eastAsia="Arial" w:hAnsi="Arial" w:cs="Arial"/>
                <w:b w:val="0"/>
                <w:i w:val="0"/>
                <w:sz w:val="18"/>
              </w:rPr>
              <w:t xml:space="preserve">Cash </w:t>
            </w:r>
          </w:p>
          <w:p>
            <w:pPr>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Incentive Award</w:t>
            </w:r>
            <w:r>
              <w:rPr>
                <w:rFonts w:ascii="Arial" w:eastAsia="Arial" w:hAnsi="Arial" w:cs="Arial"/>
                <w:b w:val="0"/>
                <w:i w:val="0"/>
                <w:sz w:val="18"/>
              </w:rPr>
              <w:t xml:space="preserve"> (</w:t>
            </w:r>
            <w:r>
              <w:rPr>
                <w:rFonts w:ascii="Arial" w:eastAsia="Arial" w:hAnsi="Arial" w:cs="Arial"/>
                <w:b w:val="0"/>
                <w:i w:val="0"/>
                <w:sz w:val="18"/>
              </w:rPr>
              <w:t>T</w:t>
            </w:r>
            <w:r>
              <w:rPr>
                <w:rFonts w:ascii="Arial" w:eastAsia="Arial" w:hAnsi="Arial" w:cs="Arial"/>
                <w:b w:val="0"/>
                <w:i w:val="0"/>
                <w:sz w:val="18"/>
              </w:rPr>
              <w:t>arget)</w:t>
            </w:r>
          </w:p>
        </w:tc>
        <w:tc>
          <w:tcPr>
            <w:tcW w:w="3690"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line="240" w:lineRule="auto"/>
              <w:jc w:val="left"/>
            </w:pPr>
            <w:r>
              <w:rPr>
                <w:rFonts w:ascii="Arial" w:eastAsia="Arial" w:hAnsi="Arial" w:cs="Arial"/>
                <w:b w:val="0"/>
                <w:i w:val="0"/>
                <w:color w:val="000000"/>
                <w:sz w:val="18"/>
                <w:u w:val="none"/>
              </w:rPr>
              <w:t>Performance-Based</w:t>
            </w:r>
          </w:p>
          <w:p>
            <w:pPr>
              <w:spacing w:after="0" w:line="240" w:lineRule="auto"/>
              <w:jc w:val="left"/>
            </w:pP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$3,750,000</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$3,750,000</w:t>
            </w:r>
          </w:p>
        </w:tc>
      </w:tr>
      <w:tr>
        <w:tblPrEx>
          <w:tblW w:w="10260" w:type="dxa"/>
          <w:tblInd w:w="0" w:type="dxa"/>
          <w:tblLayout w:type="fixed"/>
          <w:tblCellMar>
            <w:left w:w="108" w:type="dxa"/>
            <w:right w:w="108" w:type="dxa"/>
          </w:tblCellMar>
        </w:tblPrEx>
        <w:trPr>
          <w:cantSplit/>
          <w:trHeight w:hRule="exact" w:val="315"/>
        </w:trPr>
        <w:tc>
          <w:tcPr>
            <w:tcW w:w="2580" w:type="dxa"/>
            <w:vMerge w:val="restart"/>
            <w:tcBorders>
              <w:top w:val="nil"/>
              <w:left w:val="nil"/>
              <w:bottom w:val="nil"/>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Equity Award (Annualized Grant Date Fair Value)</w:t>
            </w:r>
          </w:p>
        </w:tc>
        <w:tc>
          <w:tcPr>
            <w:tcW w:w="3690" w:type="dxa"/>
            <w:tcBorders>
              <w:top w:val="single" w:sz="8" w:space="0" w:color="B6B6B6"/>
              <w:left w:val="nil"/>
              <w:bottom w:val="single" w:sz="8" w:space="0" w:color="B6B6B6"/>
              <w:right w:val="nil"/>
            </w:tcBorders>
            <w:tcMar>
              <w:top w:w="0" w:type="dxa"/>
              <w:left w:w="53" w:type="dxa"/>
              <w:bottom w:w="0" w:type="dxa"/>
              <w:right w:w="53"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Performance-Based (Cliff-Vesting PSUs)</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w:t>
            </w:r>
          </w:p>
        </w:tc>
      </w:tr>
      <w:tr>
        <w:tblPrEx>
          <w:tblW w:w="10260" w:type="dxa"/>
          <w:tblInd w:w="0" w:type="dxa"/>
          <w:tblLayout w:type="fixed"/>
          <w:tblCellMar>
            <w:left w:w="108" w:type="dxa"/>
            <w:right w:w="108" w:type="dxa"/>
          </w:tblCellMar>
        </w:tblPrEx>
        <w:trPr>
          <w:cantSplit/>
          <w:trHeight w:hRule="exact" w:val="315"/>
        </w:trPr>
        <w:tc>
          <w:tcPr>
            <w:tcW w:w="2580" w:type="dxa"/>
            <w:vMerge/>
            <w:tcBorders>
              <w:top w:val="nil"/>
              <w:left w:val="nil"/>
              <w:bottom w:val="nil"/>
              <w:right w:val="nil"/>
            </w:tcBorders>
          </w:tcPr>
          <w:p>
            <w:pPr>
              <w:keepNext/>
              <w:pageBreakBefore w:val="0"/>
            </w:pPr>
          </w:p>
        </w:tc>
        <w:tc>
          <w:tcPr>
            <w:tcW w:w="3690" w:type="dxa"/>
            <w:tcBorders>
              <w:top w:val="single" w:sz="8" w:space="0" w:color="B6B6B6"/>
              <w:left w:val="nil"/>
              <w:bottom w:val="single" w:sz="8" w:space="0" w:color="B6B6B6"/>
              <w:right w:val="nil"/>
            </w:tcBorders>
            <w:tcMar>
              <w:top w:w="0" w:type="dxa"/>
              <w:left w:w="53" w:type="dxa"/>
              <w:bottom w:w="0" w:type="dxa"/>
              <w:right w:w="53"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At-Risk (Tranche-Vesting RSUs)</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w:t>
            </w:r>
          </w:p>
        </w:tc>
      </w:tr>
      <w:tr>
        <w:tblPrEx>
          <w:tblW w:w="10260" w:type="dxa"/>
          <w:tblInd w:w="0" w:type="dxa"/>
          <w:tblLayout w:type="fixed"/>
          <w:tblCellMar>
            <w:left w:w="108" w:type="dxa"/>
            <w:right w:w="108" w:type="dxa"/>
          </w:tblCellMar>
        </w:tblPrEx>
        <w:trPr>
          <w:cantSplit/>
          <w:trHeight w:hRule="exact" w:val="315"/>
        </w:trPr>
        <w:tc>
          <w:tcPr>
            <w:tcW w:w="2580" w:type="dxa"/>
            <w:vMerge/>
            <w:tcBorders>
              <w:top w:val="nil"/>
              <w:left w:val="nil"/>
              <w:bottom w:val="single" w:sz="8" w:space="0" w:color="B6B6B6"/>
              <w:right w:val="nil"/>
            </w:tcBorders>
          </w:tcPr>
          <w:p>
            <w:pPr>
              <w:keepNext/>
              <w:pageBreakBefore w:val="0"/>
            </w:pPr>
          </w:p>
        </w:tc>
        <w:tc>
          <w:tcPr>
            <w:tcW w:w="3690" w:type="dxa"/>
            <w:tcBorders>
              <w:top w:val="single" w:sz="8" w:space="0" w:color="B6B6B6"/>
              <w:left w:val="nil"/>
              <w:bottom w:val="single" w:sz="8" w:space="0" w:color="B6B6B6"/>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Performance Based JSOP</w:t>
            </w:r>
            <w:r>
              <w:rPr>
                <w:rFonts w:ascii="Arial" w:eastAsia="Arial" w:hAnsi="Arial" w:cs="Arial"/>
                <w:b w:val="0"/>
                <w:i w:val="0"/>
                <w:sz w:val="18"/>
              </w:rPr>
              <w:t xml:space="preserve"> Award</w:t>
            </w:r>
            <w:r>
              <w:rPr>
                <w:rFonts w:ascii="Arial" w:eastAsia="Arial" w:hAnsi="Arial" w:cs="Arial"/>
                <w:b w:val="0"/>
                <w:i w:val="0"/>
                <w:sz w:val="18"/>
                <w:vertAlign w:val="superscript"/>
              </w:rPr>
              <w:t>(1)</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$5,812,414</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$5,812,414</w:t>
            </w:r>
          </w:p>
        </w:tc>
      </w:tr>
      <w:tr>
        <w:tblPrEx>
          <w:tblW w:w="10260" w:type="dxa"/>
          <w:tblInd w:w="0" w:type="dxa"/>
          <w:tblLayout w:type="fixed"/>
          <w:tblCellMar>
            <w:left w:w="108" w:type="dxa"/>
            <w:right w:w="108" w:type="dxa"/>
          </w:tblCellMar>
        </w:tblPrEx>
        <w:trPr>
          <w:cantSplit/>
          <w:trHeight w:hRule="exact" w:val="315"/>
        </w:trPr>
        <w:tc>
          <w:tcPr>
            <w:tcW w:w="2580" w:type="dxa"/>
            <w:tcBorders>
              <w:top w:val="single" w:sz="8" w:space="0" w:color="B6B6B6"/>
              <w:left w:val="nil"/>
              <w:bottom w:val="nil"/>
              <w:right w:val="nil"/>
            </w:tcBorders>
            <w:tcMar>
              <w:top w:w="0" w:type="dxa"/>
              <w:left w:w="53" w:type="dxa"/>
              <w:bottom w:w="0" w:type="dxa"/>
              <w:right w:w="53" w:type="dxa"/>
            </w:tcMar>
            <w:vAlign w:val="bottom"/>
          </w:tcPr>
          <w:p>
            <w:pPr>
              <w:pageBreakBefore w:val="0"/>
              <w:spacing w:before="33" w:after="30" w:line="240" w:lineRule="auto"/>
              <w:jc w:val="left"/>
            </w:pPr>
            <w:r>
              <w:rPr>
                <w:rFonts w:ascii="Arial" w:eastAsia="Arial" w:hAnsi="Arial" w:cs="Arial"/>
                <w:b/>
                <w:i w:val="0"/>
                <w:color w:val="000000"/>
                <w:sz w:val="18"/>
                <w:u w:val="none"/>
              </w:rPr>
              <w:t>Annual Compensation Mix</w:t>
            </w:r>
          </w:p>
        </w:tc>
        <w:tc>
          <w:tcPr>
            <w:tcW w:w="3690" w:type="dxa"/>
            <w:tcBorders>
              <w:top w:val="single" w:sz="8" w:space="0" w:color="B6B6B6"/>
              <w:left w:val="nil"/>
              <w:bottom w:val="nil"/>
              <w:right w:val="nil"/>
            </w:tcBorders>
            <w:tcMar>
              <w:top w:w="0" w:type="dxa"/>
              <w:left w:w="0" w:type="dxa"/>
              <w:bottom w:w="0" w:type="dxa"/>
              <w:right w:w="0" w:type="dxa"/>
            </w:tcMar>
            <w:vAlign w:val="bottom"/>
          </w:tcPr>
          <w:p>
            <w:pPr>
              <w:pageBreakBefore w:val="0"/>
              <w:spacing w:before="0" w:after="0"/>
            </w:pPr>
          </w:p>
        </w:tc>
        <w:tc>
          <w:tcPr>
            <w:tcW w:w="1995" w:type="dxa"/>
            <w:tcBorders>
              <w:top w:val="single" w:sz="8" w:space="0" w:color="B6B6B6"/>
              <w:left w:val="nil"/>
              <w:bottom w:val="nil"/>
              <w:right w:val="nil"/>
            </w:tcBorders>
            <w:tcMar>
              <w:top w:w="0" w:type="dxa"/>
              <w:left w:w="53" w:type="dxa"/>
              <w:bottom w:w="0" w:type="dxa"/>
              <w:right w:w="15" w:type="dxa"/>
            </w:tcMar>
            <w:vAlign w:val="bottom"/>
          </w:tcPr>
          <w:p>
            <w:pPr>
              <w:pageBreakBefore w:val="0"/>
              <w:spacing w:before="33" w:after="30" w:line="240" w:lineRule="auto"/>
              <w:jc w:val="left"/>
            </w:pPr>
            <w:r>
              <w:rPr>
                <w:rFonts w:ascii="Arial" w:eastAsia="Arial" w:hAnsi="Arial" w:cs="Arial"/>
                <w:b/>
                <w:i w:val="0"/>
                <w:color w:val="000000"/>
                <w:sz w:val="18"/>
                <w:u w:val="none"/>
              </w:rPr>
              <w:t>$12,062,414</w:t>
            </w:r>
          </w:p>
        </w:tc>
        <w:tc>
          <w:tcPr>
            <w:tcW w:w="1995" w:type="dxa"/>
            <w:tcBorders>
              <w:top w:val="single" w:sz="8" w:space="0" w:color="B6B6B6"/>
              <w:left w:val="nil"/>
              <w:bottom w:val="nil"/>
              <w:right w:val="nil"/>
            </w:tcBorders>
            <w:tcMar>
              <w:top w:w="0" w:type="dxa"/>
              <w:left w:w="53" w:type="dxa"/>
              <w:bottom w:w="0" w:type="dxa"/>
              <w:right w:w="15" w:type="dxa"/>
            </w:tcMar>
            <w:vAlign w:val="bottom"/>
          </w:tcPr>
          <w:p>
            <w:pPr>
              <w:pageBreakBefore w:val="0"/>
              <w:spacing w:before="33" w:after="30" w:line="240" w:lineRule="auto"/>
              <w:jc w:val="left"/>
            </w:pPr>
            <w:r>
              <w:rPr>
                <w:rFonts w:ascii="Arial" w:eastAsia="Arial" w:hAnsi="Arial" w:cs="Arial"/>
                <w:b/>
                <w:i w:val="0"/>
                <w:color w:val="000000"/>
                <w:sz w:val="18"/>
                <w:u w:val="none"/>
              </w:rPr>
              <w:t>$12,062,414</w:t>
            </w:r>
          </w:p>
        </w:tc>
      </w:tr>
    </w:tbl>
    <w:p>
      <w:pPr>
        <w:keepNext w:val="0"/>
        <w:keepLines w:val="0"/>
        <w:pageBreakBefore w:val="0"/>
        <w:widowControl/>
        <w:numPr>
          <w:ilvl w:val="0"/>
          <w:numId w:val="0"/>
        </w:numPr>
        <w:spacing w:before="120" w:after="60" w:line="288" w:lineRule="auto"/>
        <w:ind w:left="360" w:right="0" w:hanging="360"/>
        <w:jc w:val="left"/>
        <w:outlineLvl w:val="9"/>
        <w:rPr>
          <w:rFonts w:ascii="Arial" w:eastAsia="Arial" w:hAnsi="Arial" w:cs="Arial"/>
          <w:b w:val="0"/>
          <w:i w:val="0"/>
          <w:color w:val="969698"/>
          <w:sz w:val="16"/>
          <w:u w:val="none"/>
        </w:rPr>
      </w:pPr>
      <w:r>
        <w:rPr>
          <w:rFonts w:ascii="Arial" w:eastAsia="Arial" w:hAnsi="Arial" w:cs="Arial"/>
          <w:b w:val="0"/>
          <w:i w:val="0"/>
          <w:color w:val="969698"/>
          <w:sz w:val="16"/>
          <w:u w:val="none"/>
        </w:rPr>
        <w:t>(1)</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T</w:t>
      </w:r>
      <w:r>
        <w:rPr>
          <w:rFonts w:ascii="Arial" w:eastAsia="Arial" w:hAnsi="Arial" w:cs="Arial"/>
          <w:b w:val="0"/>
          <w:i w:val="0"/>
          <w:color w:val="969698"/>
          <w:sz w:val="16"/>
          <w:u w:val="none"/>
        </w:rPr>
        <w:t xml:space="preserve">he </w:t>
      </w:r>
      <w:r>
        <w:rPr>
          <w:rFonts w:ascii="Arial" w:eastAsia="Arial" w:hAnsi="Arial" w:cs="Arial"/>
          <w:b w:val="0"/>
          <w:i w:val="0"/>
          <w:color w:val="969698"/>
          <w:sz w:val="16"/>
          <w:u w:val="none"/>
        </w:rPr>
        <w:t>Equit</w:t>
      </w:r>
      <w:r>
        <w:rPr>
          <w:rFonts w:ascii="Arial" w:eastAsia="Arial" w:hAnsi="Arial" w:cs="Arial"/>
          <w:b w:val="0"/>
          <w:i w:val="0"/>
          <w:color w:val="969698"/>
          <w:sz w:val="16"/>
          <w:u w:val="none"/>
        </w:rPr>
        <w:t xml:space="preserve">y Award amount </w:t>
      </w:r>
      <w:r>
        <w:rPr>
          <w:rFonts w:ascii="Arial" w:eastAsia="Arial" w:hAnsi="Arial" w:cs="Arial"/>
          <w:b w:val="0"/>
          <w:i w:val="0"/>
          <w:color w:val="969698"/>
          <w:sz w:val="16"/>
          <w:u w:val="none"/>
        </w:rPr>
        <w:t>sho</w:t>
      </w:r>
      <w:r>
        <w:rPr>
          <w:rFonts w:ascii="Arial" w:eastAsia="Arial" w:hAnsi="Arial" w:cs="Arial"/>
          <w:b w:val="0"/>
          <w:i w:val="0"/>
          <w:color w:val="969698"/>
          <w:sz w:val="16"/>
          <w:u w:val="none"/>
        </w:rPr>
        <w:t>wn for 2022 and 202</w:t>
      </w:r>
      <w:r>
        <w:rPr>
          <w:rFonts w:ascii="Arial" w:eastAsia="Arial" w:hAnsi="Arial" w:cs="Arial"/>
          <w:b w:val="0"/>
          <w:i w:val="0"/>
          <w:color w:val="969698"/>
          <w:sz w:val="16"/>
          <w:u w:val="none"/>
        </w:rPr>
        <w:t>3 is an annualized amoun</w:t>
      </w:r>
      <w:r>
        <w:rPr>
          <w:rFonts w:ascii="Arial" w:eastAsia="Arial" w:hAnsi="Arial" w:cs="Arial"/>
          <w:b w:val="0"/>
          <w:i w:val="0"/>
          <w:color w:val="969698"/>
          <w:sz w:val="16"/>
          <w:u w:val="none"/>
        </w:rPr>
        <w:t>t,</w:t>
      </w:r>
      <w:r>
        <w:rPr>
          <w:rFonts w:ascii="Arial" w:eastAsia="Arial" w:hAnsi="Arial" w:cs="Arial"/>
          <w:b w:val="0"/>
          <w:i w:val="0"/>
          <w:color w:val="969698"/>
          <w:sz w:val="16"/>
          <w:u w:val="none"/>
        </w:rPr>
        <w:t xml:space="preserve"> ca</w:t>
      </w:r>
      <w:r>
        <w:rPr>
          <w:rFonts w:ascii="Arial" w:eastAsia="Arial" w:hAnsi="Arial" w:cs="Arial"/>
          <w:b w:val="0"/>
          <w:i w:val="0"/>
          <w:color w:val="969698"/>
          <w:sz w:val="16"/>
          <w:u w:val="none"/>
        </w:rPr>
        <w:t>lculated by d</w:t>
      </w:r>
      <w:r>
        <w:rPr>
          <w:rFonts w:ascii="Arial" w:eastAsia="Arial" w:hAnsi="Arial" w:cs="Arial"/>
          <w:b w:val="0"/>
          <w:i w:val="0"/>
          <w:color w:val="969698"/>
          <w:sz w:val="16"/>
          <w:u w:val="none"/>
        </w:rPr>
        <w:t xml:space="preserve">ividing the grant date </w:t>
      </w:r>
      <w:r>
        <w:rPr>
          <w:rFonts w:ascii="Arial" w:eastAsia="Arial" w:hAnsi="Arial" w:cs="Arial"/>
          <w:b w:val="0"/>
          <w:i w:val="0"/>
          <w:color w:val="969698"/>
          <w:sz w:val="16"/>
          <w:u w:val="none"/>
        </w:rPr>
        <w:t xml:space="preserve">fair </w:t>
      </w:r>
      <w:r>
        <w:rPr>
          <w:rFonts w:ascii="Arial" w:eastAsia="Arial" w:hAnsi="Arial" w:cs="Arial"/>
          <w:b w:val="0"/>
          <w:i w:val="0"/>
          <w:color w:val="969698"/>
          <w:sz w:val="16"/>
          <w:u w:val="none"/>
        </w:rPr>
        <w:t xml:space="preserve">value of the </w:t>
      </w:r>
      <w:r>
        <w:rPr>
          <w:rFonts w:ascii="Arial" w:eastAsia="Arial" w:hAnsi="Arial" w:cs="Arial"/>
          <w:b w:val="0"/>
          <w:i w:val="0"/>
          <w:color w:val="969698"/>
          <w:sz w:val="16"/>
          <w:u w:val="none"/>
        </w:rPr>
        <w:t xml:space="preserve">JSOP </w:t>
      </w:r>
      <w:r>
        <w:rPr>
          <w:rFonts w:ascii="Arial" w:eastAsia="Arial" w:hAnsi="Arial" w:cs="Arial"/>
          <w:b w:val="0"/>
          <w:i w:val="0"/>
          <w:color w:val="969698"/>
          <w:sz w:val="16"/>
          <w:u w:val="none"/>
        </w:rPr>
        <w:t>A</w:t>
      </w:r>
      <w:r>
        <w:rPr>
          <w:rFonts w:ascii="Arial" w:eastAsia="Arial" w:hAnsi="Arial" w:cs="Arial"/>
          <w:b w:val="0"/>
          <w:i w:val="0"/>
          <w:color w:val="969698"/>
          <w:sz w:val="16"/>
          <w:u w:val="none"/>
        </w:rPr>
        <w:t>ward</w:t>
      </w:r>
      <w:r>
        <w:rPr>
          <w:rFonts w:ascii="Arial" w:eastAsia="Arial" w:hAnsi="Arial" w:cs="Arial"/>
          <w:b w:val="0"/>
          <w:i w:val="0"/>
          <w:color w:val="969698"/>
          <w:sz w:val="16"/>
          <w:u w:val="none"/>
        </w:rPr>
        <w:t xml:space="preserve"> by </w:t>
      </w:r>
      <w:r>
        <w:rPr>
          <w:rFonts w:ascii="Arial" w:eastAsia="Arial" w:hAnsi="Arial" w:cs="Arial"/>
          <w:b w:val="0"/>
          <w:i w:val="0"/>
          <w:color w:val="969698"/>
          <w:sz w:val="16"/>
          <w:u w:val="none"/>
        </w:rPr>
        <w:t xml:space="preserve">five, </w:t>
      </w:r>
      <w:r>
        <w:rPr>
          <w:rFonts w:ascii="Arial" w:eastAsia="Arial" w:hAnsi="Arial" w:cs="Arial"/>
          <w:b w:val="0"/>
          <w:i w:val="0"/>
          <w:color w:val="969698"/>
          <w:sz w:val="16"/>
          <w:u w:val="none"/>
        </w:rPr>
        <w:t>representing</w:t>
      </w:r>
      <w:r>
        <w:rPr>
          <w:rFonts w:ascii="Arial" w:eastAsia="Arial" w:hAnsi="Arial" w:cs="Arial"/>
          <w:b w:val="0"/>
          <w:i w:val="0"/>
          <w:color w:val="969698"/>
          <w:sz w:val="16"/>
          <w:u w:val="none"/>
        </w:rPr>
        <w:t xml:space="preserve"> the </w:t>
      </w:r>
      <w:r>
        <w:rPr>
          <w:rFonts w:ascii="Arial" w:eastAsia="Arial" w:hAnsi="Arial" w:cs="Arial"/>
          <w:b w:val="0"/>
          <w:i w:val="0"/>
          <w:color w:val="969698"/>
          <w:sz w:val="16"/>
          <w:u w:val="none"/>
        </w:rPr>
        <w:t>number of years</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it is intended to cover</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If the JSOP </w:t>
      </w:r>
      <w:r>
        <w:rPr>
          <w:rFonts w:ascii="Arial" w:eastAsia="Arial" w:hAnsi="Arial" w:cs="Arial"/>
          <w:b w:val="0"/>
          <w:i w:val="0"/>
          <w:color w:val="969698"/>
          <w:sz w:val="16"/>
          <w:u w:val="none"/>
        </w:rPr>
        <w:t xml:space="preserve">Award </w:t>
      </w:r>
      <w:r>
        <w:rPr>
          <w:rFonts w:ascii="Arial" w:eastAsia="Arial" w:hAnsi="Arial" w:cs="Arial"/>
          <w:b w:val="0"/>
          <w:i w:val="0"/>
          <w:color w:val="969698"/>
          <w:sz w:val="16"/>
          <w:u w:val="none"/>
        </w:rPr>
        <w:t>were to vest</w:t>
      </w:r>
      <w:r>
        <w:rPr>
          <w:rFonts w:ascii="Arial" w:eastAsia="Arial" w:hAnsi="Arial" w:cs="Arial"/>
          <w:b w:val="0"/>
          <w:i w:val="0"/>
          <w:color w:val="969698"/>
          <w:sz w:val="16"/>
          <w:u w:val="none"/>
        </w:rPr>
        <w:t xml:space="preserve"> at </w:t>
      </w:r>
      <w:r>
        <w:rPr>
          <w:rFonts w:ascii="Arial" w:eastAsia="Arial" w:hAnsi="Arial" w:cs="Arial"/>
          <w:b w:val="0"/>
          <w:i w:val="0"/>
          <w:color w:val="969698"/>
          <w:sz w:val="16"/>
          <w:u w:val="none"/>
        </w:rPr>
        <w:t>it</w:t>
      </w:r>
      <w:r>
        <w:rPr>
          <w:rFonts w:ascii="Arial" w:eastAsia="Arial" w:hAnsi="Arial" w:cs="Arial"/>
          <w:b w:val="0"/>
          <w:i w:val="0"/>
          <w:color w:val="969698"/>
          <w:sz w:val="16"/>
          <w:u w:val="none"/>
        </w:rPr>
        <w:t>s hurdle price of $3</w:t>
      </w:r>
      <w:r>
        <w:rPr>
          <w:rFonts w:ascii="Arial" w:eastAsia="Arial" w:hAnsi="Arial" w:cs="Arial"/>
          <w:b w:val="0"/>
          <w:i w:val="0"/>
          <w:color w:val="969698"/>
          <w:sz w:val="16"/>
          <w:u w:val="none"/>
        </w:rPr>
        <w:t>15.53 as scheduled in January 202</w:t>
      </w:r>
      <w:r>
        <w:rPr>
          <w:rFonts w:ascii="Arial" w:eastAsia="Arial" w:hAnsi="Arial" w:cs="Arial"/>
          <w:b w:val="0"/>
          <w:i w:val="0"/>
          <w:color w:val="969698"/>
          <w:sz w:val="16"/>
          <w:u w:val="none"/>
        </w:rPr>
        <w:t>5,</w:t>
      </w:r>
      <w:r>
        <w:rPr>
          <w:rFonts w:ascii="Arial" w:eastAsia="Arial" w:hAnsi="Arial" w:cs="Arial"/>
          <w:b w:val="0"/>
          <w:i w:val="0"/>
          <w:color w:val="969698"/>
          <w:sz w:val="16"/>
          <w:u w:val="none"/>
        </w:rPr>
        <w:t xml:space="preserve"> with full satisfaction of its performance conditions, </w:t>
      </w:r>
      <w:r>
        <w:rPr>
          <w:rFonts w:ascii="Arial" w:eastAsia="Arial" w:hAnsi="Arial" w:cs="Arial"/>
          <w:b w:val="0"/>
          <w:i w:val="0"/>
          <w:color w:val="969698"/>
          <w:sz w:val="16"/>
          <w:u w:val="none"/>
        </w:rPr>
        <w:t xml:space="preserve">the </w:t>
      </w:r>
      <w:r>
        <w:rPr>
          <w:rFonts w:ascii="Arial" w:eastAsia="Arial" w:hAnsi="Arial" w:cs="Arial"/>
          <w:b w:val="0"/>
          <w:i w:val="0"/>
          <w:color w:val="969698"/>
          <w:sz w:val="16"/>
          <w:u w:val="none"/>
        </w:rPr>
        <w:t>settlement value would be appr</w:t>
      </w:r>
      <w:r>
        <w:rPr>
          <w:rFonts w:ascii="Arial" w:eastAsia="Arial" w:hAnsi="Arial" w:cs="Arial"/>
          <w:b w:val="0"/>
          <w:i w:val="0"/>
          <w:color w:val="969698"/>
          <w:sz w:val="16"/>
          <w:u w:val="none"/>
        </w:rPr>
        <w:t xml:space="preserve">oximately </w:t>
      </w:r>
      <w:r>
        <w:rPr>
          <w:rFonts w:ascii="Arial" w:eastAsia="Arial" w:hAnsi="Arial" w:cs="Arial"/>
          <w:b w:val="0"/>
          <w:i w:val="0"/>
          <w:color w:val="969698"/>
          <w:sz w:val="16"/>
          <w:u w:val="none"/>
        </w:rPr>
        <w:t>$</w:t>
      </w:r>
      <w:r>
        <w:rPr>
          <w:rFonts w:ascii="Arial" w:eastAsia="Arial" w:hAnsi="Arial" w:cs="Arial"/>
          <w:b w:val="0"/>
          <w:i w:val="0"/>
          <w:color w:val="969698"/>
          <w:sz w:val="16"/>
          <w:u w:val="none"/>
        </w:rPr>
        <w:t>6</w:t>
      </w:r>
      <w:r>
        <w:rPr>
          <w:rFonts w:ascii="Arial" w:eastAsia="Arial" w:hAnsi="Arial" w:cs="Arial"/>
          <w:b w:val="0"/>
          <w:i w:val="0"/>
          <w:color w:val="969698"/>
          <w:sz w:val="16"/>
          <w:u w:val="none"/>
        </w:rPr>
        <w:t>2</w:t>
      </w:r>
      <w:r>
        <w:rPr>
          <w:rFonts w:ascii="Arial" w:eastAsia="Arial" w:hAnsi="Arial" w:cs="Arial"/>
          <w:b w:val="0"/>
          <w:i w:val="0"/>
          <w:color w:val="969698"/>
          <w:sz w:val="16"/>
          <w:u w:val="none"/>
        </w:rPr>
        <w:t xml:space="preserve"> million.</w:t>
      </w: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i w:val="0"/>
          <w:color w:val="4494D1"/>
          <w:sz w:val="20"/>
          <w:u w:val="none"/>
        </w:rPr>
      </w:pPr>
      <w:r>
        <w:rPr>
          <w:rFonts w:ascii="Arial" w:eastAsia="Arial" w:hAnsi="Arial" w:cs="Arial"/>
          <w:b/>
          <w:i w:val="0"/>
          <w:color w:val="4494D1"/>
          <w:sz w:val="20"/>
          <w:u w:val="none"/>
        </w:rPr>
        <w:t>2023 Annual Cash Incentive Award</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969698"/>
          <w:sz w:val="20"/>
          <w:u w:val="none"/>
        </w:rPr>
      </w:pPr>
      <w:r>
        <w:rPr>
          <w:rFonts w:ascii="Arial" w:eastAsia="Arial" w:hAnsi="Arial" w:cs="Arial"/>
          <w:b w:val="0"/>
          <w:i w:val="0"/>
          <w:sz w:val="20"/>
        </w:rPr>
        <w:t xml:space="preserve">Mr. Silvester earned an annual incentive payment of </w:t>
      </w:r>
      <w:r>
        <w:rPr>
          <w:rFonts w:ascii="Arial" w:eastAsia="Arial" w:hAnsi="Arial" w:cs="Arial"/>
          <w:b w:val="0"/>
          <w:i w:val="0"/>
          <w:color w:val="000000"/>
          <w:sz w:val="20"/>
          <w:u w:val="none"/>
        </w:rPr>
        <w:t>$3,821,959</w:t>
      </w:r>
      <w:r>
        <w:rPr>
          <w:rFonts w:ascii="Arial" w:eastAsia="Arial" w:hAnsi="Arial" w:cs="Arial"/>
          <w:b w:val="0"/>
          <w:i w:val="0"/>
          <w:sz w:val="20"/>
        </w:rPr>
        <w:t xml:space="preserve">, or </w:t>
      </w:r>
      <w:r>
        <w:rPr>
          <w:rFonts w:ascii="Arial" w:eastAsia="Arial" w:hAnsi="Arial" w:cs="Arial"/>
          <w:b w:val="0"/>
          <w:i w:val="0"/>
          <w:color w:val="000000"/>
          <w:sz w:val="20"/>
          <w:u w:val="none"/>
        </w:rPr>
        <w:t>102%</w:t>
      </w:r>
      <w:r>
        <w:rPr>
          <w:rFonts w:ascii="Arial" w:eastAsia="Arial" w:hAnsi="Arial" w:cs="Arial"/>
          <w:b w:val="0"/>
          <w:i w:val="0"/>
          <w:sz w:val="20"/>
        </w:rPr>
        <w:t xml:space="preserve"> of target, based on the final achievement of the Company's financial performance, corporate objectives, and his pre-established</w:t>
      </w:r>
      <w:r>
        <w:rPr>
          <w:rFonts w:ascii="Arial" w:eastAsia="Arial" w:hAnsi="Arial" w:cs="Arial"/>
          <w:b w:val="0"/>
          <w:i w:val="0"/>
          <w:sz w:val="20"/>
        </w:rPr>
        <w:t xml:space="preserve"> individual </w:t>
      </w:r>
      <w:r>
        <w:rPr>
          <w:rFonts w:ascii="Arial" w:eastAsia="Arial" w:hAnsi="Arial" w:cs="Arial"/>
          <w:b w:val="0"/>
          <w:i w:val="0"/>
          <w:sz w:val="20"/>
        </w:rPr>
        <w:t>performance goals, as described below.</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055"/>
        <w:gridCol w:w="3240"/>
        <w:gridCol w:w="1485"/>
        <w:gridCol w:w="1665"/>
        <w:gridCol w:w="181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720"/>
        </w:trPr>
        <w:tc>
          <w:tcPr>
            <w:tcW w:w="205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i w:val="0"/>
                <w:sz w:val="18"/>
              </w:rPr>
            </w:pPr>
            <w:r>
              <w:rPr>
                <w:rFonts w:ascii="Arial" w:eastAsia="Arial" w:hAnsi="Arial" w:cs="Arial"/>
                <w:b/>
                <w:i w:val="0"/>
                <w:sz w:val="18"/>
              </w:rPr>
              <w:t>Bonus Component</w:t>
            </w:r>
            <w:r>
              <w:rPr>
                <w:rFonts w:ascii="Arial" w:eastAsia="Arial" w:hAnsi="Arial" w:cs="Arial"/>
                <w:b/>
                <w:i w:val="0"/>
                <w:sz w:val="18"/>
                <w:vertAlign w:val="superscript"/>
              </w:rPr>
              <w:t>(</w:t>
            </w:r>
            <w:r>
              <w:rPr>
                <w:rFonts w:ascii="Arial" w:eastAsia="Arial" w:hAnsi="Arial" w:cs="Arial"/>
                <w:b/>
                <w:i w:val="0"/>
                <w:sz w:val="18"/>
                <w:vertAlign w:val="superscript"/>
              </w:rPr>
              <w:t>1)</w:t>
            </w:r>
          </w:p>
        </w:tc>
        <w:tc>
          <w:tcPr>
            <w:tcW w:w="3240"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Performance Criteria</w:t>
            </w:r>
          </w:p>
        </w:tc>
        <w:tc>
          <w:tcPr>
            <w:tcW w:w="148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Component Weighting</w:t>
            </w:r>
          </w:p>
        </w:tc>
        <w:tc>
          <w:tcPr>
            <w:tcW w:w="166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Actual Payout as a Percent of Target</w:t>
            </w:r>
          </w:p>
        </w:tc>
        <w:tc>
          <w:tcPr>
            <w:tcW w:w="181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Award Payout</w:t>
            </w:r>
          </w:p>
        </w:tc>
      </w:tr>
      <w:tr>
        <w:tblPrEx>
          <w:tblW w:w="10260" w:type="dxa"/>
          <w:tblInd w:w="0" w:type="dxa"/>
          <w:tblLayout w:type="fixed"/>
          <w:tblCellMar>
            <w:left w:w="108" w:type="dxa"/>
            <w:right w:w="108" w:type="dxa"/>
          </w:tblCellMar>
        </w:tblPrEx>
        <w:trPr>
          <w:cantSplit/>
          <w:trHeight w:hRule="exact" w:val="345"/>
        </w:trPr>
        <w:tc>
          <w:tcPr>
            <w:tcW w:w="2055" w:type="dxa"/>
            <w:tcBorders>
              <w:top w:val="single" w:sz="12" w:space="0" w:color="4494D1"/>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Financial Component</w:t>
            </w:r>
          </w:p>
        </w:tc>
        <w:tc>
          <w:tcPr>
            <w:tcW w:w="3240" w:type="dxa"/>
            <w:tcBorders>
              <w:top w:val="single" w:sz="12" w:space="0" w:color="4494D1"/>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Adjusted ROE</w:t>
            </w:r>
          </w:p>
        </w:tc>
        <w:tc>
          <w:tcPr>
            <w:tcW w:w="1485" w:type="dxa"/>
            <w:tcBorders>
              <w:top w:val="single" w:sz="12" w:space="0" w:color="4494D1"/>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45%</w:t>
            </w:r>
          </w:p>
        </w:tc>
        <w:tc>
          <w:tcPr>
            <w:tcW w:w="166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106.5%</w:t>
            </w:r>
          </w:p>
        </w:tc>
        <w:tc>
          <w:tcPr>
            <w:tcW w:w="181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$1,796,959</w:t>
            </w:r>
          </w:p>
        </w:tc>
      </w:tr>
      <w:tr>
        <w:tblPrEx>
          <w:tblW w:w="10260" w:type="dxa"/>
          <w:tblInd w:w="0" w:type="dxa"/>
          <w:tblLayout w:type="fixed"/>
          <w:tblCellMar>
            <w:left w:w="108" w:type="dxa"/>
            <w:right w:w="108" w:type="dxa"/>
          </w:tblCellMar>
        </w:tblPrEx>
        <w:trPr>
          <w:cantSplit/>
          <w:trHeight w:hRule="exact" w:val="315"/>
        </w:trPr>
        <w:tc>
          <w:tcPr>
            <w:tcW w:w="205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Corporate Component</w:t>
            </w:r>
          </w:p>
        </w:tc>
        <w:tc>
          <w:tcPr>
            <w:tcW w:w="3240"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As set out on pg.</w:t>
            </w:r>
            <w:r>
              <w:rPr>
                <w:rFonts w:ascii="Arial" w:eastAsia="Arial" w:hAnsi="Arial" w:cs="Arial"/>
                <w:b w:val="0"/>
                <w:i w:val="0"/>
                <w:sz w:val="18"/>
              </w:rPr>
              <w:t xml:space="preserve"> </w:t>
            </w:r>
            <w:r>
              <w:rPr>
                <w:rFonts w:ascii="Arial" w:eastAsia="Arial" w:hAnsi="Arial" w:cs="Arial"/>
                <w:b w:val="0"/>
                <w:i w:val="0"/>
                <w:color w:val="0000FF"/>
                <w:sz w:val="18"/>
                <w:u w:val="single"/>
              </w:rPr>
              <w:fldChar w:fldCharType="begin"/>
            </w:r>
            <w:r>
              <w:rPr>
                <w:rFonts w:ascii="Arial" w:eastAsia="Arial" w:hAnsi="Arial" w:cs="Arial"/>
                <w:b w:val="0"/>
                <w:i w:val="0"/>
                <w:color w:val="0000FF"/>
                <w:sz w:val="18"/>
                <w:u w:val="single"/>
              </w:rPr>
              <w:instrText xml:space="preserve"> PAGEREF </w:instrText>
            </w:r>
            <w:r>
              <w:rPr>
                <w:rFonts w:ascii="Arial" w:eastAsia="Arial" w:hAnsi="Arial" w:cs="Arial"/>
                <w:b w:val="0"/>
                <w:i w:val="0"/>
                <w:color w:val="0000FF"/>
                <w:sz w:val="18"/>
                <w:u w:val="single"/>
              </w:rPr>
              <w:instrText xml:space="preserve"> </w:instrText>
            </w:r>
            <w:r>
              <w:rPr>
                <w:rFonts w:ascii="Arial" w:eastAsia="Arial" w:hAnsi="Arial" w:cs="Arial"/>
                <w:b w:val="0"/>
                <w:i w:val="0"/>
                <w:color w:val="0000FF"/>
                <w:sz w:val="18"/>
                <w:u w:val="single"/>
              </w:rPr>
              <w:instrText>Section82</w:instrText>
            </w:r>
            <w:r>
              <w:rPr>
                <w:rFonts w:ascii="Arial" w:eastAsia="Arial" w:hAnsi="Arial" w:cs="Arial"/>
                <w:b w:val="0"/>
                <w:i w:val="0"/>
                <w:color w:val="0000FF"/>
                <w:sz w:val="18"/>
                <w:u w:val="single"/>
              </w:rPr>
              <w:instrText xml:space="preserve"> \h</w:instrText>
            </w:r>
            <w:r>
              <w:rPr>
                <w:rFonts w:ascii="Arial" w:eastAsia="Arial" w:hAnsi="Arial" w:cs="Arial"/>
                <w:b w:val="0"/>
                <w:i w:val="0"/>
                <w:color w:val="0000FF"/>
                <w:sz w:val="18"/>
                <w:u w:val="single"/>
              </w:rPr>
              <w:fldChar w:fldCharType="separate"/>
            </w:r>
            <w:r>
              <w:rPr>
                <w:rFonts w:ascii="Arial" w:eastAsia="Arial" w:hAnsi="Arial" w:cs="Arial"/>
                <w:b w:val="0"/>
                <w:i w:val="0"/>
                <w:color w:val="0000FF"/>
                <w:sz w:val="18"/>
                <w:u w:val="single"/>
              </w:rPr>
              <w:t>53</w:t>
            </w:r>
            <w:r>
              <w:rPr>
                <w:rFonts w:ascii="Arial" w:eastAsia="Arial" w:hAnsi="Arial" w:cs="Arial"/>
                <w:b w:val="0"/>
                <w:i w:val="0"/>
                <w:color w:val="0000FF"/>
                <w:sz w:val="18"/>
                <w:u w:val="single"/>
              </w:rPr>
              <w:fldChar w:fldCharType="end"/>
            </w:r>
          </w:p>
        </w:tc>
        <w:tc>
          <w:tcPr>
            <w:tcW w:w="148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35%</w:t>
            </w:r>
          </w:p>
        </w:tc>
        <w:tc>
          <w:tcPr>
            <w:tcW w:w="166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100.0%</w:t>
            </w:r>
          </w:p>
        </w:tc>
        <w:tc>
          <w:tcPr>
            <w:tcW w:w="181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$1,312,500</w:t>
            </w:r>
          </w:p>
        </w:tc>
      </w:tr>
      <w:tr>
        <w:tblPrEx>
          <w:tblW w:w="10260" w:type="dxa"/>
          <w:tblInd w:w="0" w:type="dxa"/>
          <w:tblLayout w:type="fixed"/>
          <w:tblCellMar>
            <w:left w:w="108" w:type="dxa"/>
            <w:right w:w="108" w:type="dxa"/>
          </w:tblCellMar>
        </w:tblPrEx>
        <w:trPr>
          <w:cantSplit/>
          <w:trHeight w:hRule="exact" w:val="360"/>
        </w:trPr>
        <w:tc>
          <w:tcPr>
            <w:tcW w:w="205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Individual Component</w:t>
            </w:r>
          </w:p>
        </w:tc>
        <w:tc>
          <w:tcPr>
            <w:tcW w:w="3240"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Individual goals detailed below</w:t>
            </w:r>
          </w:p>
        </w:tc>
        <w:tc>
          <w:tcPr>
            <w:tcW w:w="148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20%</w:t>
            </w:r>
          </w:p>
        </w:tc>
        <w:tc>
          <w:tcPr>
            <w:tcW w:w="166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95.0%</w:t>
            </w:r>
          </w:p>
        </w:tc>
        <w:tc>
          <w:tcPr>
            <w:tcW w:w="181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$712,500</w:t>
            </w:r>
          </w:p>
        </w:tc>
      </w:tr>
      <w:tr>
        <w:tblPrEx>
          <w:tblW w:w="10260" w:type="dxa"/>
          <w:tblInd w:w="0" w:type="dxa"/>
          <w:tblLayout w:type="fixed"/>
          <w:tblCellMar>
            <w:left w:w="108" w:type="dxa"/>
            <w:right w:w="108" w:type="dxa"/>
          </w:tblCellMar>
        </w:tblPrEx>
        <w:trPr>
          <w:cantSplit/>
          <w:trHeight w:hRule="exact" w:val="360"/>
        </w:trPr>
        <w:tc>
          <w:tcPr>
            <w:tcW w:w="205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Committee Discretion</w:t>
            </w:r>
          </w:p>
        </w:tc>
        <w:tc>
          <w:tcPr>
            <w:tcW w:w="3240"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No discretion applied</w:t>
            </w:r>
          </w:p>
        </w:tc>
        <w:tc>
          <w:tcPr>
            <w:tcW w:w="148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N/A</w:t>
            </w:r>
          </w:p>
        </w:tc>
        <w:tc>
          <w:tcPr>
            <w:tcW w:w="166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N/A</w:t>
            </w:r>
          </w:p>
        </w:tc>
        <w:tc>
          <w:tcPr>
            <w:tcW w:w="181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w:t>
            </w:r>
          </w:p>
        </w:tc>
      </w:tr>
      <w:tr>
        <w:tblPrEx>
          <w:tblW w:w="10260" w:type="dxa"/>
          <w:tblInd w:w="0" w:type="dxa"/>
          <w:tblLayout w:type="fixed"/>
          <w:tblCellMar>
            <w:left w:w="108" w:type="dxa"/>
            <w:right w:w="108" w:type="dxa"/>
          </w:tblCellMar>
        </w:tblPrEx>
        <w:trPr>
          <w:cantSplit/>
          <w:trHeight w:hRule="exact" w:val="345"/>
        </w:trPr>
        <w:tc>
          <w:tcPr>
            <w:tcW w:w="2055" w:type="dxa"/>
            <w:tcBorders>
              <w:top w:val="single" w:sz="8" w:space="0" w:color="B6B6B6"/>
              <w:left w:val="nil"/>
              <w:bottom w:val="nil"/>
              <w:right w:val="nil"/>
            </w:tcBorders>
            <w:tcMar>
              <w:top w:w="0" w:type="dxa"/>
              <w:left w:w="53" w:type="dxa"/>
              <w:bottom w:w="0" w:type="dxa"/>
              <w:right w:w="53" w:type="dxa"/>
            </w:tcMar>
            <w:vAlign w:val="center"/>
          </w:tcPr>
          <w:p>
            <w:pPr>
              <w:pageBreakBefore w:val="0"/>
              <w:spacing w:before="0" w:after="0" w:line="240" w:lineRule="auto"/>
              <w:jc w:val="left"/>
            </w:pPr>
            <w:r>
              <w:rPr>
                <w:rFonts w:ascii="Arial" w:eastAsia="Arial" w:hAnsi="Arial" w:cs="Arial"/>
                <w:b/>
                <w:i w:val="0"/>
                <w:color w:val="000000"/>
                <w:sz w:val="18"/>
                <w:u w:val="none"/>
              </w:rPr>
              <w:t>Total</w:t>
            </w:r>
          </w:p>
        </w:tc>
        <w:tc>
          <w:tcPr>
            <w:tcW w:w="3240"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p>
        </w:tc>
        <w:tc>
          <w:tcPr>
            <w:tcW w:w="1485"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100%</w:t>
            </w:r>
          </w:p>
        </w:tc>
        <w:tc>
          <w:tcPr>
            <w:tcW w:w="1665"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102%</w:t>
            </w:r>
          </w:p>
        </w:tc>
        <w:tc>
          <w:tcPr>
            <w:tcW w:w="1815"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$3,821,959</w:t>
            </w:r>
          </w:p>
        </w:tc>
      </w:tr>
    </w:tbl>
    <w:p>
      <w:pPr>
        <w:keepNext w:val="0"/>
        <w:keepLines w:val="0"/>
        <w:pageBreakBefore w:val="0"/>
        <w:widowControl/>
        <w:numPr>
          <w:ilvl w:val="0"/>
          <w:numId w:val="0"/>
        </w:numPr>
        <w:spacing w:before="120" w:after="60" w:line="288" w:lineRule="auto"/>
        <w:ind w:left="360" w:right="0" w:hanging="360"/>
        <w:jc w:val="left"/>
        <w:outlineLvl w:val="9"/>
        <w:rPr>
          <w:rFonts w:ascii="Arial" w:eastAsia="Arial" w:hAnsi="Arial" w:cs="Arial"/>
          <w:b w:val="0"/>
          <w:i w:val="0"/>
          <w:color w:val="969698"/>
          <w:sz w:val="16"/>
          <w:u w:val="none"/>
        </w:rPr>
      </w:pPr>
      <w:r>
        <w:rPr>
          <w:rFonts w:ascii="Times New Roman" w:eastAsia="Times New Roman" w:hAnsi="Times New Roman" w:cs="Times New Roman"/>
          <w:b w:val="0"/>
          <w:i w:val="0"/>
          <w:color w:val="FF0090"/>
          <w:sz w:val="12"/>
          <w:u w:val="none"/>
        </w:rPr>
        <w:t xml:space="preserve"> </w:t>
      </w:r>
      <w:r>
        <w:rPr>
          <w:rFonts w:ascii="Arial" w:eastAsia="Arial" w:hAnsi="Arial" w:cs="Arial"/>
          <w:b w:val="0"/>
          <w:i w:val="0"/>
          <w:color w:val="969698"/>
          <w:sz w:val="16"/>
          <w:u w:val="none"/>
        </w:rPr>
        <w:t xml:space="preserve">(1) </w:t>
      </w:r>
      <w:r>
        <w:rPr>
          <w:rFonts w:ascii="Arial" w:eastAsia="Arial" w:hAnsi="Arial" w:cs="Arial"/>
          <w:b w:val="0"/>
          <w:i w:val="0"/>
          <w:color w:val="969698"/>
          <w:sz w:val="16"/>
          <w:u w:val="none"/>
        </w:rPr>
        <w:tab/>
      </w:r>
      <w:r>
        <w:rPr>
          <w:rFonts w:ascii="Arial" w:eastAsia="Arial" w:hAnsi="Arial" w:cs="Arial"/>
          <w:b w:val="0"/>
          <w:i w:val="0"/>
          <w:color w:val="969698"/>
          <w:sz w:val="16"/>
          <w:u w:val="none"/>
        </w:rPr>
        <w:t>The financial</w:t>
      </w:r>
      <w:r>
        <w:rPr>
          <w:rFonts w:ascii="Arial" w:eastAsia="Arial" w:hAnsi="Arial" w:cs="Arial"/>
          <w:b w:val="0"/>
          <w:i w:val="0"/>
          <w:color w:val="969698"/>
          <w:sz w:val="16"/>
          <w:u w:val="none"/>
        </w:rPr>
        <w:t xml:space="preserve"> and corporate</w:t>
      </w:r>
      <w:r>
        <w:rPr>
          <w:rFonts w:ascii="Arial" w:eastAsia="Arial" w:hAnsi="Arial" w:cs="Arial"/>
          <w:b w:val="0"/>
          <w:i w:val="0"/>
          <w:color w:val="969698"/>
          <w:sz w:val="16"/>
          <w:u w:val="none"/>
        </w:rPr>
        <w:t xml:space="preserve"> component multiplier</w:t>
      </w:r>
      <w:r>
        <w:rPr>
          <w:rFonts w:ascii="Arial" w:eastAsia="Arial" w:hAnsi="Arial" w:cs="Arial"/>
          <w:b w:val="0"/>
          <w:i w:val="0"/>
          <w:color w:val="969698"/>
          <w:sz w:val="16"/>
          <w:u w:val="none"/>
        </w:rPr>
        <w:t>s</w:t>
      </w:r>
      <w:r>
        <w:rPr>
          <w:rFonts w:ascii="Arial" w:eastAsia="Arial" w:hAnsi="Arial" w:cs="Arial"/>
          <w:b w:val="0"/>
          <w:i w:val="0"/>
          <w:color w:val="969698"/>
          <w:sz w:val="16"/>
          <w:u w:val="none"/>
        </w:rPr>
        <w:t xml:space="preserve"> var</w:t>
      </w:r>
      <w:r>
        <w:rPr>
          <w:rFonts w:ascii="Arial" w:eastAsia="Arial" w:hAnsi="Arial" w:cs="Arial"/>
          <w:b w:val="0"/>
          <w:i w:val="0"/>
          <w:color w:val="969698"/>
          <w:sz w:val="16"/>
          <w:u w:val="none"/>
        </w:rPr>
        <w:t>y</w:t>
      </w:r>
      <w:r>
        <w:rPr>
          <w:rFonts w:ascii="Arial" w:eastAsia="Arial" w:hAnsi="Arial" w:cs="Arial"/>
          <w:b w:val="0"/>
          <w:i w:val="0"/>
          <w:color w:val="969698"/>
          <w:sz w:val="16"/>
          <w:u w:val="none"/>
        </w:rPr>
        <w:t xml:space="preserve"> by executive as they are each entitled to earn different percentages of their base salary as a bonus depending on the Company’s financial </w:t>
      </w:r>
      <w:r>
        <w:rPr>
          <w:rFonts w:ascii="Arial" w:eastAsia="Arial" w:hAnsi="Arial" w:cs="Arial"/>
          <w:b w:val="0"/>
          <w:i w:val="0"/>
          <w:color w:val="969698"/>
          <w:sz w:val="16"/>
          <w:u w:val="none"/>
        </w:rPr>
        <w:t xml:space="preserve">and corporate </w:t>
      </w:r>
      <w:r>
        <w:rPr>
          <w:rFonts w:ascii="Arial" w:eastAsia="Arial" w:hAnsi="Arial" w:cs="Arial"/>
          <w:b w:val="0"/>
          <w:i w:val="0"/>
          <w:color w:val="969698"/>
          <w:sz w:val="16"/>
          <w:u w:val="none"/>
        </w:rPr>
        <w:t>component achievement</w:t>
      </w:r>
      <w:r>
        <w:rPr>
          <w:rFonts w:ascii="Arial" w:eastAsia="Arial" w:hAnsi="Arial" w:cs="Arial"/>
          <w:b w:val="0"/>
          <w:i w:val="0"/>
          <w:color w:val="969698"/>
          <w:sz w:val="16"/>
          <w:u w:val="none"/>
        </w:rPr>
        <w:t>. Therefore, the same level</w:t>
      </w:r>
      <w:r>
        <w:rPr>
          <w:rFonts w:ascii="Arial" w:eastAsia="Arial" w:hAnsi="Arial" w:cs="Arial"/>
          <w:b w:val="0"/>
          <w:i w:val="0"/>
          <w:color w:val="969698"/>
          <w:sz w:val="16"/>
          <w:u w:val="none"/>
        </w:rPr>
        <w:t>s</w:t>
      </w:r>
      <w:r>
        <w:rPr>
          <w:rFonts w:ascii="Arial" w:eastAsia="Arial" w:hAnsi="Arial" w:cs="Arial"/>
          <w:b w:val="0"/>
          <w:i w:val="0"/>
          <w:color w:val="969698"/>
          <w:sz w:val="16"/>
          <w:u w:val="none"/>
        </w:rPr>
        <w:t xml:space="preserve"> of financial </w:t>
      </w:r>
      <w:r>
        <w:rPr>
          <w:rFonts w:ascii="Arial" w:eastAsia="Arial" w:hAnsi="Arial" w:cs="Arial"/>
          <w:b w:val="0"/>
          <w:i w:val="0"/>
          <w:color w:val="969698"/>
          <w:sz w:val="16"/>
          <w:u w:val="none"/>
        </w:rPr>
        <w:t xml:space="preserve">and corporate </w:t>
      </w:r>
      <w:r>
        <w:rPr>
          <w:rFonts w:ascii="Arial" w:eastAsia="Arial" w:hAnsi="Arial" w:cs="Arial"/>
          <w:b w:val="0"/>
          <w:i w:val="0"/>
          <w:color w:val="969698"/>
          <w:sz w:val="16"/>
          <w:u w:val="none"/>
        </w:rPr>
        <w:t>component achievement</w:t>
      </w:r>
      <w:r>
        <w:rPr>
          <w:rFonts w:ascii="Arial" w:eastAsia="Arial" w:hAnsi="Arial" w:cs="Arial"/>
          <w:b w:val="0"/>
          <w:i w:val="0"/>
          <w:color w:val="969698"/>
          <w:sz w:val="16"/>
          <w:u w:val="none"/>
        </w:rPr>
        <w:t xml:space="preserve"> translates into slightly different percentages of earned target bonus award opportunity for each executive.</w:t>
      </w: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rPr>
      </w:pP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325"/>
        <w:gridCol w:w="1035"/>
        <w:gridCol w:w="1275"/>
        <w:gridCol w:w="562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525"/>
        </w:trPr>
        <w:tc>
          <w:tcPr>
            <w:tcW w:w="232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Individual Performance Objective</w:t>
            </w:r>
          </w:p>
        </w:tc>
        <w:tc>
          <w:tcPr>
            <w:tcW w:w="103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Weighting</w:t>
            </w:r>
          </w:p>
        </w:tc>
        <w:tc>
          <w:tcPr>
            <w:tcW w:w="127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Achievement Level</w:t>
            </w:r>
          </w:p>
        </w:tc>
        <w:tc>
          <w:tcPr>
            <w:tcW w:w="562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ind w:firstLine="90"/>
              <w:jc w:val="left"/>
            </w:pPr>
            <w:r>
              <w:rPr>
                <w:rFonts w:ascii="Arial" w:eastAsia="Arial" w:hAnsi="Arial" w:cs="Arial"/>
                <w:b/>
                <w:i w:val="0"/>
                <w:color w:val="000000"/>
                <w:sz w:val="18"/>
                <w:u w:val="none"/>
              </w:rPr>
              <w:t>Description of Achievement</w:t>
            </w:r>
          </w:p>
        </w:tc>
      </w:tr>
      <w:tr>
        <w:tblPrEx>
          <w:tblW w:w="10260" w:type="dxa"/>
          <w:tblInd w:w="0" w:type="dxa"/>
          <w:tblLayout w:type="fixed"/>
          <w:tblCellMar>
            <w:left w:w="108" w:type="dxa"/>
            <w:right w:w="108" w:type="dxa"/>
          </w:tblCellMar>
        </w:tblPrEx>
        <w:trPr>
          <w:cantSplit/>
          <w:trHeight w:hRule="exact" w:val="1305"/>
        </w:trPr>
        <w:tc>
          <w:tcPr>
            <w:tcW w:w="232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23" w:after="0" w:line="240" w:lineRule="auto"/>
              <w:ind w:left="0" w:right="0" w:firstLine="0"/>
              <w:jc w:val="left"/>
              <w:outlineLvl w:val="9"/>
              <w:rPr>
                <w:rFonts w:ascii="Arial" w:eastAsia="Arial" w:hAnsi="Arial" w:cs="Arial"/>
                <w:b w:val="0"/>
                <w:i w:val="0"/>
                <w:sz w:val="6"/>
              </w:rPr>
            </w:pPr>
            <w:r>
              <w:rPr>
                <w:rFonts w:ascii="Arial" w:eastAsia="Arial" w:hAnsi="Arial" w:cs="Arial"/>
                <w:b w:val="0"/>
                <w:i w:val="0"/>
                <w:sz w:val="6"/>
              </w:rPr>
              <w:t xml:space="preserve"> </w:t>
            </w:r>
          </w:p>
          <w:p>
            <w:pPr>
              <w:pageBreakBefore w:val="0"/>
              <w:numPr>
                <w:ilvl w:val="0"/>
                <w:numId w:val="0"/>
              </w:numPr>
              <w:spacing w:before="0"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Imp</w:t>
            </w:r>
            <w:r>
              <w:rPr>
                <w:rFonts w:ascii="Arial" w:eastAsia="Arial" w:hAnsi="Arial" w:cs="Arial"/>
                <w:b w:val="0"/>
                <w:i w:val="0"/>
                <w:sz w:val="18"/>
              </w:rPr>
              <w:t xml:space="preserve">lement </w:t>
            </w:r>
            <w:r>
              <w:rPr>
                <w:rFonts w:ascii="Arial" w:eastAsia="Arial" w:hAnsi="Arial" w:cs="Arial"/>
                <w:b w:val="0"/>
                <w:i w:val="0"/>
                <w:sz w:val="18"/>
              </w:rPr>
              <w:t>en</w:t>
            </w:r>
            <w:r>
              <w:rPr>
                <w:rFonts w:ascii="Arial" w:eastAsia="Arial" w:hAnsi="Arial" w:cs="Arial"/>
                <w:b w:val="0"/>
                <w:i w:val="0"/>
                <w:sz w:val="18"/>
              </w:rPr>
              <w:t xml:space="preserve">hanced </w:t>
            </w:r>
            <w:r>
              <w:rPr>
                <w:rFonts w:ascii="Arial" w:eastAsia="Arial" w:hAnsi="Arial" w:cs="Arial"/>
                <w:b w:val="0"/>
                <w:i w:val="0"/>
                <w:sz w:val="18"/>
              </w:rPr>
              <w:t>financial foreca</w:t>
            </w:r>
            <w:r>
              <w:rPr>
                <w:rFonts w:ascii="Arial" w:eastAsia="Arial" w:hAnsi="Arial" w:cs="Arial"/>
                <w:b w:val="0"/>
                <w:i w:val="0"/>
                <w:sz w:val="18"/>
              </w:rPr>
              <w:t>s</w:t>
            </w:r>
            <w:r>
              <w:rPr>
                <w:rFonts w:ascii="Arial" w:eastAsia="Arial" w:hAnsi="Arial" w:cs="Arial"/>
                <w:b w:val="0"/>
                <w:i w:val="0"/>
                <w:sz w:val="18"/>
              </w:rPr>
              <w:t>ting and modeling tool</w:t>
            </w:r>
          </w:p>
        </w:tc>
        <w:tc>
          <w:tcPr>
            <w:tcW w:w="103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23" w:after="0" w:line="288" w:lineRule="auto"/>
              <w:ind w:left="0" w:right="0" w:firstLine="0"/>
              <w:jc w:val="left"/>
              <w:outlineLvl w:val="9"/>
              <w:rPr>
                <w:rFonts w:ascii="Arial" w:eastAsia="Arial" w:hAnsi="Arial" w:cs="Arial"/>
                <w:b w:val="0"/>
                <w:i w:val="0"/>
                <w:sz w:val="6"/>
              </w:rPr>
            </w:pPr>
            <w:r>
              <w:rPr>
                <w:rFonts w:ascii="Arial" w:eastAsia="Arial" w:hAnsi="Arial" w:cs="Arial"/>
                <w:b w:val="0"/>
                <w:i w:val="0"/>
                <w:sz w:val="6"/>
              </w:rPr>
              <w:t xml:space="preserve"> </w:t>
            </w:r>
          </w:p>
          <w:p>
            <w:pPr>
              <w:pageBreakBefore w:val="0"/>
              <w:numPr>
                <w:ilvl w:val="0"/>
                <w:numId w:val="0"/>
              </w:numPr>
              <w:spacing w:before="0" w:after="30" w:line="288" w:lineRule="auto"/>
              <w:ind w:left="0" w:right="0" w:firstLine="0"/>
              <w:jc w:val="left"/>
              <w:outlineLvl w:val="9"/>
              <w:rPr>
                <w:rFonts w:ascii="Arial" w:eastAsia="Arial" w:hAnsi="Arial" w:cs="Arial"/>
                <w:b w:val="0"/>
                <w:i w:val="0"/>
                <w:sz w:val="18"/>
              </w:rPr>
            </w:pPr>
            <w:r>
              <w:rPr>
                <w:rFonts w:ascii="Arial" w:eastAsia="Arial" w:hAnsi="Arial" w:cs="Arial"/>
                <w:b w:val="0"/>
                <w:i w:val="0"/>
                <w:sz w:val="18"/>
              </w:rPr>
              <w:t>45%</w:t>
            </w:r>
          </w:p>
        </w:tc>
        <w:tc>
          <w:tcPr>
            <w:tcW w:w="127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23" w:after="0" w:line="288" w:lineRule="auto"/>
              <w:ind w:left="0" w:right="0" w:firstLine="0"/>
              <w:jc w:val="left"/>
              <w:outlineLvl w:val="9"/>
              <w:rPr>
                <w:rFonts w:ascii="Arial" w:eastAsia="Arial" w:hAnsi="Arial" w:cs="Arial"/>
                <w:b w:val="0"/>
                <w:i w:val="0"/>
                <w:sz w:val="6"/>
              </w:rPr>
            </w:pPr>
            <w:r>
              <w:rPr>
                <w:rFonts w:ascii="Arial" w:eastAsia="Arial" w:hAnsi="Arial" w:cs="Arial"/>
                <w:b w:val="0"/>
                <w:i w:val="0"/>
                <w:sz w:val="6"/>
              </w:rPr>
              <w:t xml:space="preserve"> </w:t>
            </w:r>
          </w:p>
          <w:p>
            <w:pPr>
              <w:pageBreakBefore w:val="0"/>
              <w:numPr>
                <w:ilvl w:val="0"/>
                <w:numId w:val="0"/>
              </w:numPr>
              <w:spacing w:before="0" w:after="30" w:line="288" w:lineRule="auto"/>
              <w:ind w:left="0" w:right="0" w:firstLine="0"/>
              <w:jc w:val="left"/>
              <w:outlineLvl w:val="9"/>
              <w:rPr>
                <w:rFonts w:ascii="Arial" w:eastAsia="Arial" w:hAnsi="Arial" w:cs="Arial"/>
                <w:b w:val="0"/>
                <w:i w:val="0"/>
                <w:sz w:val="18"/>
              </w:rPr>
            </w:pPr>
            <w:r>
              <w:rPr>
                <w:rFonts w:ascii="Arial" w:eastAsia="Arial" w:hAnsi="Arial" w:cs="Arial"/>
                <w:b w:val="0"/>
                <w:i w:val="0"/>
                <w:sz w:val="18"/>
              </w:rPr>
              <w:t>Target</w:t>
            </w:r>
          </w:p>
        </w:tc>
        <w:tc>
          <w:tcPr>
            <w:tcW w:w="562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2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48"/>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Led implementation of five year model into Group strategy and decision making</w:t>
            </w:r>
            <w:r>
              <w:rPr>
                <w:rFonts w:ascii="Arial" w:eastAsia="Arial" w:hAnsi="Arial" w:cs="Arial"/>
                <w:b w:val="0"/>
                <w:i w:val="0"/>
                <w:sz w:val="18"/>
              </w:rPr>
              <w:t>.</w:t>
            </w:r>
            <w:r>
              <w:rPr>
                <w:rFonts w:ascii="Arial" w:eastAsia="Arial" w:hAnsi="Arial" w:cs="Arial"/>
                <w:b w:val="0"/>
                <w:i w:val="0"/>
                <w:sz w:val="18"/>
              </w:rPr>
              <w:t xml:space="preserve"> </w:t>
            </w:r>
          </w:p>
          <w:p>
            <w:pPr>
              <w:pageBreakBefore w:val="0"/>
              <w:numPr>
                <w:ilvl w:val="0"/>
                <w:numId w:val="249"/>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P</w:t>
            </w:r>
            <w:r>
              <w:rPr>
                <w:rFonts w:ascii="Arial" w:eastAsia="Arial" w:hAnsi="Arial" w:cs="Arial"/>
                <w:b w:val="0"/>
                <w:i w:val="0"/>
                <w:sz w:val="18"/>
              </w:rPr>
              <w:t>rovid</w:t>
            </w:r>
            <w:r>
              <w:rPr>
                <w:rFonts w:ascii="Arial" w:eastAsia="Arial" w:hAnsi="Arial" w:cs="Arial"/>
                <w:b w:val="0"/>
                <w:i w:val="0"/>
                <w:sz w:val="18"/>
              </w:rPr>
              <w:t>ed</w:t>
            </w:r>
            <w:r>
              <w:rPr>
                <w:rFonts w:ascii="Arial" w:eastAsia="Arial" w:hAnsi="Arial" w:cs="Arial"/>
                <w:b w:val="0"/>
                <w:i w:val="0"/>
                <w:sz w:val="18"/>
              </w:rPr>
              <w:t xml:space="preserve"> dynami</w:t>
            </w:r>
            <w:r>
              <w:rPr>
                <w:rFonts w:ascii="Arial" w:eastAsia="Arial" w:hAnsi="Arial" w:cs="Arial"/>
                <w:b w:val="0"/>
                <w:i w:val="0"/>
                <w:sz w:val="18"/>
              </w:rPr>
              <w:t xml:space="preserve">c </w:t>
            </w:r>
            <w:r>
              <w:rPr>
                <w:rFonts w:ascii="Arial" w:eastAsia="Arial" w:hAnsi="Arial" w:cs="Arial"/>
                <w:b w:val="0"/>
                <w:i w:val="0"/>
                <w:sz w:val="18"/>
              </w:rPr>
              <w:t xml:space="preserve">view of forecasts, </w:t>
            </w:r>
            <w:r>
              <w:rPr>
                <w:rFonts w:ascii="Arial" w:eastAsia="Arial" w:hAnsi="Arial" w:cs="Arial"/>
                <w:b w:val="0"/>
                <w:i w:val="0"/>
                <w:sz w:val="18"/>
              </w:rPr>
              <w:t>market risks</w:t>
            </w:r>
            <w:r>
              <w:rPr>
                <w:rFonts w:ascii="Arial" w:eastAsia="Arial" w:hAnsi="Arial" w:cs="Arial"/>
                <w:b w:val="0"/>
                <w:i w:val="0"/>
                <w:sz w:val="18"/>
              </w:rPr>
              <w:t xml:space="preserve"> and sensitivities, and improved liquidity insight</w:t>
            </w:r>
            <w:r>
              <w:rPr>
                <w:rFonts w:ascii="Arial" w:eastAsia="Arial" w:hAnsi="Arial" w:cs="Arial"/>
                <w:b w:val="0"/>
                <w:i w:val="0"/>
                <w:sz w:val="18"/>
              </w:rPr>
              <w:t xml:space="preserve">s delivered </w:t>
            </w:r>
            <w:r>
              <w:rPr>
                <w:rFonts w:ascii="Arial" w:eastAsia="Arial" w:hAnsi="Arial" w:cs="Arial"/>
                <w:b w:val="0"/>
                <w:i w:val="0"/>
                <w:sz w:val="18"/>
              </w:rPr>
              <w:t>to Board</w:t>
            </w:r>
            <w:r>
              <w:rPr>
                <w:rFonts w:ascii="Arial" w:eastAsia="Arial" w:hAnsi="Arial" w:cs="Arial"/>
                <w:b w:val="0"/>
                <w:i w:val="0"/>
                <w:sz w:val="18"/>
              </w:rPr>
              <w:t>.</w:t>
            </w:r>
          </w:p>
          <w:p>
            <w:pPr>
              <w:pageBreakBefore w:val="0"/>
              <w:numPr>
                <w:ilvl w:val="0"/>
                <w:numId w:val="250"/>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Used to evaluate</w:t>
            </w:r>
            <w:r>
              <w:rPr>
                <w:rFonts w:ascii="Arial" w:eastAsia="Arial" w:hAnsi="Arial" w:cs="Arial"/>
                <w:b w:val="0"/>
                <w:i w:val="0"/>
                <w:sz w:val="18"/>
              </w:rPr>
              <w:t xml:space="preserve"> </w:t>
            </w:r>
            <w:r>
              <w:rPr>
                <w:rFonts w:ascii="Arial" w:eastAsia="Arial" w:hAnsi="Arial" w:cs="Arial"/>
                <w:b w:val="0"/>
                <w:i w:val="0"/>
                <w:sz w:val="18"/>
              </w:rPr>
              <w:t>ac</w:t>
            </w:r>
            <w:r>
              <w:rPr>
                <w:rFonts w:ascii="Arial" w:eastAsia="Arial" w:hAnsi="Arial" w:cs="Arial"/>
                <w:b w:val="0"/>
                <w:i w:val="0"/>
                <w:sz w:val="18"/>
              </w:rPr>
              <w:t xml:space="preserve">quisition opportunities, </w:t>
            </w:r>
            <w:r>
              <w:rPr>
                <w:rFonts w:ascii="Arial" w:eastAsia="Arial" w:hAnsi="Arial" w:cs="Arial"/>
                <w:b w:val="0"/>
                <w:i w:val="0"/>
                <w:sz w:val="18"/>
              </w:rPr>
              <w:t>investment decisions, and</w:t>
            </w:r>
            <w:r>
              <w:rPr>
                <w:rFonts w:ascii="Arial" w:eastAsia="Arial" w:hAnsi="Arial" w:cs="Arial"/>
                <w:b w:val="0"/>
                <w:i w:val="0"/>
                <w:sz w:val="18"/>
              </w:rPr>
              <w:t xml:space="preserve"> share buyback</w:t>
            </w:r>
            <w:r>
              <w:rPr>
                <w:rFonts w:ascii="Arial" w:eastAsia="Arial" w:hAnsi="Arial" w:cs="Arial"/>
                <w:b w:val="0"/>
                <w:i w:val="0"/>
                <w:sz w:val="18"/>
              </w:rPr>
              <w:t>s</w:t>
            </w:r>
            <w:r>
              <w:rPr>
                <w:rFonts w:ascii="Arial" w:eastAsia="Arial" w:hAnsi="Arial" w:cs="Arial"/>
                <w:b w:val="0"/>
                <w:i w:val="0"/>
                <w:sz w:val="18"/>
              </w:rPr>
              <w:t>.</w:t>
            </w:r>
          </w:p>
          <w:p>
            <w:pPr>
              <w:pageBreakBefore w:val="0"/>
              <w:numPr>
                <w:ilvl w:val="0"/>
                <w:numId w:val="0"/>
              </w:numPr>
              <w:spacing w:before="0" w:after="30" w:line="240" w:lineRule="auto"/>
              <w:ind w:left="-450" w:right="0" w:firstLine="180"/>
              <w:jc w:val="left"/>
              <w:outlineLvl w:val="9"/>
              <w:rPr>
                <w:rFonts w:ascii="Arial" w:eastAsia="Arial" w:hAnsi="Arial" w:cs="Arial"/>
                <w:b w:val="0"/>
                <w:i w:val="0"/>
                <w:sz w:val="18"/>
              </w:rPr>
            </w:pPr>
            <w:r>
              <w:rPr>
                <w:rFonts w:ascii="Arial" w:eastAsia="Arial" w:hAnsi="Arial" w:cs="Arial"/>
                <w:b w:val="0"/>
                <w:i w:val="0"/>
                <w:sz w:val="18"/>
              </w:rPr>
              <w:t xml:space="preserve"> </w:t>
            </w:r>
            <w:r>
              <w:rPr>
                <w:rFonts w:ascii="Arial" w:eastAsia="Arial" w:hAnsi="Arial" w:cs="Arial"/>
                <w:b w:val="0"/>
                <w:i w:val="0"/>
                <w:sz w:val="18"/>
              </w:rPr>
              <w:tab/>
            </w:r>
          </w:p>
        </w:tc>
      </w:tr>
      <w:tr>
        <w:tblPrEx>
          <w:tblW w:w="10260" w:type="dxa"/>
          <w:tblInd w:w="0" w:type="dxa"/>
          <w:tblLayout w:type="fixed"/>
          <w:tblCellMar>
            <w:left w:w="108" w:type="dxa"/>
            <w:right w:w="108" w:type="dxa"/>
          </w:tblCellMar>
        </w:tblPrEx>
        <w:trPr>
          <w:cantSplit/>
          <w:trHeight w:hRule="exact" w:val="555"/>
        </w:trPr>
        <w:tc>
          <w:tcPr>
            <w:tcW w:w="23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40" w:lineRule="auto"/>
              <w:ind w:left="0" w:right="0" w:firstLine="0"/>
              <w:jc w:val="left"/>
              <w:outlineLvl w:val="9"/>
              <w:rPr>
                <w:rFonts w:ascii="Arial" w:eastAsia="Arial" w:hAnsi="Arial" w:cs="Arial"/>
                <w:b w:val="0"/>
                <w:i w:val="0"/>
                <w:sz w:val="6"/>
              </w:rPr>
            </w:pPr>
            <w:r>
              <w:rPr>
                <w:rFonts w:ascii="Arial" w:eastAsia="Arial" w:hAnsi="Arial" w:cs="Arial"/>
                <w:b w:val="0"/>
                <w:i w:val="0"/>
                <w:sz w:val="6"/>
              </w:rPr>
              <w:t xml:space="preserve"> </w:t>
            </w:r>
          </w:p>
          <w:p>
            <w:pPr>
              <w:pageBreakBefore w:val="0"/>
              <w:numPr>
                <w:ilvl w:val="0"/>
                <w:numId w:val="0"/>
              </w:numPr>
              <w:spacing w:before="0"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Strengthen claims leadership</w:t>
            </w:r>
          </w:p>
        </w:tc>
        <w:tc>
          <w:tcPr>
            <w:tcW w:w="103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88" w:lineRule="auto"/>
              <w:ind w:left="0" w:right="0" w:firstLine="0"/>
              <w:jc w:val="left"/>
              <w:outlineLvl w:val="9"/>
              <w:rPr>
                <w:rFonts w:ascii="Arial" w:eastAsia="Arial" w:hAnsi="Arial" w:cs="Arial"/>
                <w:b w:val="0"/>
                <w:i w:val="0"/>
                <w:sz w:val="6"/>
              </w:rPr>
            </w:pPr>
            <w:r>
              <w:rPr>
                <w:rFonts w:ascii="Arial" w:eastAsia="Arial" w:hAnsi="Arial" w:cs="Arial"/>
                <w:b w:val="0"/>
                <w:i w:val="0"/>
                <w:sz w:val="6"/>
              </w:rPr>
              <w:t xml:space="preserve"> </w:t>
            </w:r>
          </w:p>
          <w:p>
            <w:pPr>
              <w:pageBreakBefore w:val="0"/>
              <w:numPr>
                <w:ilvl w:val="0"/>
                <w:numId w:val="0"/>
              </w:numPr>
              <w:spacing w:before="0" w:after="30" w:line="288" w:lineRule="auto"/>
              <w:ind w:left="0" w:right="0" w:firstLine="0"/>
              <w:jc w:val="left"/>
              <w:outlineLvl w:val="9"/>
              <w:rPr>
                <w:rFonts w:ascii="Arial" w:eastAsia="Arial" w:hAnsi="Arial" w:cs="Arial"/>
                <w:b w:val="0"/>
                <w:i w:val="0"/>
                <w:sz w:val="18"/>
              </w:rPr>
            </w:pPr>
            <w:r>
              <w:rPr>
                <w:rFonts w:ascii="Arial" w:eastAsia="Arial" w:hAnsi="Arial" w:cs="Arial"/>
                <w:b w:val="0"/>
                <w:i w:val="0"/>
                <w:sz w:val="18"/>
              </w:rPr>
              <w:t>30%</w:t>
            </w:r>
          </w:p>
        </w:tc>
        <w:tc>
          <w:tcPr>
            <w:tcW w:w="127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88" w:lineRule="auto"/>
              <w:ind w:left="0" w:right="0" w:firstLine="0"/>
              <w:jc w:val="left"/>
              <w:outlineLvl w:val="9"/>
              <w:rPr>
                <w:rFonts w:ascii="Arial" w:eastAsia="Arial" w:hAnsi="Arial" w:cs="Arial"/>
                <w:b w:val="0"/>
                <w:i w:val="0"/>
                <w:sz w:val="6"/>
              </w:rPr>
            </w:pPr>
            <w:r>
              <w:rPr>
                <w:rFonts w:ascii="Arial" w:eastAsia="Arial" w:hAnsi="Arial" w:cs="Arial"/>
                <w:b w:val="0"/>
                <w:i w:val="0"/>
                <w:sz w:val="6"/>
              </w:rPr>
              <w:t xml:space="preserve"> </w:t>
            </w:r>
          </w:p>
          <w:p>
            <w:pPr>
              <w:pageBreakBefore w:val="0"/>
              <w:numPr>
                <w:ilvl w:val="0"/>
                <w:numId w:val="0"/>
              </w:numPr>
              <w:spacing w:before="0" w:after="30" w:line="288" w:lineRule="auto"/>
              <w:ind w:left="0" w:right="0" w:firstLine="0"/>
              <w:jc w:val="left"/>
              <w:outlineLvl w:val="9"/>
              <w:rPr>
                <w:rFonts w:ascii="Arial" w:eastAsia="Arial" w:hAnsi="Arial" w:cs="Arial"/>
                <w:b w:val="0"/>
                <w:i w:val="0"/>
                <w:sz w:val="18"/>
              </w:rPr>
            </w:pPr>
            <w:r>
              <w:rPr>
                <w:rFonts w:ascii="Arial" w:eastAsia="Arial" w:hAnsi="Arial" w:cs="Arial"/>
                <w:b w:val="0"/>
                <w:i w:val="0"/>
                <w:sz w:val="18"/>
              </w:rPr>
              <w:t>Target</w:t>
            </w:r>
          </w:p>
        </w:tc>
        <w:tc>
          <w:tcPr>
            <w:tcW w:w="56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40" w:lineRule="auto"/>
              <w:ind w:left="-450" w:right="0" w:firstLine="18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47"/>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 xml:space="preserve">Addressed key person risk and </w:t>
            </w:r>
            <w:r>
              <w:rPr>
                <w:rFonts w:ascii="Arial" w:eastAsia="Arial" w:hAnsi="Arial" w:cs="Arial"/>
                <w:b w:val="0"/>
                <w:i w:val="0"/>
                <w:sz w:val="18"/>
              </w:rPr>
              <w:t>s</w:t>
            </w:r>
            <w:r>
              <w:rPr>
                <w:rFonts w:ascii="Arial" w:eastAsia="Arial" w:hAnsi="Arial" w:cs="Arial"/>
                <w:b w:val="0"/>
                <w:i w:val="0"/>
                <w:sz w:val="18"/>
              </w:rPr>
              <w:t>trengthened global claims leadership</w:t>
            </w:r>
            <w:r>
              <w:rPr>
                <w:rFonts w:ascii="Arial" w:eastAsia="Arial" w:hAnsi="Arial" w:cs="Arial"/>
                <w:b w:val="0"/>
                <w:i w:val="0"/>
                <w:sz w:val="18"/>
              </w:rPr>
              <w:t>.</w:t>
            </w:r>
          </w:p>
          <w:p>
            <w:pPr>
              <w:pageBreakBefore w:val="0"/>
              <w:numPr>
                <w:ilvl w:val="0"/>
                <w:numId w:val="0"/>
              </w:numPr>
              <w:spacing w:before="0" w:after="0" w:line="240" w:lineRule="auto"/>
              <w:ind w:left="-450" w:right="0" w:firstLine="180"/>
              <w:jc w:val="left"/>
              <w:outlineLvl w:val="9"/>
              <w:rPr>
                <w:rFonts w:ascii="Arial" w:eastAsia="Arial" w:hAnsi="Arial" w:cs="Arial"/>
                <w:b w:val="0"/>
                <w:i w:val="0"/>
                <w:sz w:val="18"/>
              </w:rPr>
            </w:pPr>
          </w:p>
          <w:p>
            <w:pPr>
              <w:pageBreakBefore w:val="0"/>
              <w:numPr>
                <w:ilvl w:val="0"/>
                <w:numId w:val="0"/>
              </w:numPr>
              <w:spacing w:before="0" w:after="30" w:line="240" w:lineRule="auto"/>
              <w:ind w:left="-450" w:right="0" w:firstLine="180"/>
              <w:jc w:val="left"/>
              <w:outlineLvl w:val="9"/>
              <w:rPr>
                <w:rFonts w:ascii="Arial" w:eastAsia="Arial" w:hAnsi="Arial" w:cs="Arial"/>
                <w:b w:val="0"/>
                <w:i w:val="0"/>
                <w:sz w:val="18"/>
              </w:rPr>
            </w:pPr>
          </w:p>
        </w:tc>
      </w:tr>
      <w:tr>
        <w:tblPrEx>
          <w:tblW w:w="10260" w:type="dxa"/>
          <w:tblInd w:w="0" w:type="dxa"/>
          <w:tblLayout w:type="fixed"/>
          <w:tblCellMar>
            <w:left w:w="108" w:type="dxa"/>
            <w:right w:w="108" w:type="dxa"/>
          </w:tblCellMar>
        </w:tblPrEx>
        <w:trPr>
          <w:cantSplit/>
          <w:trHeight w:hRule="exact" w:val="780"/>
        </w:trPr>
        <w:tc>
          <w:tcPr>
            <w:tcW w:w="23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40" w:lineRule="auto"/>
              <w:ind w:left="0" w:right="0" w:firstLine="0"/>
              <w:jc w:val="left"/>
              <w:outlineLvl w:val="9"/>
              <w:rPr>
                <w:rFonts w:ascii="Arial" w:eastAsia="Arial" w:hAnsi="Arial" w:cs="Arial"/>
                <w:b w:val="0"/>
                <w:i w:val="0"/>
                <w:sz w:val="6"/>
              </w:rPr>
            </w:pPr>
            <w:r>
              <w:rPr>
                <w:rFonts w:ascii="Arial" w:eastAsia="Arial" w:hAnsi="Arial" w:cs="Arial"/>
                <w:b w:val="0"/>
                <w:i w:val="0"/>
                <w:sz w:val="6"/>
              </w:rPr>
              <w:t xml:space="preserve"> </w:t>
            </w:r>
          </w:p>
          <w:p>
            <w:pPr>
              <w:pageBreakBefore w:val="0"/>
              <w:numPr>
                <w:ilvl w:val="0"/>
                <w:numId w:val="0"/>
              </w:numPr>
              <w:spacing w:before="0"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Deliver </w:t>
            </w:r>
            <w:r>
              <w:rPr>
                <w:rFonts w:ascii="Arial" w:eastAsia="Arial" w:hAnsi="Arial" w:cs="Arial"/>
                <w:b w:val="0"/>
                <w:i w:val="0"/>
                <w:sz w:val="18"/>
              </w:rPr>
              <w:t>i</w:t>
            </w:r>
            <w:r>
              <w:rPr>
                <w:rFonts w:ascii="Arial" w:eastAsia="Arial" w:hAnsi="Arial" w:cs="Arial"/>
                <w:b w:val="0"/>
                <w:i w:val="0"/>
                <w:sz w:val="18"/>
              </w:rPr>
              <w:t>nvestor relations roadmap</w:t>
            </w:r>
            <w:r>
              <w:rPr>
                <w:rFonts w:ascii="Arial" w:eastAsia="Arial" w:hAnsi="Arial" w:cs="Arial"/>
                <w:b w:val="0"/>
                <w:i w:val="0"/>
                <w:sz w:val="18"/>
              </w:rPr>
              <w:t xml:space="preserve"> for 2023</w:t>
            </w:r>
          </w:p>
        </w:tc>
        <w:tc>
          <w:tcPr>
            <w:tcW w:w="103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88" w:lineRule="auto"/>
              <w:ind w:left="0" w:right="0" w:firstLine="0"/>
              <w:jc w:val="left"/>
              <w:outlineLvl w:val="9"/>
              <w:rPr>
                <w:rFonts w:ascii="Arial" w:eastAsia="Arial" w:hAnsi="Arial" w:cs="Arial"/>
                <w:b w:val="0"/>
                <w:i w:val="0"/>
                <w:sz w:val="6"/>
              </w:rPr>
            </w:pPr>
            <w:r>
              <w:rPr>
                <w:rFonts w:ascii="Arial" w:eastAsia="Arial" w:hAnsi="Arial" w:cs="Arial"/>
                <w:b w:val="0"/>
                <w:i w:val="0"/>
                <w:sz w:val="6"/>
              </w:rPr>
              <w:t xml:space="preserve"> </w:t>
            </w:r>
          </w:p>
          <w:p>
            <w:pPr>
              <w:pageBreakBefore w:val="0"/>
              <w:numPr>
                <w:ilvl w:val="0"/>
                <w:numId w:val="0"/>
              </w:numPr>
              <w:spacing w:before="0" w:after="30" w:line="288" w:lineRule="auto"/>
              <w:ind w:left="0" w:right="0" w:firstLine="0"/>
              <w:jc w:val="left"/>
              <w:outlineLvl w:val="9"/>
              <w:rPr>
                <w:rFonts w:ascii="Arial" w:eastAsia="Arial" w:hAnsi="Arial" w:cs="Arial"/>
                <w:b w:val="0"/>
                <w:i w:val="0"/>
                <w:sz w:val="18"/>
              </w:rPr>
            </w:pPr>
            <w:r>
              <w:rPr>
                <w:rFonts w:ascii="Arial" w:eastAsia="Arial" w:hAnsi="Arial" w:cs="Arial"/>
                <w:b w:val="0"/>
                <w:i w:val="0"/>
                <w:sz w:val="18"/>
              </w:rPr>
              <w:t>15%</w:t>
            </w:r>
          </w:p>
        </w:tc>
        <w:tc>
          <w:tcPr>
            <w:tcW w:w="127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88" w:lineRule="auto"/>
              <w:ind w:left="0" w:right="0" w:firstLine="0"/>
              <w:jc w:val="left"/>
              <w:outlineLvl w:val="9"/>
              <w:rPr>
                <w:rFonts w:ascii="Arial" w:eastAsia="Arial" w:hAnsi="Arial" w:cs="Arial"/>
                <w:b w:val="0"/>
                <w:i w:val="0"/>
                <w:sz w:val="6"/>
              </w:rPr>
            </w:pPr>
            <w:r>
              <w:rPr>
                <w:rFonts w:ascii="Arial" w:eastAsia="Arial" w:hAnsi="Arial" w:cs="Arial"/>
                <w:b w:val="0"/>
                <w:i w:val="0"/>
                <w:sz w:val="6"/>
              </w:rPr>
              <w:t xml:space="preserve"> </w:t>
            </w:r>
          </w:p>
          <w:p>
            <w:pPr>
              <w:pageBreakBefore w:val="0"/>
              <w:numPr>
                <w:ilvl w:val="0"/>
                <w:numId w:val="0"/>
              </w:numPr>
              <w:spacing w:before="0" w:after="30" w:line="288" w:lineRule="auto"/>
              <w:ind w:left="0" w:right="0" w:firstLine="0"/>
              <w:jc w:val="left"/>
              <w:outlineLvl w:val="9"/>
              <w:rPr>
                <w:rFonts w:ascii="Arial" w:eastAsia="Arial" w:hAnsi="Arial" w:cs="Arial"/>
                <w:b w:val="0"/>
                <w:i w:val="0"/>
                <w:sz w:val="18"/>
              </w:rPr>
            </w:pPr>
            <w:r>
              <w:rPr>
                <w:rFonts w:ascii="Arial" w:eastAsia="Arial" w:hAnsi="Arial" w:cs="Arial"/>
                <w:b w:val="0"/>
                <w:i w:val="0"/>
                <w:sz w:val="18"/>
              </w:rPr>
              <w:t>Threshold</w:t>
            </w:r>
          </w:p>
        </w:tc>
        <w:tc>
          <w:tcPr>
            <w:tcW w:w="56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40" w:lineRule="auto"/>
              <w:ind w:left="-450" w:right="0" w:firstLine="18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46"/>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Launched a roadmap for an increase in frequency and impact of the Company's invest</w:t>
            </w:r>
            <w:r>
              <w:rPr>
                <w:rFonts w:ascii="Arial" w:eastAsia="Arial" w:hAnsi="Arial" w:cs="Arial"/>
                <w:b w:val="0"/>
                <w:i w:val="0"/>
                <w:sz w:val="18"/>
              </w:rPr>
              <w:t xml:space="preserve">or relations </w:t>
            </w:r>
            <w:r>
              <w:rPr>
                <w:rFonts w:ascii="Arial" w:eastAsia="Arial" w:hAnsi="Arial" w:cs="Arial"/>
                <w:b w:val="0"/>
                <w:i w:val="0"/>
                <w:sz w:val="18"/>
              </w:rPr>
              <w:t xml:space="preserve">program, to improve </w:t>
            </w:r>
            <w:r>
              <w:rPr>
                <w:rFonts w:ascii="Arial" w:eastAsia="Arial" w:hAnsi="Arial" w:cs="Arial"/>
                <w:b w:val="0"/>
                <w:i w:val="0"/>
                <w:sz w:val="18"/>
              </w:rPr>
              <w:t>investor understanding and generate investor interest</w:t>
            </w:r>
            <w:r>
              <w:rPr>
                <w:rFonts w:ascii="Arial" w:eastAsia="Arial" w:hAnsi="Arial" w:cs="Arial"/>
                <w:b w:val="0"/>
                <w:i w:val="0"/>
                <w:sz w:val="18"/>
              </w:rPr>
              <w:t xml:space="preserve">. </w:t>
            </w:r>
          </w:p>
        </w:tc>
      </w:tr>
      <w:tr>
        <w:tblPrEx>
          <w:tblW w:w="10260" w:type="dxa"/>
          <w:tblInd w:w="0" w:type="dxa"/>
          <w:tblLayout w:type="fixed"/>
          <w:tblCellMar>
            <w:left w:w="108" w:type="dxa"/>
            <w:right w:w="108" w:type="dxa"/>
          </w:tblCellMar>
        </w:tblPrEx>
        <w:trPr>
          <w:cantSplit/>
          <w:trHeight w:hRule="exact" w:val="1080"/>
        </w:trPr>
        <w:tc>
          <w:tcPr>
            <w:tcW w:w="23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6"/>
              </w:rPr>
            </w:pPr>
            <w:r>
              <w:rPr>
                <w:rFonts w:ascii="Arial" w:eastAsia="Arial" w:hAnsi="Arial" w:cs="Arial"/>
                <w:b w:val="0"/>
                <w:i w:val="0"/>
                <w:sz w:val="18"/>
              </w:rPr>
              <w:t>Achieve</w:t>
            </w:r>
            <w:r>
              <w:rPr>
                <w:rFonts w:ascii="Arial" w:eastAsia="Arial" w:hAnsi="Arial" w:cs="Arial"/>
                <w:b w:val="0"/>
                <w:i w:val="0"/>
                <w:sz w:val="18"/>
              </w:rPr>
              <w:t xml:space="preserve"> </w:t>
            </w:r>
            <w:r>
              <w:rPr>
                <w:rFonts w:ascii="Arial" w:eastAsia="Arial" w:hAnsi="Arial" w:cs="Arial"/>
                <w:b w:val="0"/>
                <w:i w:val="0"/>
                <w:sz w:val="18"/>
              </w:rPr>
              <w:t>specified people man</w:t>
            </w:r>
            <w:r>
              <w:rPr>
                <w:rFonts w:ascii="Arial" w:eastAsia="Arial" w:hAnsi="Arial" w:cs="Arial"/>
                <w:b w:val="0"/>
                <w:i w:val="0"/>
                <w:sz w:val="18"/>
              </w:rPr>
              <w:t>agement goals</w:t>
            </w:r>
            <w:r>
              <w:rPr>
                <w:rFonts w:ascii="Arial" w:eastAsia="Arial" w:hAnsi="Arial" w:cs="Arial"/>
                <w:b w:val="0"/>
                <w:i w:val="0"/>
                <w:sz w:val="18"/>
              </w:rPr>
              <w:t xml:space="preserve">, including </w:t>
            </w:r>
            <w:r>
              <w:rPr>
                <w:rFonts w:ascii="Arial" w:eastAsia="Arial" w:hAnsi="Arial" w:cs="Arial"/>
                <w:b w:val="0"/>
                <w:i w:val="0"/>
                <w:sz w:val="18"/>
              </w:rPr>
              <w:t xml:space="preserve">group </w:t>
            </w:r>
            <w:r>
              <w:rPr>
                <w:rFonts w:ascii="Arial" w:eastAsia="Arial" w:hAnsi="Arial" w:cs="Arial"/>
                <w:b w:val="0"/>
                <w:i w:val="0"/>
                <w:sz w:val="18"/>
              </w:rPr>
              <w:t xml:space="preserve">employee engagement </w:t>
            </w:r>
            <w:r>
              <w:rPr>
                <w:rFonts w:ascii="Arial" w:eastAsia="Arial" w:hAnsi="Arial" w:cs="Arial"/>
                <w:b w:val="0"/>
                <w:i w:val="0"/>
                <w:sz w:val="18"/>
              </w:rPr>
              <w:t>score above benchmark</w:t>
            </w:r>
          </w:p>
        </w:tc>
        <w:tc>
          <w:tcPr>
            <w:tcW w:w="103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88" w:lineRule="auto"/>
              <w:ind w:left="0" w:right="0" w:firstLine="0"/>
              <w:jc w:val="left"/>
              <w:outlineLvl w:val="9"/>
              <w:rPr>
                <w:rFonts w:ascii="Arial" w:eastAsia="Arial" w:hAnsi="Arial" w:cs="Arial"/>
                <w:b w:val="0"/>
                <w:i w:val="0"/>
                <w:sz w:val="6"/>
              </w:rPr>
            </w:pPr>
            <w:r>
              <w:rPr>
                <w:rFonts w:ascii="Arial" w:eastAsia="Arial" w:hAnsi="Arial" w:cs="Arial"/>
                <w:b w:val="0"/>
                <w:i w:val="0"/>
                <w:sz w:val="6"/>
              </w:rPr>
              <w:t xml:space="preserve"> </w:t>
            </w:r>
          </w:p>
          <w:p>
            <w:pPr>
              <w:pageBreakBefore w:val="0"/>
              <w:numPr>
                <w:ilvl w:val="0"/>
                <w:numId w:val="0"/>
              </w:numPr>
              <w:spacing w:before="0" w:after="30" w:line="288" w:lineRule="auto"/>
              <w:ind w:left="0" w:right="0" w:firstLine="0"/>
              <w:jc w:val="left"/>
              <w:outlineLvl w:val="9"/>
              <w:rPr>
                <w:rFonts w:ascii="Arial" w:eastAsia="Arial" w:hAnsi="Arial" w:cs="Arial"/>
                <w:b w:val="0"/>
                <w:i w:val="0"/>
                <w:sz w:val="18"/>
              </w:rPr>
            </w:pPr>
            <w:r>
              <w:rPr>
                <w:rFonts w:ascii="Arial" w:eastAsia="Arial" w:hAnsi="Arial" w:cs="Arial"/>
                <w:b w:val="0"/>
                <w:i w:val="0"/>
                <w:sz w:val="18"/>
              </w:rPr>
              <w:t>10%</w:t>
            </w:r>
          </w:p>
        </w:tc>
        <w:tc>
          <w:tcPr>
            <w:tcW w:w="127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88" w:lineRule="auto"/>
              <w:ind w:left="0" w:right="0" w:firstLine="0"/>
              <w:jc w:val="left"/>
              <w:outlineLvl w:val="9"/>
              <w:rPr>
                <w:rFonts w:ascii="Arial" w:eastAsia="Arial" w:hAnsi="Arial" w:cs="Arial"/>
                <w:b w:val="0"/>
                <w:i w:val="0"/>
                <w:sz w:val="6"/>
              </w:rPr>
            </w:pPr>
            <w:r>
              <w:rPr>
                <w:rFonts w:ascii="Arial" w:eastAsia="Arial" w:hAnsi="Arial" w:cs="Arial"/>
                <w:b w:val="0"/>
                <w:i w:val="0"/>
                <w:sz w:val="6"/>
              </w:rPr>
              <w:t xml:space="preserve"> </w:t>
            </w:r>
          </w:p>
          <w:p>
            <w:pPr>
              <w:pageBreakBefore w:val="0"/>
              <w:numPr>
                <w:ilvl w:val="0"/>
                <w:numId w:val="0"/>
              </w:numPr>
              <w:spacing w:before="0" w:after="30" w:line="288" w:lineRule="auto"/>
              <w:ind w:left="0" w:right="0" w:firstLine="0"/>
              <w:jc w:val="left"/>
              <w:outlineLvl w:val="9"/>
              <w:rPr>
                <w:rFonts w:ascii="Arial" w:eastAsia="Arial" w:hAnsi="Arial" w:cs="Arial"/>
                <w:b w:val="0"/>
                <w:i w:val="0"/>
                <w:sz w:val="18"/>
              </w:rPr>
            </w:pPr>
            <w:r>
              <w:rPr>
                <w:rFonts w:ascii="Arial" w:eastAsia="Arial" w:hAnsi="Arial" w:cs="Arial"/>
                <w:b w:val="0"/>
                <w:i w:val="0"/>
                <w:sz w:val="18"/>
              </w:rPr>
              <w:t>Target</w:t>
            </w:r>
          </w:p>
        </w:tc>
        <w:tc>
          <w:tcPr>
            <w:tcW w:w="56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45"/>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Sponsored</w:t>
            </w:r>
            <w:r>
              <w:rPr>
                <w:rFonts w:ascii="Arial" w:eastAsia="Arial" w:hAnsi="Arial" w:cs="Arial"/>
                <w:b w:val="0"/>
                <w:i w:val="0"/>
                <w:sz w:val="18"/>
              </w:rPr>
              <w:t xml:space="preserve"> </w:t>
            </w:r>
            <w:r>
              <w:rPr>
                <w:rFonts w:ascii="Arial" w:eastAsia="Arial" w:hAnsi="Arial" w:cs="Arial"/>
                <w:b w:val="0"/>
                <w:i w:val="0"/>
                <w:sz w:val="18"/>
              </w:rPr>
              <w:t xml:space="preserve">HR strategic initiatives to drive </w:t>
            </w:r>
            <w:r>
              <w:rPr>
                <w:rFonts w:ascii="Arial" w:eastAsia="Arial" w:hAnsi="Arial" w:cs="Arial"/>
                <w:b w:val="0"/>
                <w:i w:val="0"/>
                <w:sz w:val="18"/>
              </w:rPr>
              <w:t>h</w:t>
            </w:r>
            <w:r>
              <w:rPr>
                <w:rFonts w:ascii="Arial" w:eastAsia="Arial" w:hAnsi="Arial" w:cs="Arial"/>
                <w:b w:val="0"/>
                <w:i w:val="0"/>
                <w:sz w:val="18"/>
              </w:rPr>
              <w:t xml:space="preserve">igh </w:t>
            </w:r>
            <w:r>
              <w:rPr>
                <w:rFonts w:ascii="Arial" w:eastAsia="Arial" w:hAnsi="Arial" w:cs="Arial"/>
                <w:b w:val="0"/>
                <w:i w:val="0"/>
                <w:sz w:val="18"/>
              </w:rPr>
              <w:t xml:space="preserve">performance and engagement achieving for the second consecutive year a high engagement index nine percentage points above the industry benchmark, high upper quartile. </w:t>
            </w:r>
          </w:p>
        </w:tc>
      </w:tr>
      <w:tr>
        <w:tblPrEx>
          <w:tblW w:w="10260" w:type="dxa"/>
          <w:tblInd w:w="0" w:type="dxa"/>
          <w:tblLayout w:type="fixed"/>
          <w:tblCellMar>
            <w:left w:w="108" w:type="dxa"/>
            <w:right w:w="108" w:type="dxa"/>
          </w:tblCellMar>
        </w:tblPrEx>
        <w:trPr>
          <w:cantSplit/>
          <w:trHeight w:hRule="exact" w:val="405"/>
        </w:trPr>
        <w:tc>
          <w:tcPr>
            <w:tcW w:w="10260" w:type="dxa"/>
            <w:gridSpan w:val="4"/>
            <w:tcBorders>
              <w:top w:val="nil"/>
              <w:left w:val="nil"/>
              <w:bottom w:val="nil"/>
              <w:right w:val="nil"/>
            </w:tcBorders>
            <w:shd w:val="clear" w:color="auto" w:fill="FFFFFF"/>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sz w:val="18"/>
              </w:rPr>
            </w:pPr>
            <w:r>
              <w:rPr>
                <w:rFonts w:ascii="Arial" w:eastAsia="Arial" w:hAnsi="Arial" w:cs="Arial"/>
                <w:b/>
                <w:i w:val="0"/>
                <w:sz w:val="18"/>
              </w:rPr>
              <w:t xml:space="preserve">Percentage of Target Individual Performance Objective Achieved: </w:t>
            </w:r>
            <w:r>
              <w:rPr>
                <w:rFonts w:ascii="Arial" w:eastAsia="Arial" w:hAnsi="Arial" w:cs="Arial"/>
                <w:b/>
                <w:i w:val="0"/>
                <w:color w:val="000000"/>
                <w:sz w:val="18"/>
                <w:u w:val="none"/>
              </w:rPr>
              <w:t>95.0%</w:t>
            </w: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i w:val="0"/>
          <w:color w:val="4494D1"/>
          <w:sz w:val="20"/>
          <w:u w:val="none"/>
        </w:rPr>
      </w:pPr>
      <w:r>
        <w:rPr>
          <w:rFonts w:ascii="Arial" w:eastAsia="Arial" w:hAnsi="Arial" w:cs="Arial"/>
          <w:b/>
          <w:i w:val="0"/>
          <w:color w:val="4494D1"/>
          <w:sz w:val="20"/>
          <w:u w:val="none"/>
        </w:rPr>
        <w:t>Settlement of</w:t>
      </w:r>
      <w:r>
        <w:rPr>
          <w:rFonts w:ascii="Arial" w:eastAsia="Arial" w:hAnsi="Arial" w:cs="Arial"/>
          <w:b/>
          <w:i w:val="0"/>
          <w:color w:val="4494D1"/>
          <w:sz w:val="20"/>
          <w:u w:val="none"/>
        </w:rPr>
        <w:t xml:space="preserve"> </w:t>
      </w:r>
      <w:r>
        <w:rPr>
          <w:rFonts w:ascii="Arial" w:eastAsia="Arial" w:hAnsi="Arial" w:cs="Arial"/>
          <w:b/>
          <w:i w:val="0"/>
          <w:color w:val="4494D1"/>
          <w:sz w:val="20"/>
          <w:u w:val="none"/>
        </w:rPr>
        <w:t>Performance-Based</w:t>
      </w:r>
      <w:r>
        <w:rPr>
          <w:rFonts w:ascii="Arial" w:eastAsia="Arial" w:hAnsi="Arial" w:cs="Arial"/>
          <w:b/>
          <w:i w:val="0"/>
          <w:color w:val="4494D1"/>
          <w:sz w:val="20"/>
          <w:u w:val="none"/>
        </w:rPr>
        <w:t xml:space="preserve"> </w:t>
      </w:r>
      <w:r>
        <w:rPr>
          <w:rFonts w:ascii="Arial" w:eastAsia="Arial" w:hAnsi="Arial" w:cs="Arial"/>
          <w:b/>
          <w:i w:val="0"/>
          <w:color w:val="4494D1"/>
          <w:sz w:val="20"/>
          <w:u w:val="none"/>
        </w:rPr>
        <w:t>Equity</w:t>
      </w:r>
      <w:r>
        <w:rPr>
          <w:rFonts w:ascii="Arial" w:eastAsia="Arial" w:hAnsi="Arial" w:cs="Arial"/>
          <w:b/>
          <w:i w:val="0"/>
          <w:color w:val="4494D1"/>
          <w:sz w:val="20"/>
          <w:u w:val="none"/>
        </w:rPr>
        <w:t xml:space="preserve"> Awards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No equity awards were settled </w:t>
      </w:r>
      <w:r>
        <w:rPr>
          <w:rFonts w:ascii="Arial" w:eastAsia="Arial" w:hAnsi="Arial" w:cs="Arial"/>
          <w:b w:val="0"/>
          <w:i w:val="0"/>
          <w:sz w:val="20"/>
        </w:rPr>
        <w:t xml:space="preserve">for Mr. Silvester </w:t>
      </w:r>
      <w:r>
        <w:rPr>
          <w:rFonts w:ascii="Arial" w:eastAsia="Arial" w:hAnsi="Arial" w:cs="Arial"/>
          <w:b w:val="0"/>
          <w:i w:val="0"/>
          <w:sz w:val="20"/>
        </w:rPr>
        <w:t>during 2023.</w:t>
      </w:r>
      <w:r>
        <w:rPr>
          <w:rFonts w:ascii="Arial" w:eastAsia="Arial" w:hAnsi="Arial" w:cs="Arial"/>
          <w:b w:val="0"/>
          <w:i w:val="0"/>
          <w:sz w:val="20"/>
        </w:rPr>
        <w:t xml:space="preserve"> </w:t>
      </w:r>
      <w:r>
        <w:rPr>
          <w:rFonts w:ascii="Arial" w:eastAsia="Arial" w:hAnsi="Arial" w:cs="Arial"/>
          <w:b w:val="0"/>
          <w:i w:val="0"/>
          <w:sz w:val="20"/>
        </w:rPr>
        <w:t xml:space="preserve">The JSOP </w:t>
      </w:r>
      <w:r>
        <w:rPr>
          <w:rFonts w:ascii="Arial" w:eastAsia="Arial" w:hAnsi="Arial" w:cs="Arial"/>
          <w:b w:val="0"/>
          <w:i w:val="0"/>
          <w:sz w:val="20"/>
        </w:rPr>
        <w:t>A</w:t>
      </w:r>
      <w:r>
        <w:rPr>
          <w:rFonts w:ascii="Arial" w:eastAsia="Arial" w:hAnsi="Arial" w:cs="Arial"/>
          <w:b w:val="0"/>
          <w:i w:val="0"/>
          <w:sz w:val="20"/>
        </w:rPr>
        <w:t>ward remains outstanding.</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sectPr>
          <w:headerReference w:type="default" r:id="rId244"/>
          <w:footerReference w:type="default" r:id="rId245"/>
          <w:type w:val="continuous"/>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171449"/>
          <w:sz w:val="24"/>
          <w:u w:val="none"/>
        </w:rPr>
      </w:pPr>
      <w:bookmarkStart w:id="86" w:name="Section89"/>
      <w:bookmarkEnd w:id="86"/>
      <w:r>
        <w:rPr>
          <w:rFonts w:ascii="Arial" w:eastAsia="Arial" w:hAnsi="Arial" w:cs="Arial"/>
          <w:b/>
          <w:i w:val="0"/>
          <w:color w:val="171449"/>
          <w:sz w:val="4"/>
          <w:u w:val="none"/>
        </w:rPr>
        <w:t xml:space="preserve"> </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500"/>
        <w:gridCol w:w="315"/>
        <w:gridCol w:w="844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00"/>
        </w:trPr>
        <w:tc>
          <w:tcPr>
            <w:tcW w:w="1500"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hanging="90"/>
              <w:jc w:val="left"/>
              <w:outlineLvl w:val="9"/>
              <w:rPr>
                <w:rFonts w:ascii="Arial" w:eastAsia="Arial" w:hAnsi="Arial" w:cs="Arial"/>
                <w:b w:val="0"/>
                <w:i w:val="0"/>
                <w:sz w:val="20"/>
              </w:rPr>
            </w:pPr>
            <w:r>
              <w:pict>
                <v:shape id="_x0000_i1239" type="#_x0000_t75" style="width:83.52pt;height:83.52pt">
                  <v:imagedata r:id="rId173" o:title=""/>
                  <o:lock v:ext="edit" aspectratio="t"/>
                </v:shape>
              </w:pict>
            </w:r>
          </w:p>
        </w:tc>
        <w:tc>
          <w:tcPr>
            <w:tcW w:w="315" w:type="dxa"/>
            <w:vMerge w:val="restart"/>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22"/>
                <w:u w:val="none"/>
              </w:rPr>
              <w:t xml:space="preserve">  Matthew Kirk</w:t>
            </w: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val="0"/>
                <w:i w:val="0"/>
                <w:color w:val="000000"/>
                <w:sz w:val="20"/>
                <w:u w:val="none"/>
              </w:rPr>
              <w:t xml:space="preserve">  Chief Financial Officer</w:t>
            </w:r>
          </w:p>
        </w:tc>
      </w:tr>
      <w:tr>
        <w:tblPrEx>
          <w:tblW w:w="10260" w:type="dxa"/>
          <w:tblInd w:w="0" w:type="dxa"/>
          <w:tblLayout w:type="fixed"/>
          <w:tblCellMar>
            <w:left w:w="108" w:type="dxa"/>
            <w:right w:w="108" w:type="dxa"/>
          </w:tblCellMar>
        </w:tblPrEx>
        <w:trPr>
          <w:cantSplit/>
          <w:trHeight w:hRule="exact" w:val="225"/>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20"/>
                <w:u w:val="none"/>
              </w:rPr>
              <w:t xml:space="preserve">  2023 Annual Compensation Mix</w:t>
            </w: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vMerge w:val="restart"/>
            <w:tcBorders>
              <w:top w:val="nil"/>
              <w:left w:val="single" w:sz="12" w:space="0" w:color="4494D1"/>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hanging="1080"/>
              <w:jc w:val="left"/>
              <w:outlineLvl w:val="9"/>
              <w:rPr>
                <w:rFonts w:ascii="Arial" w:eastAsia="Arial" w:hAnsi="Arial" w:cs="Arial"/>
                <w:b/>
                <w:i w:val="0"/>
                <w:sz w:val="20"/>
              </w:rPr>
            </w:pPr>
            <w:r>
              <w:pict>
                <v:shape id="_x0000_i1240" type="#_x0000_t75" style="width:571.5pt;height:321.47pt">
                  <v:imagedata r:id="rId246" o:title=""/>
                  <o:lock v:ext="edit" aspectratio="t"/>
                </v:shape>
              </w:pict>
            </w: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vMerge/>
            <w:tcBorders>
              <w:top w:val="nil"/>
              <w:left w:val="single" w:sz="12" w:space="0" w:color="4494D1"/>
              <w:bottom w:val="nil"/>
              <w:right w:val="nil"/>
            </w:tcBorders>
          </w:tcPr>
          <w:p>
            <w:pPr>
              <w:keepNext/>
              <w:pageBreakBefore w:val="0"/>
            </w:pPr>
          </w:p>
        </w:tc>
      </w:tr>
      <w:tr>
        <w:tblPrEx>
          <w:tblW w:w="10260" w:type="dxa"/>
          <w:tblInd w:w="0" w:type="dxa"/>
          <w:tblLayout w:type="fixed"/>
          <w:tblCellMar>
            <w:left w:w="108" w:type="dxa"/>
            <w:right w:w="108" w:type="dxa"/>
          </w:tblCellMar>
        </w:tblPrEx>
        <w:trPr>
          <w:cantSplit/>
          <w:trHeight w:hRule="exact" w:val="1845"/>
        </w:trPr>
        <w:tc>
          <w:tcPr>
            <w:tcW w:w="150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31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445" w:type="dxa"/>
            <w:vMerge/>
            <w:tcBorders>
              <w:top w:val="nil"/>
              <w:left w:val="single" w:sz="12" w:space="0" w:color="4494D1"/>
              <w:bottom w:val="nil"/>
              <w:right w:val="nil"/>
            </w:tcBorders>
          </w:tcPr>
          <w:p>
            <w:pPr>
              <w:pageBreakBefore w:val="0"/>
            </w:pPr>
          </w:p>
        </w:tc>
      </w:tr>
    </w:tbl>
    <w:p>
      <w:pPr>
        <w:keepNext w:val="0"/>
        <w:keepLines w:val="0"/>
        <w:pageBreakBefore w:val="0"/>
        <w:widowControl/>
        <w:numPr>
          <w:ilvl w:val="0"/>
          <w:numId w:val="0"/>
        </w:numPr>
        <w:spacing w:before="6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3"/>
        <w:rPr>
          <w:rFonts w:ascii="Arial" w:eastAsia="Arial" w:hAnsi="Arial" w:cs="Arial"/>
          <w:b/>
          <w:i w:val="0"/>
          <w:color w:val="4494D1"/>
          <w:sz w:val="20"/>
          <w:u w:val="none"/>
        </w:rPr>
      </w:pPr>
      <w:r>
        <w:rPr>
          <w:rFonts w:ascii="Arial" w:eastAsia="Arial" w:hAnsi="Arial" w:cs="Arial"/>
          <w:b/>
          <w:i w:val="0"/>
          <w:color w:val="4494D1"/>
          <w:sz w:val="20"/>
          <w:u w:val="none"/>
        </w:rPr>
        <w:t>2023 Compensation Elements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As shown in the table below, for 2023, the </w:t>
      </w:r>
      <w:r>
        <w:rPr>
          <w:rFonts w:ascii="Arial" w:eastAsia="Arial" w:hAnsi="Arial" w:cs="Arial"/>
          <w:b w:val="0"/>
          <w:i w:val="0"/>
          <w:sz w:val="20"/>
        </w:rPr>
        <w:t xml:space="preserve">Compensation Committee </w:t>
      </w:r>
      <w:r>
        <w:rPr>
          <w:rFonts w:ascii="Arial" w:eastAsia="Arial" w:hAnsi="Arial" w:cs="Arial"/>
          <w:b w:val="0"/>
          <w:i w:val="0"/>
          <w:sz w:val="20"/>
        </w:rPr>
        <w:t>increased</w:t>
      </w:r>
      <w:r>
        <w:rPr>
          <w:rFonts w:ascii="Arial" w:eastAsia="Arial" w:hAnsi="Arial" w:cs="Arial"/>
          <w:b w:val="0"/>
          <w:i w:val="0"/>
          <w:sz w:val="20"/>
        </w:rPr>
        <w:t xml:space="preserve"> Mr. </w:t>
      </w:r>
      <w:r>
        <w:rPr>
          <w:rFonts w:ascii="Arial" w:eastAsia="Arial" w:hAnsi="Arial" w:cs="Arial"/>
          <w:b w:val="0"/>
          <w:i w:val="0"/>
          <w:sz w:val="20"/>
        </w:rPr>
        <w:t>Kirk</w:t>
      </w:r>
      <w:r>
        <w:rPr>
          <w:rFonts w:ascii="Arial" w:eastAsia="Arial" w:hAnsi="Arial" w:cs="Arial"/>
          <w:b w:val="0"/>
          <w:i w:val="0"/>
          <w:sz w:val="20"/>
        </w:rPr>
        <w:t>'s base salary and his target annual cash incentive award</w:t>
      </w:r>
      <w:r>
        <w:rPr>
          <w:rFonts w:ascii="Arial" w:eastAsia="Arial" w:hAnsi="Arial" w:cs="Arial"/>
          <w:b w:val="0"/>
          <w:i w:val="0"/>
          <w:sz w:val="20"/>
        </w:rPr>
        <w:t xml:space="preserve"> </w:t>
      </w:r>
      <w:r>
        <w:rPr>
          <w:rFonts w:ascii="Arial" w:eastAsia="Arial" w:hAnsi="Arial" w:cs="Arial"/>
          <w:b w:val="0"/>
          <w:i w:val="0"/>
          <w:sz w:val="20"/>
        </w:rPr>
        <w:t>in connection with his prom</w:t>
      </w:r>
      <w:r>
        <w:rPr>
          <w:rFonts w:ascii="Arial" w:eastAsia="Arial" w:hAnsi="Arial" w:cs="Arial"/>
          <w:b w:val="0"/>
          <w:i w:val="0"/>
          <w:color w:val="000000"/>
          <w:sz w:val="20"/>
          <w:u w:val="none"/>
        </w:rPr>
        <w:t>otion to the role of CFO in March 2023</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and in light of competitive market practice</w:t>
      </w:r>
      <w:r>
        <w:rPr>
          <w:rFonts w:ascii="Arial" w:eastAsia="Arial" w:hAnsi="Arial" w:cs="Arial"/>
          <w:b w:val="0"/>
          <w:i w:val="0"/>
          <w:sz w:val="20"/>
        </w:rPr>
        <w:t xml:space="preserve">. </w:t>
      </w:r>
      <w:r>
        <w:rPr>
          <w:rFonts w:ascii="Arial" w:eastAsia="Arial" w:hAnsi="Arial" w:cs="Arial"/>
          <w:b w:val="0"/>
          <w:i w:val="0"/>
          <w:sz w:val="20"/>
        </w:rPr>
        <w:t xml:space="preserve">In setting </w:t>
      </w:r>
      <w:r>
        <w:rPr>
          <w:rFonts w:ascii="Arial" w:eastAsia="Arial" w:hAnsi="Arial" w:cs="Arial"/>
          <w:b w:val="0"/>
          <w:i w:val="0"/>
          <w:sz w:val="20"/>
        </w:rPr>
        <w:t xml:space="preserve">Mr. </w:t>
      </w:r>
      <w:r>
        <w:rPr>
          <w:rFonts w:ascii="Arial" w:eastAsia="Arial" w:hAnsi="Arial" w:cs="Arial"/>
          <w:b w:val="0"/>
          <w:i w:val="0"/>
          <w:sz w:val="20"/>
        </w:rPr>
        <w:t>Kirk</w:t>
      </w:r>
      <w:r>
        <w:rPr>
          <w:rFonts w:ascii="Arial" w:eastAsia="Arial" w:hAnsi="Arial" w:cs="Arial"/>
          <w:b w:val="0"/>
          <w:i w:val="0"/>
          <w:sz w:val="20"/>
        </w:rPr>
        <w:t>'s compensation</w:t>
      </w:r>
      <w:r>
        <w:rPr>
          <w:rFonts w:ascii="Arial" w:eastAsia="Arial" w:hAnsi="Arial" w:cs="Arial"/>
          <w:b w:val="0"/>
          <w:i w:val="0"/>
          <w:sz w:val="20"/>
        </w:rPr>
        <w:t xml:space="preserve">, the </w:t>
      </w:r>
      <w:r>
        <w:rPr>
          <w:rFonts w:ascii="Arial" w:eastAsia="Arial" w:hAnsi="Arial" w:cs="Arial"/>
          <w:b w:val="0"/>
          <w:i w:val="0"/>
          <w:sz w:val="20"/>
        </w:rPr>
        <w:t>Compens</w:t>
      </w:r>
      <w:r>
        <w:rPr>
          <w:rFonts w:ascii="Arial" w:eastAsia="Arial" w:hAnsi="Arial" w:cs="Arial"/>
          <w:b w:val="0"/>
          <w:i w:val="0"/>
          <w:sz w:val="20"/>
        </w:rPr>
        <w:t xml:space="preserve">ation </w:t>
      </w:r>
      <w:r>
        <w:rPr>
          <w:rFonts w:ascii="Arial" w:eastAsia="Arial" w:hAnsi="Arial" w:cs="Arial"/>
          <w:b w:val="0"/>
          <w:i w:val="0"/>
          <w:sz w:val="20"/>
        </w:rPr>
        <w:t xml:space="preserve">Committee and </w:t>
      </w:r>
      <w:r>
        <w:rPr>
          <w:rFonts w:ascii="Arial" w:eastAsia="Arial" w:hAnsi="Arial" w:cs="Arial"/>
          <w:b w:val="0"/>
          <w:i w:val="0"/>
          <w:color w:val="000000"/>
          <w:sz w:val="20"/>
          <w:u w:val="none"/>
        </w:rPr>
        <w:t>Board con</w:t>
      </w:r>
      <w:r>
        <w:rPr>
          <w:rFonts w:ascii="Arial" w:eastAsia="Arial" w:hAnsi="Arial" w:cs="Arial"/>
          <w:b w:val="0"/>
          <w:i w:val="0"/>
          <w:color w:val="000000"/>
          <w:sz w:val="20"/>
          <w:u w:val="none"/>
        </w:rPr>
        <w:t xml:space="preserve">ducted a benchmarking exercise </w:t>
      </w:r>
      <w:r>
        <w:rPr>
          <w:rFonts w:ascii="Arial" w:eastAsia="Arial" w:hAnsi="Arial" w:cs="Arial"/>
          <w:b w:val="0"/>
          <w:i w:val="0"/>
          <w:color w:val="000000"/>
          <w:sz w:val="20"/>
          <w:u w:val="none"/>
        </w:rPr>
        <w:t xml:space="preserve">and </w:t>
      </w:r>
      <w:r>
        <w:rPr>
          <w:rFonts w:ascii="Arial" w:eastAsia="Arial" w:hAnsi="Arial" w:cs="Arial"/>
          <w:b w:val="0"/>
          <w:i w:val="0"/>
          <w:color w:val="000000"/>
          <w:sz w:val="20"/>
          <w:u w:val="none"/>
        </w:rPr>
        <w:t>considered</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the competitive positioning of his overall compensation as compared to the compensation of similar officers at companies in our peer group</w:t>
      </w:r>
      <w:r>
        <w:rPr>
          <w:rFonts w:ascii="Arial" w:eastAsia="Arial" w:hAnsi="Arial" w:cs="Arial"/>
          <w:b w:val="0"/>
          <w:i w:val="0"/>
          <w:color w:val="000000"/>
          <w:sz w:val="20"/>
          <w:u w:val="none"/>
        </w:rPr>
        <w:t xml:space="preserve"> and other insurance companies</w:t>
      </w:r>
      <w:r>
        <w:rPr>
          <w:rFonts w:ascii="Arial" w:eastAsia="Arial" w:hAnsi="Arial" w:cs="Arial"/>
          <w:b w:val="0"/>
          <w:i w:val="0"/>
          <w:color w:val="000000"/>
          <w:sz w:val="20"/>
          <w:u w:val="none"/>
        </w:rPr>
        <w: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Also shown </w:t>
      </w:r>
      <w:r>
        <w:rPr>
          <w:rFonts w:ascii="Arial" w:eastAsia="Arial" w:hAnsi="Arial" w:cs="Arial"/>
          <w:b w:val="0"/>
          <w:i w:val="0"/>
          <w:sz w:val="20"/>
        </w:rPr>
        <w:t>in the table below, Mr. Kirk</w:t>
      </w:r>
      <w:r>
        <w:rPr>
          <w:rFonts w:ascii="Arial" w:eastAsia="Arial" w:hAnsi="Arial" w:cs="Arial"/>
          <w:b w:val="0"/>
          <w:i w:val="0"/>
          <w:sz w:val="20"/>
        </w:rPr>
        <w:t xml:space="preserve"> received grants of PSUs and RSUs under our annual senior management LTI program in in March 2023. These awards comprised 70% PSUs and 30% RSUs. </w:t>
      </w:r>
    </w:p>
    <w:tbl>
      <w:tblPr>
        <w:tblW w:w="103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655"/>
        <w:gridCol w:w="3705"/>
        <w:gridCol w:w="1995"/>
        <w:gridCol w:w="1995"/>
      </w:tblGrid>
      <w:tr>
        <w:tblPrEx>
          <w:tblW w:w="103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705"/>
        </w:trPr>
        <w:tc>
          <w:tcPr>
            <w:tcW w:w="265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370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Type of Compensation</w:t>
            </w:r>
          </w:p>
          <w:p>
            <w:pPr>
              <w:pageBreakBefore w:val="0"/>
              <w:numPr>
                <w:ilvl w:val="0"/>
                <w:numId w:val="0"/>
              </w:numPr>
              <w:spacing w:before="0" w:after="30" w:line="240" w:lineRule="auto"/>
              <w:ind w:left="0" w:right="0" w:firstLine="0"/>
              <w:jc w:val="left"/>
              <w:outlineLvl w:val="9"/>
              <w:rPr>
                <w:rFonts w:ascii="Arial" w:eastAsia="Arial" w:hAnsi="Arial" w:cs="Arial"/>
                <w:b/>
                <w:i w:val="0"/>
                <w:sz w:val="6"/>
              </w:rPr>
            </w:pPr>
            <w:r>
              <w:rPr>
                <w:rFonts w:ascii="Arial" w:eastAsia="Arial" w:hAnsi="Arial" w:cs="Arial"/>
                <w:b/>
                <w:i w:val="0"/>
                <w:sz w:val="6"/>
              </w:rPr>
              <w:t xml:space="preserve"> </w:t>
            </w:r>
          </w:p>
        </w:tc>
        <w:tc>
          <w:tcPr>
            <w:tcW w:w="199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2023 Amounts</w:t>
            </w:r>
          </w:p>
          <w:p>
            <w:pPr>
              <w:pageBreakBefore w:val="0"/>
              <w:numPr>
                <w:ilvl w:val="0"/>
                <w:numId w:val="0"/>
              </w:numPr>
              <w:spacing w:before="0" w:after="30" w:line="240" w:lineRule="auto"/>
              <w:ind w:left="0" w:right="0" w:firstLine="0"/>
              <w:jc w:val="left"/>
              <w:outlineLvl w:val="9"/>
              <w:rPr>
                <w:rFonts w:ascii="Arial" w:eastAsia="Arial" w:hAnsi="Arial" w:cs="Arial"/>
                <w:b/>
                <w:i w:val="0"/>
                <w:sz w:val="8"/>
              </w:rPr>
            </w:pPr>
            <w:r>
              <w:rPr>
                <w:rFonts w:ascii="Arial" w:eastAsia="Arial" w:hAnsi="Arial" w:cs="Arial"/>
                <w:b/>
                <w:i w:val="0"/>
                <w:sz w:val="8"/>
              </w:rPr>
              <w:t xml:space="preserve"> </w:t>
            </w:r>
          </w:p>
        </w:tc>
        <w:tc>
          <w:tcPr>
            <w:tcW w:w="199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2022 Amounts</w:t>
            </w:r>
          </w:p>
          <w:p>
            <w:pPr>
              <w:pageBreakBefore w:val="0"/>
              <w:numPr>
                <w:ilvl w:val="0"/>
                <w:numId w:val="0"/>
              </w:numPr>
              <w:spacing w:before="0" w:after="30" w:line="240" w:lineRule="auto"/>
              <w:ind w:left="0" w:right="0" w:firstLine="0"/>
              <w:jc w:val="left"/>
              <w:outlineLvl w:val="9"/>
              <w:rPr>
                <w:rFonts w:ascii="Arial" w:eastAsia="Arial" w:hAnsi="Arial" w:cs="Arial"/>
                <w:b/>
                <w:i w:val="0"/>
                <w:sz w:val="8"/>
              </w:rPr>
            </w:pPr>
            <w:r>
              <w:rPr>
                <w:rFonts w:ascii="Arial" w:eastAsia="Arial" w:hAnsi="Arial" w:cs="Arial"/>
                <w:b/>
                <w:i w:val="0"/>
                <w:sz w:val="8"/>
              </w:rPr>
              <w:t xml:space="preserve"> </w:t>
            </w:r>
          </w:p>
        </w:tc>
      </w:tr>
      <w:tr>
        <w:tblPrEx>
          <w:tblW w:w="10350" w:type="dxa"/>
          <w:tblInd w:w="0" w:type="dxa"/>
          <w:tblLayout w:type="fixed"/>
          <w:tblCellMar>
            <w:left w:w="108" w:type="dxa"/>
            <w:right w:w="108" w:type="dxa"/>
          </w:tblCellMar>
        </w:tblPrEx>
        <w:trPr>
          <w:cantSplit/>
          <w:trHeight w:hRule="exact" w:val="315"/>
        </w:trPr>
        <w:tc>
          <w:tcPr>
            <w:tcW w:w="2655" w:type="dxa"/>
            <w:tcBorders>
              <w:top w:val="single" w:sz="12" w:space="0" w:color="4494D1"/>
              <w:left w:val="nil"/>
              <w:bottom w:val="single" w:sz="8" w:space="0" w:color="B6B6B6"/>
              <w:right w:val="nil"/>
            </w:tcBorders>
            <w:tcMar>
              <w:top w:w="0" w:type="dxa"/>
              <w:left w:w="53" w:type="dxa"/>
              <w:bottom w:w="0" w:type="dxa"/>
              <w:right w:w="53"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Base Salary (from April 1, 2023)</w:t>
            </w:r>
          </w:p>
        </w:tc>
        <w:tc>
          <w:tcPr>
            <w:tcW w:w="3705" w:type="dxa"/>
            <w:tcBorders>
              <w:top w:val="single" w:sz="12" w:space="0" w:color="4494D1"/>
              <w:left w:val="nil"/>
              <w:bottom w:val="single" w:sz="8" w:space="0" w:color="B6B6B6"/>
              <w:right w:val="nil"/>
            </w:tcBorders>
            <w:tcMar>
              <w:top w:w="0" w:type="dxa"/>
              <w:left w:w="53" w:type="dxa"/>
              <w:bottom w:w="0" w:type="dxa"/>
              <w:right w:w="53"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Fixed</w:t>
            </w:r>
          </w:p>
        </w:tc>
        <w:tc>
          <w:tcPr>
            <w:tcW w:w="1995" w:type="dxa"/>
            <w:tcBorders>
              <w:top w:val="single" w:sz="12" w:space="0" w:color="4494D1"/>
              <w:left w:val="nil"/>
              <w:bottom w:val="single" w:sz="8" w:space="0" w:color="B6B6B6"/>
              <w:right w:val="nil"/>
            </w:tcBorders>
            <w:tcMar>
              <w:top w:w="0" w:type="dxa"/>
              <w:left w:w="53" w:type="dxa"/>
              <w:bottom w:w="0" w:type="dxa"/>
              <w:right w:w="53"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$550,000</w:t>
            </w:r>
          </w:p>
        </w:tc>
        <w:tc>
          <w:tcPr>
            <w:tcW w:w="199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$420,000</w:t>
            </w:r>
          </w:p>
        </w:tc>
      </w:tr>
      <w:tr>
        <w:tblPrEx>
          <w:tblW w:w="10350" w:type="dxa"/>
          <w:tblInd w:w="0" w:type="dxa"/>
          <w:tblLayout w:type="fixed"/>
          <w:tblCellMar>
            <w:left w:w="108" w:type="dxa"/>
            <w:right w:w="108" w:type="dxa"/>
          </w:tblCellMar>
        </w:tblPrEx>
        <w:trPr>
          <w:cantSplit/>
          <w:trHeight w:hRule="exact" w:val="540"/>
        </w:trPr>
        <w:tc>
          <w:tcPr>
            <w:tcW w:w="265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numPr>
                <w:ilvl w:val="0"/>
                <w:numId w:val="0"/>
              </w:numPr>
              <w:spacing w:before="0" w:after="6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Annual Cash </w:t>
            </w:r>
          </w:p>
          <w:p>
            <w:pPr>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Incentive Award (Target)</w:t>
            </w:r>
          </w:p>
        </w:tc>
        <w:tc>
          <w:tcPr>
            <w:tcW w:w="370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line="240" w:lineRule="auto"/>
              <w:jc w:val="left"/>
            </w:pPr>
            <w:r>
              <w:rPr>
                <w:rFonts w:ascii="Arial" w:eastAsia="Arial" w:hAnsi="Arial" w:cs="Arial"/>
                <w:b w:val="0"/>
                <w:i w:val="0"/>
                <w:color w:val="000000"/>
                <w:sz w:val="18"/>
                <w:u w:val="none"/>
              </w:rPr>
              <w:t>Performance-Based</w:t>
            </w:r>
          </w:p>
          <w:p>
            <w:pPr>
              <w:spacing w:after="0" w:line="240" w:lineRule="auto"/>
              <w:jc w:val="left"/>
            </w:pP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$550,000</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$420,000</w:t>
            </w:r>
          </w:p>
        </w:tc>
      </w:tr>
      <w:tr>
        <w:tblPrEx>
          <w:tblW w:w="10350" w:type="dxa"/>
          <w:tblInd w:w="0" w:type="dxa"/>
          <w:tblLayout w:type="fixed"/>
          <w:tblCellMar>
            <w:left w:w="108" w:type="dxa"/>
            <w:right w:w="108" w:type="dxa"/>
          </w:tblCellMar>
        </w:tblPrEx>
        <w:trPr>
          <w:cantSplit/>
          <w:trHeight w:hRule="exact" w:val="300"/>
        </w:trPr>
        <w:tc>
          <w:tcPr>
            <w:tcW w:w="2655" w:type="dxa"/>
            <w:vMerge w:val="restart"/>
            <w:tcBorders>
              <w:top w:val="nil"/>
              <w:left w:val="nil"/>
              <w:bottom w:val="nil"/>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Annual Equity Award (Grant Date Fair Value)</w:t>
            </w:r>
          </w:p>
        </w:tc>
        <w:tc>
          <w:tcPr>
            <w:tcW w:w="3705" w:type="dxa"/>
            <w:tcBorders>
              <w:top w:val="single" w:sz="8" w:space="0" w:color="B6B6B6"/>
              <w:left w:val="nil"/>
              <w:bottom w:val="single" w:sz="8" w:space="0" w:color="B6B6B6"/>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Performance</w:t>
            </w:r>
            <w:r>
              <w:rPr>
                <w:rFonts w:ascii="Arial" w:eastAsia="Arial" w:hAnsi="Arial" w:cs="Arial"/>
                <w:b w:val="0"/>
                <w:i w:val="0"/>
                <w:sz w:val="18"/>
              </w:rPr>
              <w:t>-</w:t>
            </w:r>
            <w:r>
              <w:rPr>
                <w:rFonts w:ascii="Arial" w:eastAsia="Arial" w:hAnsi="Arial" w:cs="Arial"/>
                <w:b w:val="0"/>
                <w:i w:val="0"/>
                <w:sz w:val="18"/>
              </w:rPr>
              <w:t>Based (</w:t>
            </w:r>
            <w:r>
              <w:rPr>
                <w:rFonts w:ascii="Arial" w:eastAsia="Arial" w:hAnsi="Arial" w:cs="Arial"/>
                <w:b w:val="0"/>
                <w:i w:val="0"/>
                <w:sz w:val="18"/>
              </w:rPr>
              <w:t>C</w:t>
            </w:r>
            <w:r>
              <w:rPr>
                <w:rFonts w:ascii="Arial" w:eastAsia="Arial" w:hAnsi="Arial" w:cs="Arial"/>
                <w:b w:val="0"/>
                <w:i w:val="0"/>
                <w:sz w:val="18"/>
              </w:rPr>
              <w:t>liff</w:t>
            </w:r>
            <w:r>
              <w:rPr>
                <w:rFonts w:ascii="Arial" w:eastAsia="Arial" w:hAnsi="Arial" w:cs="Arial"/>
                <w:b w:val="0"/>
                <w:i w:val="0"/>
                <w:sz w:val="18"/>
              </w:rPr>
              <w:t>-</w:t>
            </w:r>
            <w:r>
              <w:rPr>
                <w:rFonts w:ascii="Arial" w:eastAsia="Arial" w:hAnsi="Arial" w:cs="Arial"/>
                <w:b w:val="0"/>
                <w:i w:val="0"/>
                <w:sz w:val="18"/>
              </w:rPr>
              <w:t xml:space="preserve">Vesting </w:t>
            </w:r>
            <w:r>
              <w:rPr>
                <w:rFonts w:ascii="Arial" w:eastAsia="Arial" w:hAnsi="Arial" w:cs="Arial"/>
                <w:b w:val="0"/>
                <w:i w:val="0"/>
                <w:sz w:val="18"/>
              </w:rPr>
              <w:t>PSUs)</w:t>
            </w:r>
            <w:r>
              <w:rPr>
                <w:rFonts w:ascii="Arial" w:eastAsia="Arial" w:hAnsi="Arial" w:cs="Arial"/>
                <w:b w:val="0"/>
                <w:i w:val="0"/>
                <w:sz w:val="18"/>
                <w:vertAlign w:val="superscript"/>
              </w:rPr>
              <w:t>(1)</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$293,873</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$264,251</w:t>
            </w:r>
          </w:p>
        </w:tc>
      </w:tr>
      <w:tr>
        <w:tblPrEx>
          <w:tblW w:w="10350" w:type="dxa"/>
          <w:tblInd w:w="0" w:type="dxa"/>
          <w:tblLayout w:type="fixed"/>
          <w:tblCellMar>
            <w:left w:w="108" w:type="dxa"/>
            <w:right w:w="108" w:type="dxa"/>
          </w:tblCellMar>
        </w:tblPrEx>
        <w:trPr>
          <w:cantSplit/>
          <w:trHeight w:hRule="exact" w:val="300"/>
        </w:trPr>
        <w:tc>
          <w:tcPr>
            <w:tcW w:w="2655" w:type="dxa"/>
            <w:vMerge/>
            <w:tcBorders>
              <w:top w:val="nil"/>
              <w:left w:val="nil"/>
              <w:bottom w:val="single" w:sz="8" w:space="0" w:color="B6B6B6"/>
              <w:right w:val="nil"/>
            </w:tcBorders>
          </w:tcPr>
          <w:p>
            <w:pPr>
              <w:keepNext/>
              <w:pageBreakBefore w:val="0"/>
            </w:pPr>
          </w:p>
        </w:tc>
        <w:tc>
          <w:tcPr>
            <w:tcW w:w="3705" w:type="dxa"/>
            <w:tcBorders>
              <w:top w:val="single" w:sz="8" w:space="0" w:color="B6B6B6"/>
              <w:left w:val="nil"/>
              <w:bottom w:val="single" w:sz="8" w:space="0" w:color="B6B6B6"/>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At-Risk (</w:t>
            </w:r>
            <w:r>
              <w:rPr>
                <w:rFonts w:ascii="Arial" w:eastAsia="Arial" w:hAnsi="Arial" w:cs="Arial"/>
                <w:b w:val="0"/>
                <w:i w:val="0"/>
                <w:sz w:val="18"/>
              </w:rPr>
              <w:t xml:space="preserve">Tranche-Vesting </w:t>
            </w:r>
            <w:r>
              <w:rPr>
                <w:rFonts w:ascii="Arial" w:eastAsia="Arial" w:hAnsi="Arial" w:cs="Arial"/>
                <w:b w:val="0"/>
                <w:i w:val="0"/>
                <w:sz w:val="18"/>
              </w:rPr>
              <w:t>RSUs)</w:t>
            </w:r>
            <w:r>
              <w:rPr>
                <w:rFonts w:ascii="Arial" w:eastAsia="Arial" w:hAnsi="Arial" w:cs="Arial"/>
                <w:b w:val="0"/>
                <w:i w:val="0"/>
                <w:sz w:val="18"/>
                <w:vertAlign w:val="superscript"/>
              </w:rPr>
              <w:t>(1)</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$126,105</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$113,213</w:t>
            </w:r>
          </w:p>
        </w:tc>
      </w:tr>
      <w:tr>
        <w:tblPrEx>
          <w:tblW w:w="10350" w:type="dxa"/>
          <w:tblInd w:w="0" w:type="dxa"/>
          <w:tblLayout w:type="fixed"/>
          <w:tblCellMar>
            <w:left w:w="108" w:type="dxa"/>
            <w:right w:w="108" w:type="dxa"/>
          </w:tblCellMar>
        </w:tblPrEx>
        <w:trPr>
          <w:cantSplit/>
          <w:trHeight w:hRule="exact" w:val="615"/>
        </w:trPr>
        <w:tc>
          <w:tcPr>
            <w:tcW w:w="2655" w:type="dxa"/>
            <w:tcBorders>
              <w:top w:val="single" w:sz="8" w:space="0" w:color="B6B6B6"/>
              <w:left w:val="nil"/>
              <w:bottom w:val="single" w:sz="8" w:space="0" w:color="B6B6B6"/>
              <w:right w:val="nil"/>
            </w:tcBorders>
            <w:tcMar>
              <w:top w:w="0" w:type="dxa"/>
              <w:left w:w="53" w:type="dxa"/>
              <w:bottom w:w="0" w:type="dxa"/>
              <w:right w:w="53"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Special Equity Award (Annualized Grant Date Fair Value)</w:t>
            </w:r>
          </w:p>
        </w:tc>
        <w:tc>
          <w:tcPr>
            <w:tcW w:w="3705" w:type="dxa"/>
            <w:tcBorders>
              <w:top w:val="single" w:sz="8" w:space="0" w:color="B6B6B6"/>
              <w:left w:val="nil"/>
              <w:bottom w:val="single" w:sz="8" w:space="0" w:color="B6B6B6"/>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At-Risk</w:t>
            </w:r>
            <w:r>
              <w:rPr>
                <w:rFonts w:ascii="Arial" w:eastAsia="Arial" w:hAnsi="Arial" w:cs="Arial"/>
                <w:b w:val="0"/>
                <w:i w:val="0"/>
                <w:sz w:val="18"/>
              </w:rPr>
              <w:t xml:space="preserve"> (</w:t>
            </w:r>
            <w:r>
              <w:rPr>
                <w:rFonts w:ascii="Arial" w:eastAsia="Arial" w:hAnsi="Arial" w:cs="Arial"/>
                <w:b w:val="0"/>
                <w:i w:val="0"/>
                <w:sz w:val="18"/>
              </w:rPr>
              <w:t>C</w:t>
            </w:r>
            <w:r>
              <w:rPr>
                <w:rFonts w:ascii="Arial" w:eastAsia="Arial" w:hAnsi="Arial" w:cs="Arial"/>
                <w:b w:val="0"/>
                <w:i w:val="0"/>
                <w:sz w:val="18"/>
              </w:rPr>
              <w:t>liff-</w:t>
            </w:r>
            <w:r>
              <w:rPr>
                <w:rFonts w:ascii="Arial" w:eastAsia="Arial" w:hAnsi="Arial" w:cs="Arial"/>
                <w:b w:val="0"/>
                <w:i w:val="0"/>
                <w:sz w:val="18"/>
              </w:rPr>
              <w:t xml:space="preserve">Vesting </w:t>
            </w:r>
            <w:r>
              <w:rPr>
                <w:rFonts w:ascii="Arial" w:eastAsia="Arial" w:hAnsi="Arial" w:cs="Arial"/>
                <w:b w:val="0"/>
                <w:i w:val="0"/>
                <w:sz w:val="18"/>
              </w:rPr>
              <w:t>RSUs)</w:t>
            </w:r>
            <w:r>
              <w:rPr>
                <w:rFonts w:ascii="Arial" w:eastAsia="Arial" w:hAnsi="Arial" w:cs="Arial"/>
                <w:b w:val="0"/>
                <w:i w:val="0"/>
                <w:sz w:val="18"/>
                <w:vertAlign w:val="superscript"/>
              </w:rPr>
              <w:t>(2)</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$499,999</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$499,999</w:t>
            </w:r>
          </w:p>
        </w:tc>
      </w:tr>
      <w:tr>
        <w:tblPrEx>
          <w:tblW w:w="10350" w:type="dxa"/>
          <w:tblInd w:w="0" w:type="dxa"/>
          <w:tblLayout w:type="fixed"/>
          <w:tblCellMar>
            <w:left w:w="108" w:type="dxa"/>
            <w:right w:w="108" w:type="dxa"/>
          </w:tblCellMar>
        </w:tblPrEx>
        <w:trPr>
          <w:cantSplit/>
          <w:trHeight w:hRule="exact" w:val="435"/>
        </w:trPr>
        <w:tc>
          <w:tcPr>
            <w:tcW w:w="2655" w:type="dxa"/>
            <w:tcBorders>
              <w:top w:val="single" w:sz="8" w:space="0" w:color="B6B6B6"/>
              <w:left w:val="nil"/>
              <w:bottom w:val="nil"/>
              <w:right w:val="nil"/>
            </w:tcBorders>
            <w:tcMar>
              <w:top w:w="0" w:type="dxa"/>
              <w:left w:w="53" w:type="dxa"/>
              <w:bottom w:w="0" w:type="dxa"/>
              <w:right w:w="53" w:type="dxa"/>
            </w:tcMar>
            <w:vAlign w:val="bottom"/>
          </w:tcPr>
          <w:p>
            <w:pPr>
              <w:pageBreakBefore w:val="0"/>
              <w:spacing w:before="33" w:after="30" w:line="240" w:lineRule="auto"/>
              <w:jc w:val="left"/>
            </w:pPr>
            <w:r>
              <w:rPr>
                <w:rFonts w:ascii="Arial" w:eastAsia="Arial" w:hAnsi="Arial" w:cs="Arial"/>
                <w:b/>
                <w:i w:val="0"/>
                <w:color w:val="000000"/>
                <w:sz w:val="18"/>
                <w:u w:val="none"/>
              </w:rPr>
              <w:t>Annual Compensation Mix</w:t>
            </w:r>
          </w:p>
        </w:tc>
        <w:tc>
          <w:tcPr>
            <w:tcW w:w="3705" w:type="dxa"/>
            <w:tcBorders>
              <w:top w:val="single" w:sz="8" w:space="0" w:color="B6B6B6"/>
              <w:left w:val="nil"/>
              <w:bottom w:val="nil"/>
              <w:right w:val="nil"/>
            </w:tcBorders>
            <w:tcMar>
              <w:top w:w="0" w:type="dxa"/>
              <w:left w:w="0" w:type="dxa"/>
              <w:bottom w:w="0" w:type="dxa"/>
              <w:right w:w="0" w:type="dxa"/>
            </w:tcMar>
            <w:vAlign w:val="bottom"/>
          </w:tcPr>
          <w:p>
            <w:pPr>
              <w:pageBreakBefore w:val="0"/>
              <w:spacing w:before="0" w:after="0"/>
            </w:pPr>
          </w:p>
        </w:tc>
        <w:tc>
          <w:tcPr>
            <w:tcW w:w="1995" w:type="dxa"/>
            <w:tcBorders>
              <w:top w:val="single" w:sz="8" w:space="0" w:color="B6B6B6"/>
              <w:left w:val="nil"/>
              <w:bottom w:val="nil"/>
              <w:right w:val="nil"/>
            </w:tcBorders>
            <w:tcMar>
              <w:top w:w="0" w:type="dxa"/>
              <w:left w:w="53" w:type="dxa"/>
              <w:bottom w:w="0" w:type="dxa"/>
              <w:right w:w="53" w:type="dxa"/>
            </w:tcMar>
            <w:vAlign w:val="bottom"/>
          </w:tcPr>
          <w:p>
            <w:pPr>
              <w:pageBreakBefore w:val="0"/>
              <w:spacing w:before="33" w:after="30" w:line="240" w:lineRule="auto"/>
              <w:jc w:val="left"/>
            </w:pPr>
            <w:r>
              <w:rPr>
                <w:rFonts w:ascii="Arial" w:eastAsia="Arial" w:hAnsi="Arial" w:cs="Arial"/>
                <w:b/>
                <w:i w:val="0"/>
                <w:color w:val="000000"/>
                <w:sz w:val="18"/>
                <w:u w:val="none"/>
              </w:rPr>
              <w:t>$2,019,977</w:t>
            </w:r>
          </w:p>
        </w:tc>
        <w:tc>
          <w:tcPr>
            <w:tcW w:w="1995" w:type="dxa"/>
            <w:tcBorders>
              <w:top w:val="single" w:sz="8" w:space="0" w:color="B6B6B6"/>
              <w:left w:val="nil"/>
              <w:bottom w:val="nil"/>
              <w:right w:val="nil"/>
            </w:tcBorders>
            <w:tcMar>
              <w:top w:w="0" w:type="dxa"/>
              <w:left w:w="53" w:type="dxa"/>
              <w:bottom w:w="0" w:type="dxa"/>
              <w:right w:w="53" w:type="dxa"/>
            </w:tcMar>
            <w:vAlign w:val="bottom"/>
          </w:tcPr>
          <w:p>
            <w:pPr>
              <w:pageBreakBefore w:val="0"/>
              <w:spacing w:before="33" w:after="30" w:line="240" w:lineRule="auto"/>
              <w:jc w:val="left"/>
            </w:pPr>
            <w:r>
              <w:rPr>
                <w:rFonts w:ascii="Arial" w:eastAsia="Arial" w:hAnsi="Arial" w:cs="Arial"/>
                <w:b/>
                <w:i w:val="0"/>
                <w:color w:val="000000"/>
                <w:sz w:val="18"/>
                <w:u w:val="none"/>
              </w:rPr>
              <w:t>$1,717,463</w:t>
            </w:r>
          </w:p>
        </w:tc>
      </w:tr>
    </w:tbl>
    <w:p>
      <w:pPr>
        <w:keepNext w:val="0"/>
        <w:keepLines w:val="0"/>
        <w:pageBreakBefore w:val="0"/>
        <w:widowControl/>
        <w:numPr>
          <w:ilvl w:val="0"/>
          <w:numId w:val="0"/>
        </w:numPr>
        <w:spacing w:before="120" w:after="60" w:line="288" w:lineRule="auto"/>
        <w:ind w:left="360" w:right="0" w:hanging="360"/>
        <w:jc w:val="left"/>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(1) </w:t>
      </w:r>
      <w:r>
        <w:rPr>
          <w:rFonts w:ascii="Arial" w:eastAsia="Arial" w:hAnsi="Arial" w:cs="Arial"/>
          <w:b w:val="0"/>
          <w:i w:val="0"/>
          <w:color w:val="969698"/>
          <w:sz w:val="16"/>
          <w:u w:val="none"/>
        </w:rPr>
        <w:tab/>
      </w:r>
      <w:r>
        <w:rPr>
          <w:rFonts w:ascii="Arial" w:eastAsia="Arial" w:hAnsi="Arial" w:cs="Arial"/>
          <w:b w:val="0"/>
          <w:i w:val="0"/>
          <w:color w:val="969698"/>
          <w:sz w:val="16"/>
          <w:u w:val="none"/>
        </w:rPr>
        <w:t xml:space="preserve">Mr. Kirk was awarded </w:t>
      </w:r>
      <w:r>
        <w:rPr>
          <w:rFonts w:ascii="Arial" w:eastAsia="Arial" w:hAnsi="Arial" w:cs="Arial"/>
          <w:b w:val="0"/>
          <w:i w:val="0"/>
          <w:color w:val="969698"/>
          <w:sz w:val="16"/>
          <w:u w:val="none"/>
        </w:rPr>
        <w:t xml:space="preserve">a target amount of </w:t>
      </w:r>
      <w:r>
        <w:rPr>
          <w:rFonts w:ascii="Arial" w:eastAsia="Arial" w:hAnsi="Arial" w:cs="Arial"/>
          <w:b w:val="0"/>
          <w:i w:val="0"/>
          <w:color w:val="929292"/>
          <w:sz w:val="16"/>
          <w:u w:val="none"/>
        </w:rPr>
        <w:t>1,319</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PSUs</w:t>
      </w:r>
      <w:r>
        <w:rPr>
          <w:rFonts w:ascii="Arial" w:eastAsia="Arial" w:hAnsi="Arial" w:cs="Arial"/>
          <w:b w:val="0"/>
          <w:i w:val="0"/>
          <w:color w:val="969698"/>
          <w:sz w:val="16"/>
          <w:u w:val="none"/>
        </w:rPr>
        <w:t xml:space="preserve"> and </w:t>
      </w:r>
      <w:r>
        <w:rPr>
          <w:rFonts w:ascii="Arial" w:eastAsia="Arial" w:hAnsi="Arial" w:cs="Arial"/>
          <w:b w:val="0"/>
          <w:i w:val="0"/>
          <w:color w:val="929292"/>
          <w:sz w:val="16"/>
          <w:u w:val="none"/>
        </w:rPr>
        <w:t>566</w:t>
      </w:r>
      <w:r>
        <w:rPr>
          <w:rFonts w:ascii="Arial" w:eastAsia="Arial" w:hAnsi="Arial" w:cs="Arial"/>
          <w:b w:val="0"/>
          <w:i w:val="0"/>
          <w:color w:val="969698"/>
          <w:sz w:val="16"/>
          <w:u w:val="none"/>
        </w:rPr>
        <w:t xml:space="preserve"> RSUs on March 1, 2023 with the terms and conditions described in the </w:t>
      </w:r>
      <w:r>
        <w:rPr>
          <w:rFonts w:ascii="Arial" w:eastAsia="Arial" w:hAnsi="Arial" w:cs="Arial"/>
          <w:b w:val="0"/>
          <w:i w:val="0"/>
          <w:color w:val="969698"/>
          <w:sz w:val="16"/>
          <w:u w:val="none"/>
        </w:rPr>
        <w:t xml:space="preserve">section above entitled </w:t>
      </w:r>
      <w:r>
        <w:rPr>
          <w:rFonts w:ascii="Arial" w:eastAsia="Arial" w:hAnsi="Arial" w:cs="Arial"/>
          <w:b w:val="0"/>
          <w:i w:val="0"/>
          <w:color w:val="969698"/>
          <w:sz w:val="16"/>
          <w:u w:val="none"/>
        </w:rPr>
        <w:t>"Long-Term Incentive C</w:t>
      </w:r>
      <w:r>
        <w:rPr>
          <w:rFonts w:ascii="Arial" w:eastAsia="Arial" w:hAnsi="Arial" w:cs="Arial"/>
          <w:b w:val="0"/>
          <w:i w:val="0"/>
          <w:color w:val="969698"/>
          <w:sz w:val="16"/>
          <w:u w:val="none"/>
        </w:rPr>
        <w:t>o</w:t>
      </w:r>
      <w:r>
        <w:rPr>
          <w:rFonts w:ascii="Arial" w:eastAsia="Arial" w:hAnsi="Arial" w:cs="Arial"/>
          <w:b w:val="0"/>
          <w:i w:val="0"/>
          <w:color w:val="969698"/>
          <w:sz w:val="16"/>
          <w:u w:val="none"/>
        </w:rPr>
        <w:t>mpensation</w:t>
      </w:r>
      <w:r>
        <w:rPr>
          <w:rFonts w:ascii="Arial" w:eastAsia="Arial" w:hAnsi="Arial" w:cs="Arial"/>
          <w:b w:val="0"/>
          <w:i w:val="0"/>
          <w:color w:val="969698"/>
          <w:sz w:val="16"/>
          <w:u w:val="none"/>
        </w:rPr>
        <w:t>."</w:t>
      </w: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shd w:val="clear" w:color="auto" w:fill="00FF00"/>
        </w:rPr>
      </w:pPr>
      <w:r>
        <w:rPr>
          <w:rFonts w:ascii="Arial" w:eastAsia="Arial" w:hAnsi="Arial" w:cs="Arial"/>
          <w:b w:val="0"/>
          <w:i w:val="0"/>
          <w:color w:val="969698"/>
          <w:sz w:val="16"/>
          <w:u w:val="none"/>
        </w:rPr>
        <w:t>(</w:t>
      </w:r>
      <w:r>
        <w:rPr>
          <w:rFonts w:ascii="Arial" w:eastAsia="Arial" w:hAnsi="Arial" w:cs="Arial"/>
          <w:b w:val="0"/>
          <w:i w:val="0"/>
          <w:color w:val="969698"/>
          <w:sz w:val="16"/>
          <w:u w:val="none"/>
        </w:rPr>
        <w:t>2</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ab/>
      </w:r>
      <w:r>
        <w:rPr>
          <w:rFonts w:ascii="Arial" w:eastAsia="Arial" w:hAnsi="Arial" w:cs="Arial"/>
          <w:b w:val="0"/>
          <w:i w:val="0"/>
          <w:color w:val="969698"/>
          <w:sz w:val="16"/>
          <w:u w:val="none"/>
        </w:rPr>
        <w:t>S</w:t>
      </w:r>
      <w:r>
        <w:rPr>
          <w:rFonts w:ascii="Arial" w:eastAsia="Arial" w:hAnsi="Arial" w:cs="Arial"/>
          <w:b w:val="0"/>
          <w:i w:val="0"/>
          <w:color w:val="969698"/>
          <w:sz w:val="16"/>
          <w:u w:val="none"/>
        </w:rPr>
        <w:t>pecial equity award</w:t>
      </w:r>
      <w:r>
        <w:rPr>
          <w:rFonts w:ascii="Arial" w:eastAsia="Arial" w:hAnsi="Arial" w:cs="Arial"/>
          <w:b w:val="0"/>
          <w:i w:val="0"/>
          <w:color w:val="969698"/>
          <w:sz w:val="16"/>
          <w:u w:val="none"/>
        </w:rPr>
        <w:t>s</w:t>
      </w:r>
      <w:r>
        <w:rPr>
          <w:rFonts w:ascii="Arial" w:eastAsia="Arial" w:hAnsi="Arial" w:cs="Arial"/>
          <w:b w:val="0"/>
          <w:i w:val="0"/>
          <w:color w:val="969698"/>
          <w:sz w:val="16"/>
          <w:u w:val="none"/>
        </w:rPr>
        <w:t xml:space="preserve"> comprise </w:t>
      </w:r>
      <w:r>
        <w:rPr>
          <w:rFonts w:ascii="Arial" w:eastAsia="Arial" w:hAnsi="Arial" w:cs="Arial"/>
          <w:b w:val="0"/>
          <w:i w:val="0"/>
          <w:color w:val="969698"/>
          <w:sz w:val="16"/>
          <w:u w:val="none"/>
        </w:rPr>
        <w:t xml:space="preserve">RSUs that cliff-vest on the third </w:t>
      </w:r>
      <w:r>
        <w:rPr>
          <w:rFonts w:ascii="Arial" w:eastAsia="Arial" w:hAnsi="Arial" w:cs="Arial"/>
          <w:b w:val="0"/>
          <w:i w:val="0"/>
          <w:color w:val="969698"/>
          <w:sz w:val="16"/>
          <w:u w:val="none"/>
        </w:rPr>
        <w:t>anniversary</w:t>
      </w:r>
      <w:r>
        <w:rPr>
          <w:rFonts w:ascii="Arial" w:eastAsia="Arial" w:hAnsi="Arial" w:cs="Arial"/>
          <w:b w:val="0"/>
          <w:i w:val="0"/>
          <w:color w:val="969698"/>
          <w:sz w:val="16"/>
          <w:u w:val="none"/>
        </w:rPr>
        <w:t xml:space="preserve"> of the grant </w:t>
      </w:r>
      <w:r>
        <w:rPr>
          <w:rFonts w:ascii="Arial" w:eastAsia="Arial" w:hAnsi="Arial" w:cs="Arial"/>
          <w:b w:val="0"/>
          <w:i w:val="0"/>
          <w:color w:val="969698"/>
          <w:sz w:val="16"/>
          <w:u w:val="none"/>
        </w:rPr>
        <w:t xml:space="preserve">date. </w:t>
      </w:r>
      <w:r>
        <w:rPr>
          <w:rFonts w:ascii="Arial" w:eastAsia="Arial" w:hAnsi="Arial" w:cs="Arial"/>
          <w:b w:val="0"/>
          <w:i w:val="0"/>
          <w:color w:val="969698"/>
          <w:sz w:val="16"/>
          <w:u w:val="none"/>
        </w:rPr>
        <w:t xml:space="preserve">For Mr. Kirk, the Special Equity Award </w:t>
      </w:r>
      <w:r>
        <w:rPr>
          <w:rFonts w:ascii="Arial" w:eastAsia="Arial" w:hAnsi="Arial" w:cs="Arial"/>
          <w:b w:val="0"/>
          <w:i w:val="0"/>
          <w:color w:val="969698"/>
          <w:sz w:val="16"/>
          <w:u w:val="none"/>
        </w:rPr>
        <w:t>r</w:t>
      </w:r>
      <w:r>
        <w:rPr>
          <w:rFonts w:ascii="Arial" w:eastAsia="Arial" w:hAnsi="Arial" w:cs="Arial"/>
          <w:b w:val="0"/>
          <w:i w:val="0"/>
          <w:color w:val="969698"/>
          <w:sz w:val="16"/>
          <w:u w:val="none"/>
        </w:rPr>
        <w:t xml:space="preserve">ow includes (i) </w:t>
      </w:r>
      <w:r>
        <w:rPr>
          <w:rFonts w:ascii="Arial" w:eastAsia="Arial" w:hAnsi="Arial" w:cs="Arial"/>
          <w:b w:val="0"/>
          <w:i w:val="0"/>
          <w:color w:val="969698"/>
          <w:sz w:val="16"/>
          <w:u w:val="none"/>
        </w:rPr>
        <w:t>2,002</w:t>
      </w:r>
      <w:r>
        <w:rPr>
          <w:rFonts w:ascii="Arial" w:eastAsia="Arial" w:hAnsi="Arial" w:cs="Arial"/>
          <w:b w:val="0"/>
          <w:i w:val="0"/>
          <w:color w:val="969698"/>
          <w:sz w:val="16"/>
          <w:u w:val="none"/>
        </w:rPr>
        <w:t xml:space="preserve"> RSUs, granted on March 30, 2021, which vest in a lump sump on March 30, 2024 and (ii) </w:t>
      </w:r>
      <w:r>
        <w:rPr>
          <w:rFonts w:ascii="Arial" w:eastAsia="Arial" w:hAnsi="Arial" w:cs="Arial"/>
          <w:b w:val="0"/>
          <w:i w:val="0"/>
          <w:color w:val="969698"/>
          <w:sz w:val="16"/>
          <w:u w:val="none"/>
        </w:rPr>
        <w:t>3,833</w:t>
      </w:r>
      <w:r>
        <w:rPr>
          <w:rFonts w:ascii="Arial" w:eastAsia="Arial" w:hAnsi="Arial" w:cs="Arial"/>
          <w:b w:val="0"/>
          <w:i w:val="0"/>
          <w:color w:val="969698"/>
          <w:sz w:val="16"/>
          <w:u w:val="none"/>
        </w:rPr>
        <w:t xml:space="preserve"> RSUs, granted on March 20, 2022, which vest in a lump sum on March 20, 2025. </w:t>
      </w:r>
      <w:r>
        <w:rPr>
          <w:rFonts w:ascii="Arial" w:eastAsia="Arial" w:hAnsi="Arial" w:cs="Arial"/>
          <w:b w:val="0"/>
          <w:i w:val="0"/>
          <w:color w:val="969698"/>
          <w:sz w:val="16"/>
          <w:u w:val="none"/>
        </w:rPr>
        <w:t xml:space="preserve">Amounts shown in the table in respect of these awards </w:t>
      </w:r>
      <w:r>
        <w:rPr>
          <w:rFonts w:ascii="Arial" w:eastAsia="Arial" w:hAnsi="Arial" w:cs="Arial"/>
          <w:b w:val="0"/>
          <w:i w:val="0"/>
          <w:color w:val="969698"/>
          <w:sz w:val="16"/>
          <w:u w:val="none"/>
        </w:rPr>
        <w:t>are annualized b</w:t>
      </w:r>
      <w:r>
        <w:rPr>
          <w:rFonts w:ascii="Arial" w:eastAsia="Arial" w:hAnsi="Arial" w:cs="Arial"/>
          <w:b w:val="0"/>
          <w:i w:val="0"/>
          <w:color w:val="969698"/>
          <w:sz w:val="16"/>
          <w:u w:val="none"/>
        </w:rPr>
        <w:t xml:space="preserve">y </w:t>
      </w:r>
      <w:r>
        <w:rPr>
          <w:rFonts w:ascii="Arial" w:eastAsia="Arial" w:hAnsi="Arial" w:cs="Arial"/>
          <w:b w:val="0"/>
          <w:i w:val="0"/>
          <w:color w:val="969698"/>
          <w:sz w:val="16"/>
          <w:u w:val="none"/>
        </w:rPr>
        <w:t>dividin</w:t>
      </w:r>
      <w:r>
        <w:rPr>
          <w:rFonts w:ascii="Arial" w:eastAsia="Arial" w:hAnsi="Arial" w:cs="Arial"/>
          <w:b w:val="0"/>
          <w:i w:val="0"/>
          <w:color w:val="969698"/>
          <w:sz w:val="16"/>
          <w:u w:val="none"/>
        </w:rPr>
        <w:t>g</w:t>
      </w:r>
      <w:r>
        <w:rPr>
          <w:rFonts w:ascii="Arial" w:eastAsia="Arial" w:hAnsi="Arial" w:cs="Arial"/>
          <w:b w:val="0"/>
          <w:i w:val="0"/>
          <w:color w:val="969698"/>
          <w:sz w:val="16"/>
          <w:u w:val="none"/>
        </w:rPr>
        <w:t xml:space="preserve"> the </w:t>
      </w:r>
      <w:r>
        <w:rPr>
          <w:rFonts w:ascii="Arial" w:eastAsia="Arial" w:hAnsi="Arial" w:cs="Arial"/>
          <w:b w:val="0"/>
          <w:i w:val="0"/>
          <w:color w:val="969698"/>
          <w:sz w:val="16"/>
          <w:u w:val="none"/>
        </w:rPr>
        <w:t xml:space="preserve">grant date fair value of </w:t>
      </w:r>
      <w:r>
        <w:rPr>
          <w:rFonts w:ascii="Arial" w:eastAsia="Arial" w:hAnsi="Arial" w:cs="Arial"/>
          <w:b w:val="0"/>
          <w:i w:val="0"/>
          <w:color w:val="969698"/>
          <w:sz w:val="16"/>
          <w:u w:val="none"/>
        </w:rPr>
        <w:t xml:space="preserve">each award </w:t>
      </w:r>
      <w:r>
        <w:rPr>
          <w:rFonts w:ascii="Arial" w:eastAsia="Arial" w:hAnsi="Arial" w:cs="Arial"/>
          <w:b w:val="0"/>
          <w:i w:val="0"/>
          <w:color w:val="969698"/>
          <w:sz w:val="16"/>
          <w:u w:val="none"/>
        </w:rPr>
        <w:t xml:space="preserve">by three and </w:t>
      </w:r>
      <w:r>
        <w:rPr>
          <w:rFonts w:ascii="Arial" w:eastAsia="Arial" w:hAnsi="Arial" w:cs="Arial"/>
          <w:b w:val="0"/>
          <w:i w:val="0"/>
          <w:color w:val="969698"/>
          <w:sz w:val="16"/>
          <w:u w:val="none"/>
        </w:rPr>
        <w:t xml:space="preserve">including </w:t>
      </w:r>
      <w:r>
        <w:rPr>
          <w:rFonts w:ascii="Arial" w:eastAsia="Arial" w:hAnsi="Arial" w:cs="Arial"/>
          <w:b w:val="0"/>
          <w:i w:val="0"/>
          <w:color w:val="969698"/>
          <w:sz w:val="16"/>
          <w:u w:val="none"/>
        </w:rPr>
        <w:t xml:space="preserve">such amount in the year of grant and the two subsequent years. </w:t>
      </w:r>
    </w:p>
    <w:p>
      <w:pPr>
        <w:keepNext w:val="0"/>
        <w:keepLines w:val="0"/>
        <w:pageBreakBefore w:val="0"/>
        <w:widowControl/>
        <w:numPr>
          <w:ilvl w:val="0"/>
          <w:numId w:val="0"/>
        </w:numPr>
        <w:spacing w:before="0" w:after="60" w:line="288" w:lineRule="auto"/>
        <w:ind w:left="360" w:right="0" w:hanging="360"/>
        <w:jc w:val="both"/>
        <w:outlineLvl w:val="9"/>
        <w:rPr>
          <w:rFonts w:ascii="Arial" w:eastAsia="Arial" w:hAnsi="Arial" w:cs="Arial"/>
          <w:b w:val="0"/>
          <w:i w:val="0"/>
          <w:color w:val="929292"/>
          <w:sz w:val="16"/>
          <w:u w:val="none"/>
        </w:rPr>
      </w:pPr>
    </w:p>
    <w:p>
      <w:pPr>
        <w:keepNext w:val="0"/>
        <w:keepLines w:val="0"/>
        <w:pageBreakBefore w:val="0"/>
        <w:widowControl/>
        <w:numPr>
          <w:ilvl w:val="0"/>
          <w:numId w:val="0"/>
        </w:numPr>
        <w:spacing w:before="280" w:after="120" w:line="300" w:lineRule="auto"/>
        <w:ind w:left="0" w:right="0" w:firstLine="0"/>
        <w:jc w:val="both"/>
        <w:outlineLvl w:val="9"/>
        <w:rPr>
          <w:rFonts w:ascii="Arial" w:eastAsia="Arial" w:hAnsi="Arial" w:cs="Arial"/>
          <w:b/>
          <w:i w:val="0"/>
          <w:color w:val="4494D1"/>
          <w:sz w:val="20"/>
          <w:u w:val="none"/>
        </w:rPr>
      </w:pPr>
      <w:r>
        <w:rPr>
          <w:rFonts w:ascii="Arial" w:eastAsia="Arial" w:hAnsi="Arial" w:cs="Arial"/>
          <w:b/>
          <w:i w:val="0"/>
          <w:color w:val="4494D1"/>
          <w:sz w:val="20"/>
          <w:u w:val="none"/>
        </w:rPr>
        <w:t>2023 Annual Cash Incentive Award</w:t>
      </w:r>
    </w:p>
    <w:p>
      <w:pPr>
        <w:keepNext w:val="0"/>
        <w:keepLines w:val="0"/>
        <w:pageBreakBefore w:val="0"/>
        <w:widowControl/>
        <w:numPr>
          <w:ilvl w:val="0"/>
          <w:numId w:val="0"/>
        </w:numPr>
        <w:spacing w:before="0" w:after="60" w:line="300" w:lineRule="auto"/>
        <w:ind w:left="0" w:right="0" w:firstLine="0"/>
        <w:jc w:val="both"/>
        <w:outlineLvl w:val="9"/>
        <w:rPr>
          <w:rFonts w:ascii="Arial" w:eastAsia="Arial" w:hAnsi="Arial" w:cs="Arial"/>
          <w:b w:val="0"/>
          <w:i w:val="0"/>
          <w:color w:val="969698"/>
          <w:sz w:val="20"/>
          <w:u w:val="none"/>
        </w:rPr>
      </w:pPr>
      <w:r>
        <w:rPr>
          <w:rFonts w:ascii="Arial" w:eastAsia="Arial" w:hAnsi="Arial" w:cs="Arial"/>
          <w:b w:val="0"/>
          <w:i w:val="0"/>
          <w:sz w:val="20"/>
        </w:rPr>
        <w:t xml:space="preserve">Mr. </w:t>
      </w:r>
      <w:r>
        <w:rPr>
          <w:rFonts w:ascii="Arial" w:eastAsia="Arial" w:hAnsi="Arial" w:cs="Arial"/>
          <w:b w:val="0"/>
          <w:i w:val="0"/>
          <w:sz w:val="20"/>
        </w:rPr>
        <w:t>Kirk</w:t>
      </w:r>
      <w:r>
        <w:rPr>
          <w:rFonts w:ascii="Arial" w:eastAsia="Arial" w:hAnsi="Arial" w:cs="Arial"/>
          <w:b w:val="0"/>
          <w:i w:val="0"/>
          <w:sz w:val="20"/>
        </w:rPr>
        <w:t xml:space="preserve"> earned an annual incentive payment of </w:t>
      </w:r>
      <w:r>
        <w:rPr>
          <w:rFonts w:ascii="Arial" w:eastAsia="Arial" w:hAnsi="Arial" w:cs="Arial"/>
          <w:b w:val="0"/>
          <w:i w:val="0"/>
          <w:color w:val="000000"/>
          <w:sz w:val="20"/>
          <w:u w:val="none"/>
        </w:rPr>
        <w:t>$551,070</w:t>
      </w:r>
      <w:r>
        <w:rPr>
          <w:rFonts w:ascii="Arial" w:eastAsia="Arial" w:hAnsi="Arial" w:cs="Arial"/>
          <w:b w:val="0"/>
          <w:i w:val="0"/>
          <w:sz w:val="20"/>
        </w:rPr>
        <w:t xml:space="preserve">, or </w:t>
      </w:r>
      <w:r>
        <w:rPr>
          <w:rFonts w:ascii="Arial" w:eastAsia="Arial" w:hAnsi="Arial" w:cs="Arial"/>
          <w:b w:val="0"/>
          <w:i w:val="0"/>
          <w:color w:val="000000"/>
          <w:sz w:val="20"/>
          <w:u w:val="none"/>
        </w:rPr>
        <w:t>101%</w:t>
      </w:r>
      <w:r>
        <w:rPr>
          <w:rFonts w:ascii="Arial" w:eastAsia="Arial" w:hAnsi="Arial" w:cs="Arial"/>
          <w:b w:val="0"/>
          <w:i w:val="0"/>
          <w:sz w:val="20"/>
        </w:rPr>
        <w:t xml:space="preserve"> of target, based on the final achievement of the Company's financial performance, corporate objectives, and his pre-established </w:t>
      </w:r>
      <w:r>
        <w:rPr>
          <w:rFonts w:ascii="Arial" w:eastAsia="Arial" w:hAnsi="Arial" w:cs="Arial"/>
          <w:b w:val="0"/>
          <w:i w:val="0"/>
          <w:sz w:val="20"/>
        </w:rPr>
        <w:t xml:space="preserve">individual </w:t>
      </w:r>
      <w:r>
        <w:rPr>
          <w:rFonts w:ascii="Arial" w:eastAsia="Arial" w:hAnsi="Arial" w:cs="Arial"/>
          <w:b w:val="0"/>
          <w:i w:val="0"/>
          <w:sz w:val="20"/>
        </w:rPr>
        <w:t>performance goals, as described below.</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055"/>
        <w:gridCol w:w="3240"/>
        <w:gridCol w:w="1485"/>
        <w:gridCol w:w="1665"/>
        <w:gridCol w:w="181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720"/>
        </w:trPr>
        <w:tc>
          <w:tcPr>
            <w:tcW w:w="205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i w:val="0"/>
                <w:sz w:val="18"/>
              </w:rPr>
            </w:pPr>
            <w:r>
              <w:rPr>
                <w:rFonts w:ascii="Arial" w:eastAsia="Arial" w:hAnsi="Arial" w:cs="Arial"/>
                <w:b/>
                <w:i w:val="0"/>
                <w:sz w:val="18"/>
              </w:rPr>
              <w:t>Bonus Component</w:t>
            </w:r>
            <w:r>
              <w:rPr>
                <w:rFonts w:ascii="Arial" w:eastAsia="Arial" w:hAnsi="Arial" w:cs="Arial"/>
                <w:b/>
                <w:i w:val="0"/>
                <w:sz w:val="18"/>
                <w:vertAlign w:val="superscript"/>
              </w:rPr>
              <w:t>(1)</w:t>
            </w:r>
          </w:p>
        </w:tc>
        <w:tc>
          <w:tcPr>
            <w:tcW w:w="3240"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Performance Criteria</w:t>
            </w:r>
          </w:p>
        </w:tc>
        <w:tc>
          <w:tcPr>
            <w:tcW w:w="148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Component Weighting</w:t>
            </w:r>
          </w:p>
        </w:tc>
        <w:tc>
          <w:tcPr>
            <w:tcW w:w="166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Actual Payout as a Percent of Target</w:t>
            </w:r>
          </w:p>
        </w:tc>
        <w:tc>
          <w:tcPr>
            <w:tcW w:w="181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Award Payout</w:t>
            </w:r>
          </w:p>
        </w:tc>
      </w:tr>
      <w:tr>
        <w:tblPrEx>
          <w:tblW w:w="10260" w:type="dxa"/>
          <w:tblInd w:w="0" w:type="dxa"/>
          <w:tblLayout w:type="fixed"/>
          <w:tblCellMar>
            <w:left w:w="108" w:type="dxa"/>
            <w:right w:w="108" w:type="dxa"/>
          </w:tblCellMar>
        </w:tblPrEx>
        <w:trPr>
          <w:cantSplit/>
          <w:trHeight w:hRule="exact" w:val="345"/>
        </w:trPr>
        <w:tc>
          <w:tcPr>
            <w:tcW w:w="2055" w:type="dxa"/>
            <w:tcBorders>
              <w:top w:val="single" w:sz="12" w:space="0" w:color="4494D1"/>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Financial Component</w:t>
            </w:r>
          </w:p>
        </w:tc>
        <w:tc>
          <w:tcPr>
            <w:tcW w:w="3240" w:type="dxa"/>
            <w:tcBorders>
              <w:top w:val="single" w:sz="12" w:space="0" w:color="4494D1"/>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Adjusted ROE</w:t>
            </w:r>
          </w:p>
        </w:tc>
        <w:tc>
          <w:tcPr>
            <w:tcW w:w="1485" w:type="dxa"/>
            <w:tcBorders>
              <w:top w:val="single" w:sz="12" w:space="0" w:color="4494D1"/>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20%</w:t>
            </w:r>
          </w:p>
        </w:tc>
        <w:tc>
          <w:tcPr>
            <w:tcW w:w="166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113.0%</w:t>
            </w:r>
          </w:p>
        </w:tc>
        <w:tc>
          <w:tcPr>
            <w:tcW w:w="181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$124,270</w:t>
            </w:r>
          </w:p>
        </w:tc>
      </w:tr>
      <w:tr>
        <w:tblPrEx>
          <w:tblW w:w="10260" w:type="dxa"/>
          <w:tblInd w:w="0" w:type="dxa"/>
          <w:tblLayout w:type="fixed"/>
          <w:tblCellMar>
            <w:left w:w="108" w:type="dxa"/>
            <w:right w:w="108" w:type="dxa"/>
          </w:tblCellMar>
        </w:tblPrEx>
        <w:trPr>
          <w:cantSplit/>
          <w:trHeight w:hRule="exact" w:val="315"/>
        </w:trPr>
        <w:tc>
          <w:tcPr>
            <w:tcW w:w="205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Corporate Component</w:t>
            </w:r>
          </w:p>
        </w:tc>
        <w:tc>
          <w:tcPr>
            <w:tcW w:w="3240"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As set out on pg. </w:t>
            </w:r>
            <w:r>
              <w:rPr>
                <w:rFonts w:ascii="Arial" w:eastAsia="Arial" w:hAnsi="Arial" w:cs="Arial"/>
                <w:b w:val="0"/>
                <w:i w:val="0"/>
                <w:color w:val="0000FF"/>
                <w:sz w:val="18"/>
                <w:u w:val="single"/>
              </w:rPr>
              <w:fldChar w:fldCharType="begin"/>
            </w:r>
            <w:r>
              <w:rPr>
                <w:rFonts w:ascii="Arial" w:eastAsia="Arial" w:hAnsi="Arial" w:cs="Arial"/>
                <w:b w:val="0"/>
                <w:i w:val="0"/>
                <w:color w:val="0000FF"/>
                <w:sz w:val="18"/>
                <w:u w:val="single"/>
              </w:rPr>
              <w:instrText xml:space="preserve"> PAGEREF </w:instrText>
            </w:r>
            <w:r>
              <w:rPr>
                <w:rFonts w:ascii="Arial" w:eastAsia="Arial" w:hAnsi="Arial" w:cs="Arial"/>
                <w:b w:val="0"/>
                <w:i w:val="0"/>
                <w:color w:val="0000FF"/>
                <w:sz w:val="18"/>
                <w:u w:val="single"/>
              </w:rPr>
              <w:instrText xml:space="preserve"> </w:instrText>
            </w:r>
            <w:r>
              <w:rPr>
                <w:rFonts w:ascii="Arial" w:eastAsia="Arial" w:hAnsi="Arial" w:cs="Arial"/>
                <w:b w:val="0"/>
                <w:i w:val="0"/>
                <w:color w:val="0000FF"/>
                <w:sz w:val="18"/>
                <w:u w:val="single"/>
              </w:rPr>
              <w:instrText>Section82</w:instrText>
            </w:r>
            <w:r>
              <w:rPr>
                <w:rFonts w:ascii="Arial" w:eastAsia="Arial" w:hAnsi="Arial" w:cs="Arial"/>
                <w:b w:val="0"/>
                <w:i w:val="0"/>
                <w:color w:val="0000FF"/>
                <w:sz w:val="18"/>
                <w:u w:val="single"/>
              </w:rPr>
              <w:instrText xml:space="preserve"> \h</w:instrText>
            </w:r>
            <w:r>
              <w:rPr>
                <w:rFonts w:ascii="Arial" w:eastAsia="Arial" w:hAnsi="Arial" w:cs="Arial"/>
                <w:b w:val="0"/>
                <w:i w:val="0"/>
                <w:color w:val="0000FF"/>
                <w:sz w:val="18"/>
                <w:u w:val="single"/>
              </w:rPr>
              <w:fldChar w:fldCharType="separate"/>
            </w:r>
            <w:r>
              <w:rPr>
                <w:rFonts w:ascii="Arial" w:eastAsia="Arial" w:hAnsi="Arial" w:cs="Arial"/>
                <w:b w:val="0"/>
                <w:i w:val="0"/>
                <w:color w:val="0000FF"/>
                <w:sz w:val="18"/>
                <w:u w:val="single"/>
              </w:rPr>
              <w:t>53</w:t>
            </w:r>
            <w:r>
              <w:rPr>
                <w:rFonts w:ascii="Arial" w:eastAsia="Arial" w:hAnsi="Arial" w:cs="Arial"/>
                <w:b w:val="0"/>
                <w:i w:val="0"/>
                <w:color w:val="0000FF"/>
                <w:sz w:val="18"/>
                <w:u w:val="single"/>
              </w:rPr>
              <w:fldChar w:fldCharType="end"/>
            </w:r>
          </w:p>
        </w:tc>
        <w:tc>
          <w:tcPr>
            <w:tcW w:w="148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50%</w:t>
            </w:r>
          </w:p>
        </w:tc>
        <w:tc>
          <w:tcPr>
            <w:tcW w:w="166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100.0%</w:t>
            </w:r>
          </w:p>
        </w:tc>
        <w:tc>
          <w:tcPr>
            <w:tcW w:w="181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$275,000</w:t>
            </w:r>
          </w:p>
        </w:tc>
      </w:tr>
      <w:tr>
        <w:tblPrEx>
          <w:tblW w:w="10260" w:type="dxa"/>
          <w:tblInd w:w="0" w:type="dxa"/>
          <w:tblLayout w:type="fixed"/>
          <w:tblCellMar>
            <w:left w:w="108" w:type="dxa"/>
            <w:right w:w="108" w:type="dxa"/>
          </w:tblCellMar>
        </w:tblPrEx>
        <w:trPr>
          <w:cantSplit/>
          <w:trHeight w:hRule="exact" w:val="360"/>
        </w:trPr>
        <w:tc>
          <w:tcPr>
            <w:tcW w:w="205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Individual Component</w:t>
            </w:r>
          </w:p>
        </w:tc>
        <w:tc>
          <w:tcPr>
            <w:tcW w:w="3240"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Individual goals detailed below</w:t>
            </w:r>
          </w:p>
        </w:tc>
        <w:tc>
          <w:tcPr>
            <w:tcW w:w="148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30%</w:t>
            </w:r>
          </w:p>
        </w:tc>
        <w:tc>
          <w:tcPr>
            <w:tcW w:w="166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92.0%</w:t>
            </w:r>
          </w:p>
        </w:tc>
        <w:tc>
          <w:tcPr>
            <w:tcW w:w="181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$151,800</w:t>
            </w:r>
          </w:p>
        </w:tc>
      </w:tr>
      <w:tr>
        <w:tblPrEx>
          <w:tblW w:w="10260" w:type="dxa"/>
          <w:tblInd w:w="0" w:type="dxa"/>
          <w:tblLayout w:type="fixed"/>
          <w:tblCellMar>
            <w:left w:w="108" w:type="dxa"/>
            <w:right w:w="108" w:type="dxa"/>
          </w:tblCellMar>
        </w:tblPrEx>
        <w:trPr>
          <w:cantSplit/>
          <w:trHeight w:hRule="exact" w:val="360"/>
        </w:trPr>
        <w:tc>
          <w:tcPr>
            <w:tcW w:w="205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Committee Discretion</w:t>
            </w:r>
          </w:p>
        </w:tc>
        <w:tc>
          <w:tcPr>
            <w:tcW w:w="3240"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No discretion applied</w:t>
            </w:r>
          </w:p>
        </w:tc>
        <w:tc>
          <w:tcPr>
            <w:tcW w:w="148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N/A</w:t>
            </w:r>
          </w:p>
        </w:tc>
        <w:tc>
          <w:tcPr>
            <w:tcW w:w="166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N/A</w:t>
            </w:r>
          </w:p>
        </w:tc>
        <w:tc>
          <w:tcPr>
            <w:tcW w:w="181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w:t>
            </w:r>
          </w:p>
        </w:tc>
      </w:tr>
      <w:tr>
        <w:tblPrEx>
          <w:tblW w:w="10260" w:type="dxa"/>
          <w:tblInd w:w="0" w:type="dxa"/>
          <w:tblLayout w:type="fixed"/>
          <w:tblCellMar>
            <w:left w:w="108" w:type="dxa"/>
            <w:right w:w="108" w:type="dxa"/>
          </w:tblCellMar>
        </w:tblPrEx>
        <w:trPr>
          <w:cantSplit/>
          <w:trHeight w:hRule="exact" w:val="345"/>
        </w:trPr>
        <w:tc>
          <w:tcPr>
            <w:tcW w:w="2055" w:type="dxa"/>
            <w:tcBorders>
              <w:top w:val="single" w:sz="8" w:space="0" w:color="B6B6B6"/>
              <w:left w:val="nil"/>
              <w:bottom w:val="nil"/>
              <w:right w:val="nil"/>
            </w:tcBorders>
            <w:tcMar>
              <w:top w:w="0" w:type="dxa"/>
              <w:left w:w="53" w:type="dxa"/>
              <w:bottom w:w="0" w:type="dxa"/>
              <w:right w:w="53" w:type="dxa"/>
            </w:tcMar>
            <w:vAlign w:val="center"/>
          </w:tcPr>
          <w:p>
            <w:pPr>
              <w:pageBreakBefore w:val="0"/>
              <w:spacing w:before="0" w:after="0" w:line="240" w:lineRule="auto"/>
              <w:jc w:val="left"/>
            </w:pPr>
            <w:r>
              <w:rPr>
                <w:rFonts w:ascii="Arial" w:eastAsia="Arial" w:hAnsi="Arial" w:cs="Arial"/>
                <w:b/>
                <w:i w:val="0"/>
                <w:color w:val="000000"/>
                <w:sz w:val="18"/>
                <w:u w:val="none"/>
              </w:rPr>
              <w:t>Total</w:t>
            </w:r>
          </w:p>
        </w:tc>
        <w:tc>
          <w:tcPr>
            <w:tcW w:w="3240"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p>
        </w:tc>
        <w:tc>
          <w:tcPr>
            <w:tcW w:w="1485"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100%</w:t>
            </w:r>
          </w:p>
        </w:tc>
        <w:tc>
          <w:tcPr>
            <w:tcW w:w="1665"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101%</w:t>
            </w:r>
          </w:p>
        </w:tc>
        <w:tc>
          <w:tcPr>
            <w:tcW w:w="1815"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$551,070</w:t>
            </w:r>
          </w:p>
        </w:tc>
      </w:tr>
    </w:tbl>
    <w:p>
      <w:pPr>
        <w:keepNext w:val="0"/>
        <w:keepLines w:val="0"/>
        <w:pageBreakBefore w:val="0"/>
        <w:widowControl/>
        <w:numPr>
          <w:ilvl w:val="0"/>
          <w:numId w:val="0"/>
        </w:numPr>
        <w:spacing w:before="120" w:after="60" w:line="288" w:lineRule="auto"/>
        <w:ind w:left="360" w:right="0" w:hanging="360"/>
        <w:jc w:val="left"/>
        <w:outlineLvl w:val="9"/>
        <w:rPr>
          <w:rFonts w:ascii="Arial" w:eastAsia="Arial" w:hAnsi="Arial" w:cs="Arial"/>
          <w:b w:val="0"/>
          <w:i w:val="0"/>
          <w:color w:val="969698"/>
          <w:sz w:val="16"/>
          <w:u w:val="none"/>
        </w:rPr>
      </w:pPr>
      <w:r>
        <w:rPr>
          <w:rFonts w:ascii="Times New Roman" w:eastAsia="Times New Roman" w:hAnsi="Times New Roman" w:cs="Times New Roman"/>
          <w:b w:val="0"/>
          <w:i w:val="0"/>
          <w:color w:val="FF0090"/>
          <w:sz w:val="12"/>
          <w:u w:val="none"/>
        </w:rPr>
        <w:t xml:space="preserve"> </w:t>
      </w:r>
      <w:r>
        <w:rPr>
          <w:rFonts w:ascii="Times New Roman" w:eastAsia="Times New Roman" w:hAnsi="Times New Roman" w:cs="Times New Roman"/>
          <w:b w:val="0"/>
          <w:i w:val="0"/>
          <w:color w:val="FF0090"/>
          <w:sz w:val="12"/>
          <w:u w:val="none"/>
        </w:rPr>
        <w:t xml:space="preserve"> </w:t>
      </w:r>
      <w:r>
        <w:rPr>
          <w:rFonts w:ascii="Arial" w:eastAsia="Arial" w:hAnsi="Arial" w:cs="Arial"/>
          <w:b w:val="0"/>
          <w:i w:val="0"/>
          <w:color w:val="969698"/>
          <w:sz w:val="16"/>
          <w:u w:val="none"/>
        </w:rPr>
        <w:t xml:space="preserve">(1) </w:t>
      </w:r>
      <w:r>
        <w:rPr>
          <w:rFonts w:ascii="Arial" w:eastAsia="Arial" w:hAnsi="Arial" w:cs="Arial"/>
          <w:b w:val="0"/>
          <w:i w:val="0"/>
          <w:color w:val="969698"/>
          <w:sz w:val="16"/>
          <w:u w:val="none"/>
        </w:rPr>
        <w:tab/>
      </w:r>
      <w:r>
        <w:rPr>
          <w:rFonts w:ascii="Arial" w:eastAsia="Arial" w:hAnsi="Arial" w:cs="Arial"/>
          <w:b w:val="0"/>
          <w:i w:val="0"/>
          <w:color w:val="969698"/>
          <w:sz w:val="16"/>
          <w:u w:val="none"/>
        </w:rPr>
        <w:t>The financial and corporate component multipliers vary by executive as they are each entitled to earn different percentages of their base salary as a bonus depending on the Company’s financial and corporate component achievement. Therefore, the same levels of financial and corporate component achievement translates into slightly different percentages of earned target bonus award opportunity for each executive</w:t>
      </w: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rPr>
      </w:pP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325"/>
        <w:gridCol w:w="1035"/>
        <w:gridCol w:w="1275"/>
        <w:gridCol w:w="562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525"/>
        </w:trPr>
        <w:tc>
          <w:tcPr>
            <w:tcW w:w="232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Individual Performance Objective</w:t>
            </w:r>
          </w:p>
        </w:tc>
        <w:tc>
          <w:tcPr>
            <w:tcW w:w="103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Weighting</w:t>
            </w:r>
          </w:p>
        </w:tc>
        <w:tc>
          <w:tcPr>
            <w:tcW w:w="127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Achievement Level</w:t>
            </w:r>
          </w:p>
        </w:tc>
        <w:tc>
          <w:tcPr>
            <w:tcW w:w="562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ind w:firstLine="90"/>
              <w:jc w:val="left"/>
            </w:pPr>
            <w:r>
              <w:rPr>
                <w:rFonts w:ascii="Arial" w:eastAsia="Arial" w:hAnsi="Arial" w:cs="Arial"/>
                <w:b/>
                <w:i w:val="0"/>
                <w:color w:val="000000"/>
                <w:sz w:val="18"/>
                <w:u w:val="none"/>
              </w:rPr>
              <w:t>Description of Achievement</w:t>
            </w:r>
          </w:p>
        </w:tc>
      </w:tr>
      <w:tr>
        <w:tblPrEx>
          <w:tblW w:w="10260" w:type="dxa"/>
          <w:tblInd w:w="0" w:type="dxa"/>
          <w:tblLayout w:type="fixed"/>
          <w:tblCellMar>
            <w:left w:w="108" w:type="dxa"/>
            <w:right w:w="108" w:type="dxa"/>
          </w:tblCellMar>
        </w:tblPrEx>
        <w:trPr>
          <w:cantSplit/>
          <w:trHeight w:hRule="exact" w:val="1080"/>
        </w:trPr>
        <w:tc>
          <w:tcPr>
            <w:tcW w:w="232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23" w:after="30" w:line="240" w:lineRule="auto"/>
              <w:ind w:left="0" w:right="0" w:firstLine="0"/>
              <w:jc w:val="left"/>
              <w:outlineLvl w:val="9"/>
              <w:rPr>
                <w:rFonts w:ascii="Arial" w:eastAsia="Arial" w:hAnsi="Arial" w:cs="Arial"/>
                <w:b w:val="0"/>
                <w:i w:val="0"/>
                <w:sz w:val="6"/>
              </w:rPr>
            </w:pPr>
            <w:r>
              <w:rPr>
                <w:rFonts w:ascii="Arial" w:eastAsia="Arial" w:hAnsi="Arial" w:cs="Arial"/>
                <w:b w:val="0"/>
                <w:i w:val="0"/>
                <w:sz w:val="18"/>
              </w:rPr>
              <w:t>Assume Fi</w:t>
            </w:r>
            <w:r>
              <w:rPr>
                <w:rFonts w:ascii="Arial" w:eastAsia="Arial" w:hAnsi="Arial" w:cs="Arial"/>
                <w:b w:val="0"/>
                <w:i w:val="0"/>
                <w:sz w:val="18"/>
              </w:rPr>
              <w:t>nance leadership</w:t>
            </w:r>
            <w:r>
              <w:rPr>
                <w:rFonts w:ascii="Arial" w:eastAsia="Arial" w:hAnsi="Arial" w:cs="Arial"/>
                <w:b w:val="0"/>
                <w:i w:val="0"/>
                <w:sz w:val="18"/>
              </w:rPr>
              <w:t xml:space="preserve"> role, transition duties</w:t>
            </w:r>
          </w:p>
        </w:tc>
        <w:tc>
          <w:tcPr>
            <w:tcW w:w="103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23" w:after="30" w:line="288" w:lineRule="auto"/>
              <w:ind w:left="0" w:right="0" w:firstLine="0"/>
              <w:jc w:val="left"/>
              <w:outlineLvl w:val="9"/>
              <w:rPr>
                <w:rFonts w:ascii="Arial" w:eastAsia="Arial" w:hAnsi="Arial" w:cs="Arial"/>
                <w:b w:val="0"/>
                <w:i w:val="0"/>
                <w:sz w:val="6"/>
              </w:rPr>
            </w:pPr>
            <w:r>
              <w:rPr>
                <w:rFonts w:ascii="Arial" w:eastAsia="Arial" w:hAnsi="Arial" w:cs="Arial"/>
                <w:b w:val="0"/>
                <w:i w:val="0"/>
                <w:sz w:val="18"/>
              </w:rPr>
              <w:t>2</w:t>
            </w:r>
            <w:r>
              <w:rPr>
                <w:rFonts w:ascii="Arial" w:eastAsia="Arial" w:hAnsi="Arial" w:cs="Arial"/>
                <w:b w:val="0"/>
                <w:i w:val="0"/>
                <w:sz w:val="18"/>
              </w:rPr>
              <w:t>0</w:t>
            </w:r>
            <w:r>
              <w:rPr>
                <w:rFonts w:ascii="Arial" w:eastAsia="Arial" w:hAnsi="Arial" w:cs="Arial"/>
                <w:b w:val="0"/>
                <w:i w:val="0"/>
                <w:sz w:val="18"/>
              </w:rPr>
              <w:t>%</w:t>
            </w:r>
          </w:p>
        </w:tc>
        <w:tc>
          <w:tcPr>
            <w:tcW w:w="127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23" w:after="0" w:line="288" w:lineRule="auto"/>
              <w:ind w:left="0" w:right="0" w:firstLine="0"/>
              <w:jc w:val="left"/>
              <w:outlineLvl w:val="9"/>
              <w:rPr>
                <w:rFonts w:ascii="Arial" w:eastAsia="Arial" w:hAnsi="Arial" w:cs="Arial"/>
                <w:b w:val="0"/>
                <w:i w:val="0"/>
                <w:sz w:val="6"/>
              </w:rPr>
            </w:pPr>
            <w:r>
              <w:rPr>
                <w:rFonts w:ascii="Arial" w:eastAsia="Arial" w:hAnsi="Arial" w:cs="Arial"/>
                <w:b w:val="0"/>
                <w:i w:val="0"/>
                <w:sz w:val="6"/>
              </w:rPr>
              <w:t xml:space="preserve"> </w:t>
            </w:r>
          </w:p>
          <w:p>
            <w:pPr>
              <w:pageBreakBefore w:val="0"/>
              <w:numPr>
                <w:ilvl w:val="0"/>
                <w:numId w:val="0"/>
              </w:numPr>
              <w:spacing w:before="0" w:after="30" w:line="288" w:lineRule="auto"/>
              <w:ind w:left="0" w:right="0" w:firstLine="0"/>
              <w:jc w:val="left"/>
              <w:outlineLvl w:val="9"/>
              <w:rPr>
                <w:rFonts w:ascii="Arial" w:eastAsia="Arial" w:hAnsi="Arial" w:cs="Arial"/>
                <w:b w:val="0"/>
                <w:i w:val="0"/>
                <w:sz w:val="18"/>
              </w:rPr>
            </w:pPr>
            <w:r>
              <w:rPr>
                <w:rFonts w:ascii="Arial" w:eastAsia="Arial" w:hAnsi="Arial" w:cs="Arial"/>
                <w:b w:val="0"/>
                <w:i w:val="0"/>
                <w:sz w:val="18"/>
              </w:rPr>
              <w:t>Target</w:t>
            </w:r>
          </w:p>
        </w:tc>
        <w:tc>
          <w:tcPr>
            <w:tcW w:w="562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2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61"/>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Su</w:t>
            </w:r>
            <w:r>
              <w:rPr>
                <w:rFonts w:ascii="Arial" w:eastAsia="Arial" w:hAnsi="Arial" w:cs="Arial"/>
                <w:b w:val="0"/>
                <w:i w:val="0"/>
                <w:sz w:val="18"/>
              </w:rPr>
              <w:t>c</w:t>
            </w:r>
            <w:r>
              <w:rPr>
                <w:rFonts w:ascii="Arial" w:eastAsia="Arial" w:hAnsi="Arial" w:cs="Arial"/>
                <w:b w:val="0"/>
                <w:i w:val="0"/>
                <w:sz w:val="18"/>
              </w:rPr>
              <w:t>c</w:t>
            </w:r>
            <w:r>
              <w:rPr>
                <w:rFonts w:ascii="Arial" w:eastAsia="Arial" w:hAnsi="Arial" w:cs="Arial"/>
                <w:b w:val="0"/>
                <w:i w:val="0"/>
                <w:sz w:val="18"/>
              </w:rPr>
              <w:t>e</w:t>
            </w:r>
            <w:r>
              <w:rPr>
                <w:rFonts w:ascii="Arial" w:eastAsia="Arial" w:hAnsi="Arial" w:cs="Arial"/>
                <w:b w:val="0"/>
                <w:i w:val="0"/>
                <w:sz w:val="18"/>
              </w:rPr>
              <w:t>ss</w:t>
            </w:r>
            <w:r>
              <w:rPr>
                <w:rFonts w:ascii="Arial" w:eastAsia="Arial" w:hAnsi="Arial" w:cs="Arial"/>
                <w:b w:val="0"/>
                <w:i w:val="0"/>
                <w:sz w:val="18"/>
              </w:rPr>
              <w:t>f</w:t>
            </w:r>
            <w:r>
              <w:rPr>
                <w:rFonts w:ascii="Arial" w:eastAsia="Arial" w:hAnsi="Arial" w:cs="Arial"/>
                <w:b w:val="0"/>
                <w:i w:val="0"/>
                <w:sz w:val="18"/>
              </w:rPr>
              <w:t>ully transition</w:t>
            </w:r>
            <w:r>
              <w:rPr>
                <w:rFonts w:ascii="Arial" w:eastAsia="Arial" w:hAnsi="Arial" w:cs="Arial"/>
                <w:b w:val="0"/>
                <w:i w:val="0"/>
                <w:sz w:val="18"/>
              </w:rPr>
              <w:t>ed</w:t>
            </w:r>
            <w:r>
              <w:rPr>
                <w:rFonts w:ascii="Arial" w:eastAsia="Arial" w:hAnsi="Arial" w:cs="Arial"/>
                <w:b w:val="0"/>
                <w:i w:val="0"/>
                <w:sz w:val="18"/>
              </w:rPr>
              <w:t xml:space="preserve"> to the </w:t>
            </w:r>
            <w:r>
              <w:rPr>
                <w:rFonts w:ascii="Arial" w:eastAsia="Arial" w:hAnsi="Arial" w:cs="Arial"/>
                <w:b w:val="0"/>
                <w:i w:val="0"/>
                <w:sz w:val="18"/>
              </w:rPr>
              <w:t>role of CFO</w:t>
            </w:r>
            <w:r>
              <w:rPr>
                <w:rFonts w:ascii="Arial" w:eastAsia="Arial" w:hAnsi="Arial" w:cs="Arial"/>
                <w:b w:val="0"/>
                <w:i w:val="0"/>
                <w:sz w:val="18"/>
              </w:rPr>
              <w:t xml:space="preserve"> and </w:t>
            </w:r>
            <w:r>
              <w:rPr>
                <w:rFonts w:ascii="Arial" w:eastAsia="Arial" w:hAnsi="Arial" w:cs="Arial"/>
                <w:b w:val="0"/>
                <w:i w:val="0"/>
                <w:sz w:val="18"/>
              </w:rPr>
              <w:t>f</w:t>
            </w:r>
            <w:r>
              <w:rPr>
                <w:rFonts w:ascii="Arial" w:eastAsia="Arial" w:hAnsi="Arial" w:cs="Arial"/>
                <w:b w:val="0"/>
                <w:i w:val="0"/>
                <w:sz w:val="18"/>
              </w:rPr>
              <w:t xml:space="preserve">acilitated a smooth succession plan for </w:t>
            </w:r>
            <w:r>
              <w:rPr>
                <w:rFonts w:ascii="Arial" w:eastAsia="Arial" w:hAnsi="Arial" w:cs="Arial"/>
                <w:b w:val="0"/>
                <w:i w:val="0"/>
                <w:sz w:val="18"/>
              </w:rPr>
              <w:t>Treasurer</w:t>
            </w:r>
            <w:r>
              <w:rPr>
                <w:rFonts w:ascii="Arial" w:eastAsia="Arial" w:hAnsi="Arial" w:cs="Arial"/>
                <w:b w:val="0"/>
                <w:i w:val="0"/>
                <w:sz w:val="18"/>
              </w:rPr>
              <w:t xml:space="preserve"> </w:t>
            </w:r>
            <w:r>
              <w:rPr>
                <w:rFonts w:ascii="Arial" w:eastAsia="Arial" w:hAnsi="Arial" w:cs="Arial"/>
                <w:b w:val="0"/>
                <w:i w:val="0"/>
                <w:sz w:val="18"/>
              </w:rPr>
              <w:t>role through internal promotion</w:t>
            </w:r>
            <w:r>
              <w:rPr>
                <w:rFonts w:ascii="Arial" w:eastAsia="Arial" w:hAnsi="Arial" w:cs="Arial"/>
                <w:b w:val="0"/>
                <w:i w:val="0"/>
                <w:sz w:val="18"/>
              </w:rPr>
              <w:t xml:space="preserve">. </w:t>
            </w:r>
            <w:r>
              <w:rPr>
                <w:rFonts w:ascii="Arial" w:eastAsia="Arial" w:hAnsi="Arial" w:cs="Arial"/>
                <w:b w:val="0"/>
                <w:i w:val="0"/>
                <w:sz w:val="18"/>
              </w:rPr>
              <w:tab/>
            </w:r>
          </w:p>
          <w:p>
            <w:pPr>
              <w:pageBreakBefore w:val="0"/>
              <w:numPr>
                <w:ilvl w:val="0"/>
                <w:numId w:val="262"/>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R</w:t>
            </w:r>
            <w:r>
              <w:rPr>
                <w:rFonts w:ascii="Arial" w:eastAsia="Arial" w:hAnsi="Arial" w:cs="Arial"/>
                <w:b w:val="0"/>
                <w:i w:val="0"/>
                <w:sz w:val="18"/>
              </w:rPr>
              <w:t>ecruited new Chief Accounting Officer.</w:t>
            </w:r>
          </w:p>
          <w:p>
            <w:pPr>
              <w:pageBreakBefore w:val="0"/>
              <w:numPr>
                <w:ilvl w:val="0"/>
                <w:numId w:val="263"/>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 xml:space="preserve">Conducted </w:t>
            </w:r>
            <w:r>
              <w:rPr>
                <w:rFonts w:ascii="Arial" w:eastAsia="Arial" w:hAnsi="Arial" w:cs="Arial"/>
                <w:b w:val="0"/>
                <w:i w:val="0"/>
                <w:sz w:val="18"/>
              </w:rPr>
              <w:t xml:space="preserve">strategic </w:t>
            </w:r>
            <w:r>
              <w:rPr>
                <w:rFonts w:ascii="Arial" w:eastAsia="Arial" w:hAnsi="Arial" w:cs="Arial"/>
                <w:b w:val="0"/>
                <w:i w:val="0"/>
                <w:sz w:val="18"/>
              </w:rPr>
              <w:t>review of finance change roadmap</w:t>
            </w:r>
            <w:r>
              <w:rPr>
                <w:rFonts w:ascii="Arial" w:eastAsia="Arial" w:hAnsi="Arial" w:cs="Arial"/>
                <w:b w:val="0"/>
                <w:i w:val="0"/>
                <w:sz w:val="18"/>
              </w:rPr>
              <w:t>.</w:t>
            </w:r>
          </w:p>
          <w:p>
            <w:pPr>
              <w:pageBreakBefore w:val="0"/>
              <w:numPr>
                <w:ilvl w:val="0"/>
                <w:numId w:val="0"/>
              </w:numPr>
              <w:spacing w:before="0" w:after="30" w:line="240" w:lineRule="auto"/>
              <w:ind w:left="-450" w:right="0" w:firstLine="180"/>
              <w:jc w:val="left"/>
              <w:outlineLvl w:val="9"/>
              <w:rPr>
                <w:rFonts w:ascii="Arial" w:eastAsia="Arial" w:hAnsi="Arial" w:cs="Arial"/>
                <w:b w:val="0"/>
                <w:i w:val="0"/>
                <w:sz w:val="18"/>
              </w:rPr>
            </w:pPr>
          </w:p>
        </w:tc>
      </w:tr>
      <w:tr>
        <w:tblPrEx>
          <w:tblW w:w="10260" w:type="dxa"/>
          <w:tblInd w:w="0" w:type="dxa"/>
          <w:tblLayout w:type="fixed"/>
          <w:tblCellMar>
            <w:left w:w="108" w:type="dxa"/>
            <w:right w:w="108" w:type="dxa"/>
          </w:tblCellMar>
        </w:tblPrEx>
        <w:trPr>
          <w:cantSplit/>
          <w:trHeight w:hRule="exact" w:val="1275"/>
        </w:trPr>
        <w:tc>
          <w:tcPr>
            <w:tcW w:w="23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6"/>
              </w:rPr>
            </w:pPr>
            <w:r>
              <w:rPr>
                <w:rFonts w:ascii="Arial" w:eastAsia="Arial" w:hAnsi="Arial" w:cs="Arial"/>
                <w:b w:val="0"/>
                <w:i w:val="0"/>
                <w:sz w:val="18"/>
              </w:rPr>
              <w:t>Launch</w:t>
            </w:r>
            <w:r>
              <w:rPr>
                <w:rFonts w:ascii="Arial" w:eastAsia="Arial" w:hAnsi="Arial" w:cs="Arial"/>
                <w:b w:val="0"/>
                <w:i w:val="0"/>
                <w:sz w:val="18"/>
              </w:rPr>
              <w:t xml:space="preserve"> updated</w:t>
            </w:r>
            <w:r>
              <w:rPr>
                <w:rFonts w:ascii="Arial" w:eastAsia="Arial" w:hAnsi="Arial" w:cs="Arial"/>
                <w:b w:val="0"/>
                <w:i w:val="0"/>
                <w:sz w:val="18"/>
              </w:rPr>
              <w:t xml:space="preserve"> capital management fr</w:t>
            </w:r>
            <w:r>
              <w:rPr>
                <w:rFonts w:ascii="Arial" w:eastAsia="Arial" w:hAnsi="Arial" w:cs="Arial"/>
                <w:b w:val="0"/>
                <w:i w:val="0"/>
                <w:sz w:val="18"/>
              </w:rPr>
              <w:t>amework</w:t>
            </w:r>
            <w:r>
              <w:rPr>
                <w:rFonts w:ascii="Arial" w:eastAsia="Arial" w:hAnsi="Arial" w:cs="Arial"/>
                <w:b w:val="0"/>
                <w:i w:val="0"/>
                <w:sz w:val="18"/>
              </w:rPr>
              <w:t xml:space="preserve"> and implement return of capital strategies</w:t>
            </w:r>
          </w:p>
        </w:tc>
        <w:tc>
          <w:tcPr>
            <w:tcW w:w="103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numPr>
                <w:ilvl w:val="0"/>
                <w:numId w:val="0"/>
              </w:numPr>
              <w:spacing w:before="33" w:after="30" w:line="288" w:lineRule="auto"/>
              <w:ind w:left="0" w:right="0" w:firstLine="0"/>
              <w:jc w:val="left"/>
              <w:outlineLvl w:val="9"/>
              <w:rPr>
                <w:rFonts w:ascii="Arial" w:eastAsia="Arial" w:hAnsi="Arial" w:cs="Arial"/>
                <w:b w:val="0"/>
                <w:i w:val="0"/>
                <w:sz w:val="6"/>
              </w:rPr>
            </w:pPr>
            <w:r>
              <w:rPr>
                <w:rFonts w:ascii="Arial" w:eastAsia="Arial" w:hAnsi="Arial" w:cs="Arial"/>
                <w:b w:val="0"/>
                <w:i w:val="0"/>
                <w:sz w:val="18"/>
              </w:rPr>
              <w:t>2</w:t>
            </w:r>
            <w:r>
              <w:rPr>
                <w:rFonts w:ascii="Arial" w:eastAsia="Arial" w:hAnsi="Arial" w:cs="Arial"/>
                <w:b w:val="0"/>
                <w:i w:val="0"/>
                <w:sz w:val="18"/>
              </w:rPr>
              <w:t>0%</w:t>
            </w:r>
          </w:p>
        </w:tc>
        <w:tc>
          <w:tcPr>
            <w:tcW w:w="127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numPr>
                <w:ilvl w:val="0"/>
                <w:numId w:val="0"/>
              </w:numPr>
              <w:spacing w:before="33" w:after="0" w:line="288" w:lineRule="auto"/>
              <w:ind w:left="0" w:right="0" w:firstLine="0"/>
              <w:jc w:val="left"/>
              <w:outlineLvl w:val="9"/>
              <w:rPr>
                <w:rFonts w:ascii="Arial" w:eastAsia="Arial" w:hAnsi="Arial" w:cs="Arial"/>
                <w:b w:val="0"/>
                <w:i w:val="0"/>
                <w:sz w:val="6"/>
              </w:rPr>
            </w:pPr>
            <w:r>
              <w:rPr>
                <w:rFonts w:ascii="Arial" w:eastAsia="Arial" w:hAnsi="Arial" w:cs="Arial"/>
                <w:b w:val="0"/>
                <w:i w:val="0"/>
                <w:sz w:val="6"/>
              </w:rPr>
              <w:t xml:space="preserve"> </w:t>
            </w:r>
          </w:p>
          <w:p>
            <w:pPr>
              <w:pageBreakBefore w:val="0"/>
              <w:numPr>
                <w:ilvl w:val="0"/>
                <w:numId w:val="0"/>
              </w:numPr>
              <w:spacing w:before="0" w:after="30" w:line="288" w:lineRule="auto"/>
              <w:ind w:left="0" w:right="0" w:firstLine="0"/>
              <w:jc w:val="left"/>
              <w:outlineLvl w:val="9"/>
              <w:rPr>
                <w:rFonts w:ascii="Arial" w:eastAsia="Arial" w:hAnsi="Arial" w:cs="Arial"/>
                <w:b w:val="0"/>
                <w:i w:val="0"/>
                <w:sz w:val="18"/>
              </w:rPr>
            </w:pPr>
            <w:r>
              <w:rPr>
                <w:rFonts w:ascii="Arial" w:eastAsia="Arial" w:hAnsi="Arial" w:cs="Arial"/>
                <w:b w:val="0"/>
                <w:i w:val="0"/>
                <w:sz w:val="18"/>
              </w:rPr>
              <w:t>Target</w:t>
            </w:r>
          </w:p>
        </w:tc>
        <w:tc>
          <w:tcPr>
            <w:tcW w:w="56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59"/>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Embedded an</w:t>
            </w:r>
            <w:r>
              <w:rPr>
                <w:rFonts w:ascii="Arial" w:eastAsia="Arial" w:hAnsi="Arial" w:cs="Arial"/>
                <w:b w:val="0"/>
                <w:i w:val="0"/>
                <w:sz w:val="18"/>
              </w:rPr>
              <w:t>d regularly refreshed</w:t>
            </w:r>
            <w:r>
              <w:rPr>
                <w:rFonts w:ascii="Arial" w:eastAsia="Arial" w:hAnsi="Arial" w:cs="Arial"/>
                <w:b w:val="0"/>
                <w:i w:val="0"/>
                <w:sz w:val="18"/>
              </w:rPr>
              <w:t xml:space="preserve"> capital management framework</w:t>
            </w:r>
            <w:r>
              <w:rPr>
                <w:rFonts w:ascii="Arial" w:eastAsia="Arial" w:hAnsi="Arial" w:cs="Arial"/>
                <w:b w:val="0"/>
                <w:i w:val="0"/>
                <w:sz w:val="18"/>
              </w:rPr>
              <w:t>, inc</w:t>
            </w:r>
            <w:r>
              <w:rPr>
                <w:rFonts w:ascii="Arial" w:eastAsia="Arial" w:hAnsi="Arial" w:cs="Arial"/>
                <w:b w:val="0"/>
                <w:i w:val="0"/>
                <w:sz w:val="18"/>
              </w:rPr>
              <w:t>orpo</w:t>
            </w:r>
            <w:r>
              <w:rPr>
                <w:rFonts w:ascii="Arial" w:eastAsia="Arial" w:hAnsi="Arial" w:cs="Arial"/>
                <w:b w:val="0"/>
                <w:i w:val="0"/>
                <w:sz w:val="18"/>
              </w:rPr>
              <w:t xml:space="preserve">rating input from </w:t>
            </w:r>
            <w:r>
              <w:rPr>
                <w:rFonts w:ascii="Arial" w:eastAsia="Arial" w:hAnsi="Arial" w:cs="Arial"/>
                <w:b w:val="0"/>
                <w:i w:val="0"/>
                <w:sz w:val="18"/>
              </w:rPr>
              <w:t>risk management</w:t>
            </w:r>
            <w:r>
              <w:rPr>
                <w:rFonts w:ascii="Arial" w:eastAsia="Arial" w:hAnsi="Arial" w:cs="Arial"/>
                <w:b w:val="0"/>
                <w:i w:val="0"/>
                <w:sz w:val="18"/>
              </w:rPr>
              <w:t>.</w:t>
            </w:r>
          </w:p>
          <w:p>
            <w:pPr>
              <w:pageBreakBefore w:val="0"/>
              <w:numPr>
                <w:ilvl w:val="0"/>
                <w:numId w:val="260"/>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 xml:space="preserve">Assessed and successfully </w:t>
            </w:r>
            <w:r>
              <w:rPr>
                <w:rFonts w:ascii="Arial" w:eastAsia="Arial" w:hAnsi="Arial" w:cs="Arial"/>
                <w:b w:val="0"/>
                <w:i w:val="0"/>
                <w:sz w:val="18"/>
              </w:rPr>
              <w:t>released</w:t>
            </w:r>
            <w:r>
              <w:rPr>
                <w:rFonts w:ascii="Arial" w:eastAsia="Arial" w:hAnsi="Arial" w:cs="Arial"/>
                <w:b w:val="0"/>
                <w:i w:val="0"/>
                <w:sz w:val="18"/>
              </w:rPr>
              <w:t xml:space="preserve"> significant excess collateral </w:t>
            </w:r>
            <w:r>
              <w:rPr>
                <w:rFonts w:ascii="Arial" w:eastAsia="Arial" w:hAnsi="Arial" w:cs="Arial"/>
                <w:b w:val="0"/>
                <w:i w:val="0"/>
                <w:sz w:val="18"/>
              </w:rPr>
              <w:t>to improve</w:t>
            </w:r>
            <w:r>
              <w:rPr>
                <w:rFonts w:ascii="Arial" w:eastAsia="Arial" w:hAnsi="Arial" w:cs="Arial"/>
                <w:b w:val="0"/>
                <w:i w:val="0"/>
                <w:sz w:val="18"/>
              </w:rPr>
              <w:t xml:space="preserve"> the Company's liquidity profile</w:t>
            </w:r>
            <w:r>
              <w:rPr>
                <w:rFonts w:ascii="Arial" w:eastAsia="Arial" w:hAnsi="Arial" w:cs="Arial"/>
                <w:b w:val="0"/>
                <w:i w:val="0"/>
                <w:sz w:val="18"/>
              </w:rPr>
              <w:t xml:space="preserve"> and </w:t>
            </w:r>
            <w:r>
              <w:rPr>
                <w:rFonts w:ascii="Arial" w:eastAsia="Arial" w:hAnsi="Arial" w:cs="Arial"/>
                <w:b w:val="0"/>
                <w:i w:val="0"/>
                <w:sz w:val="18"/>
              </w:rPr>
              <w:t xml:space="preserve">executed </w:t>
            </w:r>
            <w:r>
              <w:rPr>
                <w:rFonts w:ascii="Arial" w:eastAsia="Arial" w:hAnsi="Arial" w:cs="Arial"/>
                <w:b w:val="0"/>
                <w:i w:val="0"/>
                <w:sz w:val="18"/>
              </w:rPr>
              <w:t>$</w:t>
            </w:r>
            <w:r>
              <w:rPr>
                <w:rFonts w:ascii="Arial" w:eastAsia="Arial" w:hAnsi="Arial" w:cs="Arial"/>
                <w:b w:val="0"/>
                <w:i w:val="0"/>
                <w:sz w:val="18"/>
              </w:rPr>
              <w:t>53</w:t>
            </w:r>
            <w:r>
              <w:rPr>
                <w:rFonts w:ascii="Arial" w:eastAsia="Arial" w:hAnsi="Arial" w:cs="Arial"/>
                <w:b w:val="0"/>
                <w:i w:val="0"/>
                <w:sz w:val="18"/>
              </w:rPr>
              <w:t>2</w:t>
            </w:r>
            <w:r>
              <w:rPr>
                <w:rFonts w:ascii="Arial" w:eastAsia="Arial" w:hAnsi="Arial" w:cs="Arial"/>
                <w:b w:val="0"/>
                <w:i w:val="0"/>
                <w:sz w:val="18"/>
              </w:rPr>
              <w:t xml:space="preserve"> million</w:t>
            </w:r>
            <w:r>
              <w:rPr>
                <w:rFonts w:ascii="Arial" w:eastAsia="Arial" w:hAnsi="Arial" w:cs="Arial"/>
                <w:b w:val="0"/>
                <w:i w:val="0"/>
                <w:sz w:val="18"/>
              </w:rPr>
              <w:t xml:space="preserve"> </w:t>
            </w:r>
            <w:r>
              <w:rPr>
                <w:rFonts w:ascii="Arial" w:eastAsia="Arial" w:hAnsi="Arial" w:cs="Arial"/>
                <w:b w:val="0"/>
                <w:i w:val="0"/>
                <w:sz w:val="18"/>
              </w:rPr>
              <w:t xml:space="preserve">return </w:t>
            </w:r>
            <w:r>
              <w:rPr>
                <w:rFonts w:ascii="Arial" w:eastAsia="Arial" w:hAnsi="Arial" w:cs="Arial"/>
                <w:b w:val="0"/>
                <w:i w:val="0"/>
                <w:sz w:val="18"/>
              </w:rPr>
              <w:t>of capital to shareholders</w:t>
            </w:r>
            <w:r>
              <w:rPr>
                <w:rFonts w:ascii="Arial" w:eastAsia="Arial" w:hAnsi="Arial" w:cs="Arial"/>
                <w:b w:val="0"/>
                <w:i w:val="0"/>
                <w:sz w:val="18"/>
              </w:rPr>
              <w:t xml:space="preserve"> through share repurchases.</w:t>
            </w:r>
          </w:p>
          <w:p>
            <w:pPr>
              <w:pageBreakBefore w:val="0"/>
              <w:numPr>
                <w:ilvl w:val="0"/>
                <w:numId w:val="0"/>
              </w:numPr>
              <w:spacing w:before="0" w:after="30" w:line="240" w:lineRule="auto"/>
              <w:ind w:left="-450" w:right="0" w:firstLine="180"/>
              <w:jc w:val="left"/>
              <w:outlineLvl w:val="9"/>
              <w:rPr>
                <w:rFonts w:ascii="Arial" w:eastAsia="Arial" w:hAnsi="Arial" w:cs="Arial"/>
                <w:b w:val="0"/>
                <w:i w:val="0"/>
                <w:sz w:val="18"/>
              </w:rPr>
            </w:pPr>
            <w:r>
              <w:rPr>
                <w:rFonts w:ascii="Arial" w:eastAsia="Arial" w:hAnsi="Arial" w:cs="Arial"/>
                <w:b w:val="0"/>
                <w:i w:val="0"/>
                <w:sz w:val="18"/>
              </w:rPr>
              <w:tab/>
            </w:r>
          </w:p>
        </w:tc>
      </w:tr>
      <w:tr>
        <w:tblPrEx>
          <w:tblW w:w="10260" w:type="dxa"/>
          <w:tblInd w:w="0" w:type="dxa"/>
          <w:tblLayout w:type="fixed"/>
          <w:tblCellMar>
            <w:left w:w="108" w:type="dxa"/>
            <w:right w:w="108" w:type="dxa"/>
          </w:tblCellMar>
        </w:tblPrEx>
        <w:trPr>
          <w:cantSplit/>
          <w:trHeight w:hRule="exact" w:val="1080"/>
        </w:trPr>
        <w:tc>
          <w:tcPr>
            <w:tcW w:w="23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6"/>
              </w:rPr>
            </w:pPr>
            <w:r>
              <w:rPr>
                <w:rFonts w:ascii="Arial" w:eastAsia="Arial" w:hAnsi="Arial" w:cs="Arial"/>
                <w:b w:val="0"/>
                <w:i w:val="0"/>
                <w:sz w:val="18"/>
              </w:rPr>
              <w:t xml:space="preserve">Progress </w:t>
            </w:r>
            <w:r>
              <w:rPr>
                <w:rFonts w:ascii="Arial" w:eastAsia="Arial" w:hAnsi="Arial" w:cs="Arial"/>
                <w:b w:val="0"/>
                <w:i w:val="0"/>
                <w:sz w:val="18"/>
              </w:rPr>
              <w:t>I</w:t>
            </w:r>
            <w:r>
              <w:rPr>
                <w:rFonts w:ascii="Arial" w:eastAsia="Arial" w:hAnsi="Arial" w:cs="Arial"/>
                <w:b w:val="0"/>
                <w:i w:val="0"/>
                <w:sz w:val="18"/>
              </w:rPr>
              <w:t>nvestor Relations</w:t>
            </w:r>
            <w:r>
              <w:rPr>
                <w:rFonts w:ascii="Arial" w:eastAsia="Arial" w:hAnsi="Arial" w:cs="Arial"/>
                <w:b w:val="0"/>
                <w:i w:val="0"/>
                <w:sz w:val="18"/>
              </w:rPr>
              <w:t xml:space="preserve"> roadmap actions and strategies</w:t>
            </w:r>
          </w:p>
        </w:tc>
        <w:tc>
          <w:tcPr>
            <w:tcW w:w="103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30" w:line="288" w:lineRule="auto"/>
              <w:ind w:left="0" w:right="0" w:firstLine="0"/>
              <w:jc w:val="left"/>
              <w:outlineLvl w:val="9"/>
              <w:rPr>
                <w:rFonts w:ascii="Arial" w:eastAsia="Arial" w:hAnsi="Arial" w:cs="Arial"/>
                <w:b w:val="0"/>
                <w:i w:val="0"/>
                <w:sz w:val="6"/>
              </w:rPr>
            </w:pPr>
            <w:r>
              <w:rPr>
                <w:rFonts w:ascii="Arial" w:eastAsia="Arial" w:hAnsi="Arial" w:cs="Arial"/>
                <w:b w:val="0"/>
                <w:i w:val="0"/>
                <w:sz w:val="18"/>
              </w:rPr>
              <w:t>2</w:t>
            </w:r>
            <w:r>
              <w:rPr>
                <w:rFonts w:ascii="Arial" w:eastAsia="Arial" w:hAnsi="Arial" w:cs="Arial"/>
                <w:b w:val="0"/>
                <w:i w:val="0"/>
                <w:sz w:val="18"/>
              </w:rPr>
              <w:t>0%</w:t>
            </w:r>
          </w:p>
        </w:tc>
        <w:tc>
          <w:tcPr>
            <w:tcW w:w="127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88" w:lineRule="auto"/>
              <w:ind w:left="0" w:right="0" w:firstLine="0"/>
              <w:jc w:val="left"/>
              <w:outlineLvl w:val="9"/>
              <w:rPr>
                <w:rFonts w:ascii="Arial" w:eastAsia="Arial" w:hAnsi="Arial" w:cs="Arial"/>
                <w:b w:val="0"/>
                <w:i w:val="0"/>
                <w:sz w:val="6"/>
              </w:rPr>
            </w:pPr>
            <w:r>
              <w:rPr>
                <w:rFonts w:ascii="Arial" w:eastAsia="Arial" w:hAnsi="Arial" w:cs="Arial"/>
                <w:b w:val="0"/>
                <w:i w:val="0"/>
                <w:sz w:val="6"/>
              </w:rPr>
              <w:t xml:space="preserve"> </w:t>
            </w:r>
          </w:p>
          <w:p>
            <w:pPr>
              <w:pageBreakBefore w:val="0"/>
              <w:numPr>
                <w:ilvl w:val="0"/>
                <w:numId w:val="0"/>
              </w:numPr>
              <w:spacing w:before="0" w:after="30" w:line="288" w:lineRule="auto"/>
              <w:ind w:left="0" w:right="0" w:firstLine="0"/>
              <w:jc w:val="left"/>
              <w:outlineLvl w:val="9"/>
              <w:rPr>
                <w:rFonts w:ascii="Arial" w:eastAsia="Arial" w:hAnsi="Arial" w:cs="Arial"/>
                <w:b w:val="0"/>
                <w:i w:val="0"/>
                <w:sz w:val="18"/>
              </w:rPr>
            </w:pPr>
            <w:r>
              <w:rPr>
                <w:rFonts w:ascii="Arial" w:eastAsia="Arial" w:hAnsi="Arial" w:cs="Arial"/>
                <w:b w:val="0"/>
                <w:i w:val="0"/>
                <w:sz w:val="18"/>
              </w:rPr>
              <w:t>Threshold</w:t>
            </w:r>
          </w:p>
        </w:tc>
        <w:tc>
          <w:tcPr>
            <w:tcW w:w="56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57"/>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Progressed</w:t>
            </w:r>
            <w:r>
              <w:rPr>
                <w:rFonts w:ascii="Arial" w:eastAsia="Arial" w:hAnsi="Arial" w:cs="Arial"/>
                <w:b w:val="0"/>
                <w:i w:val="0"/>
                <w:sz w:val="18"/>
              </w:rPr>
              <w:t xml:space="preserve"> </w:t>
            </w:r>
            <w:r>
              <w:rPr>
                <w:rFonts w:ascii="Arial" w:eastAsia="Arial" w:hAnsi="Arial" w:cs="Arial"/>
                <w:b w:val="0"/>
                <w:i w:val="0"/>
                <w:sz w:val="18"/>
              </w:rPr>
              <w:t xml:space="preserve">investor relations </w:t>
            </w:r>
            <w:r>
              <w:rPr>
                <w:rFonts w:ascii="Arial" w:eastAsia="Arial" w:hAnsi="Arial" w:cs="Arial"/>
                <w:b w:val="0"/>
                <w:i w:val="0"/>
                <w:sz w:val="18"/>
              </w:rPr>
              <w:t xml:space="preserve">initiatives, </w:t>
            </w:r>
            <w:r>
              <w:rPr>
                <w:rFonts w:ascii="Arial" w:eastAsia="Arial" w:hAnsi="Arial" w:cs="Arial"/>
                <w:b w:val="0"/>
                <w:i w:val="0"/>
                <w:sz w:val="18"/>
              </w:rPr>
              <w:t>including communications strategy</w:t>
            </w:r>
            <w:r>
              <w:rPr>
                <w:rFonts w:ascii="Arial" w:eastAsia="Arial" w:hAnsi="Arial" w:cs="Arial"/>
                <w:b w:val="0"/>
                <w:i w:val="0"/>
                <w:sz w:val="18"/>
              </w:rPr>
              <w:t>, en</w:t>
            </w:r>
            <w:r>
              <w:rPr>
                <w:rFonts w:ascii="Arial" w:eastAsia="Arial" w:hAnsi="Arial" w:cs="Arial"/>
                <w:b w:val="0"/>
                <w:i w:val="0"/>
                <w:sz w:val="18"/>
              </w:rPr>
              <w:t>hanced</w:t>
            </w:r>
            <w:r>
              <w:rPr>
                <w:rFonts w:ascii="Arial" w:eastAsia="Arial" w:hAnsi="Arial" w:cs="Arial"/>
                <w:b w:val="0"/>
                <w:i w:val="0"/>
                <w:sz w:val="18"/>
              </w:rPr>
              <w:t xml:space="preserve"> reporting, and program proposals </w:t>
            </w:r>
            <w:r>
              <w:rPr>
                <w:rFonts w:ascii="Arial" w:eastAsia="Arial" w:hAnsi="Arial" w:cs="Arial"/>
                <w:b w:val="0"/>
                <w:i w:val="0"/>
                <w:sz w:val="18"/>
              </w:rPr>
              <w:t>and future considerations.</w:t>
            </w:r>
          </w:p>
          <w:p>
            <w:pPr>
              <w:pageBreakBefore w:val="0"/>
              <w:numPr>
                <w:ilvl w:val="0"/>
                <w:numId w:val="258"/>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Began imple</w:t>
            </w:r>
            <w:r>
              <w:rPr>
                <w:rFonts w:ascii="Arial" w:eastAsia="Arial" w:hAnsi="Arial" w:cs="Arial"/>
                <w:b w:val="0"/>
                <w:i w:val="0"/>
                <w:sz w:val="18"/>
              </w:rPr>
              <w:t xml:space="preserve">menting </w:t>
            </w:r>
            <w:r>
              <w:rPr>
                <w:rFonts w:ascii="Arial" w:eastAsia="Arial" w:hAnsi="Arial" w:cs="Arial"/>
                <w:b w:val="0"/>
                <w:i w:val="0"/>
                <w:sz w:val="18"/>
              </w:rPr>
              <w:t>improvements, including increased shareholder engageme</w:t>
            </w:r>
            <w:r>
              <w:rPr>
                <w:rFonts w:ascii="Arial" w:eastAsia="Arial" w:hAnsi="Arial" w:cs="Arial"/>
                <w:b w:val="0"/>
                <w:i w:val="0"/>
                <w:sz w:val="18"/>
              </w:rPr>
              <w:t>nt and conference participation.</w:t>
            </w:r>
            <w:r>
              <w:rPr>
                <w:rFonts w:ascii="Arial" w:eastAsia="Arial" w:hAnsi="Arial" w:cs="Arial"/>
                <w:b w:val="0"/>
                <w:i w:val="0"/>
                <w:sz w:val="18"/>
              </w:rPr>
              <w:tab/>
            </w:r>
            <w:r>
              <w:rPr>
                <w:rFonts w:ascii="Arial" w:eastAsia="Arial" w:hAnsi="Arial" w:cs="Arial"/>
                <w:b w:val="0"/>
                <w:i w:val="0"/>
                <w:sz w:val="18"/>
              </w:rPr>
              <w:tab/>
            </w:r>
          </w:p>
        </w:tc>
      </w:tr>
      <w:tr>
        <w:tblPrEx>
          <w:tblW w:w="10260" w:type="dxa"/>
          <w:tblInd w:w="0" w:type="dxa"/>
          <w:tblLayout w:type="fixed"/>
          <w:tblCellMar>
            <w:left w:w="108" w:type="dxa"/>
            <w:right w:w="108" w:type="dxa"/>
          </w:tblCellMar>
        </w:tblPrEx>
        <w:trPr>
          <w:cantSplit/>
          <w:trHeight w:hRule="exact" w:val="585"/>
        </w:trPr>
        <w:tc>
          <w:tcPr>
            <w:tcW w:w="23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Engage in </w:t>
            </w:r>
            <w:r>
              <w:rPr>
                <w:rFonts w:ascii="Arial" w:eastAsia="Arial" w:hAnsi="Arial" w:cs="Arial"/>
                <w:b w:val="0"/>
                <w:i w:val="0"/>
                <w:sz w:val="18"/>
              </w:rPr>
              <w:t>professional develo</w:t>
            </w:r>
            <w:r>
              <w:rPr>
                <w:rFonts w:ascii="Arial" w:eastAsia="Arial" w:hAnsi="Arial" w:cs="Arial"/>
                <w:b w:val="0"/>
                <w:i w:val="0"/>
                <w:sz w:val="18"/>
              </w:rPr>
              <w:t>pment</w:t>
            </w:r>
            <w:r>
              <w:rPr>
                <w:rFonts w:ascii="Arial" w:eastAsia="Arial" w:hAnsi="Arial" w:cs="Arial"/>
                <w:b w:val="0"/>
                <w:i w:val="0"/>
                <w:sz w:val="18"/>
              </w:rPr>
              <w:t xml:space="preserve"> activities</w:t>
            </w:r>
          </w:p>
        </w:tc>
        <w:tc>
          <w:tcPr>
            <w:tcW w:w="103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20%</w:t>
            </w:r>
          </w:p>
        </w:tc>
        <w:tc>
          <w:tcPr>
            <w:tcW w:w="127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55"/>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Completed CFO accelerator program</w:t>
            </w:r>
            <w:r>
              <w:rPr>
                <w:rFonts w:ascii="Arial" w:eastAsia="Arial" w:hAnsi="Arial" w:cs="Arial"/>
                <w:b w:val="0"/>
                <w:i w:val="0"/>
                <w:sz w:val="18"/>
              </w:rPr>
              <w:t>.</w:t>
            </w:r>
          </w:p>
          <w:p>
            <w:pPr>
              <w:pageBreakBefore w:val="0"/>
              <w:numPr>
                <w:ilvl w:val="0"/>
                <w:numId w:val="256"/>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Continued program of development activities</w:t>
            </w:r>
            <w:r>
              <w:rPr>
                <w:rFonts w:ascii="Arial" w:eastAsia="Arial" w:hAnsi="Arial" w:cs="Arial"/>
                <w:b w:val="0"/>
                <w:i w:val="0"/>
                <w:sz w:val="18"/>
              </w:rPr>
              <w:t xml:space="preserve"> already</w:t>
            </w:r>
            <w:r>
              <w:rPr>
                <w:rFonts w:ascii="Arial" w:eastAsia="Arial" w:hAnsi="Arial" w:cs="Arial"/>
                <w:b w:val="0"/>
                <w:i w:val="0"/>
                <w:sz w:val="18"/>
              </w:rPr>
              <w:t xml:space="preserve"> in train</w:t>
            </w:r>
            <w:r>
              <w:rPr>
                <w:rFonts w:ascii="Arial" w:eastAsia="Arial" w:hAnsi="Arial" w:cs="Arial"/>
                <w:b w:val="0"/>
                <w:i w:val="0"/>
                <w:sz w:val="18"/>
              </w:rPr>
              <w:t xml:space="preserve">. </w:t>
            </w:r>
          </w:p>
        </w:tc>
      </w:tr>
      <w:tr>
        <w:tblPrEx>
          <w:tblW w:w="10260" w:type="dxa"/>
          <w:tblInd w:w="0" w:type="dxa"/>
          <w:tblLayout w:type="fixed"/>
          <w:tblCellMar>
            <w:left w:w="108" w:type="dxa"/>
            <w:right w:w="108" w:type="dxa"/>
          </w:tblCellMar>
        </w:tblPrEx>
        <w:trPr>
          <w:cantSplit/>
          <w:trHeight w:hRule="exact" w:val="945"/>
        </w:trPr>
        <w:tc>
          <w:tcPr>
            <w:tcW w:w="23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40" w:lineRule="auto"/>
              <w:jc w:val="left"/>
            </w:pPr>
            <w:r>
              <w:rPr>
                <w:rFonts w:ascii="Arial" w:eastAsia="Arial" w:hAnsi="Arial" w:cs="Arial"/>
                <w:b w:val="0"/>
                <w:i w:val="0"/>
                <w:color w:val="000000"/>
                <w:sz w:val="18"/>
                <w:u w:val="none"/>
              </w:rPr>
              <w:t>Achieve specified people management goals, including group employee engagement score above benchmark</w:t>
            </w:r>
          </w:p>
        </w:tc>
        <w:tc>
          <w:tcPr>
            <w:tcW w:w="103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10%</w:t>
            </w:r>
          </w:p>
        </w:tc>
        <w:tc>
          <w:tcPr>
            <w:tcW w:w="127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54"/>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Supported</w:t>
            </w:r>
            <w:r>
              <w:rPr>
                <w:rFonts w:ascii="Arial" w:eastAsia="Arial" w:hAnsi="Arial" w:cs="Arial"/>
                <w:b w:val="0"/>
                <w:i w:val="0"/>
                <w:sz w:val="18"/>
              </w:rPr>
              <w:t xml:space="preserve"> </w:t>
            </w:r>
            <w:r>
              <w:rPr>
                <w:rFonts w:ascii="Arial" w:eastAsia="Arial" w:hAnsi="Arial" w:cs="Arial"/>
                <w:b w:val="0"/>
                <w:i w:val="0"/>
                <w:sz w:val="18"/>
              </w:rPr>
              <w:t>achievement</w:t>
            </w:r>
            <w:r>
              <w:rPr>
                <w:rFonts w:ascii="Arial" w:eastAsia="Arial" w:hAnsi="Arial" w:cs="Arial"/>
                <w:b w:val="0"/>
                <w:i w:val="0"/>
                <w:sz w:val="18"/>
              </w:rPr>
              <w:t xml:space="preserve"> of HR strategic initiatives to drive </w:t>
            </w:r>
            <w:r>
              <w:rPr>
                <w:rFonts w:ascii="Arial" w:eastAsia="Arial" w:hAnsi="Arial" w:cs="Arial"/>
                <w:b w:val="0"/>
                <w:i w:val="0"/>
                <w:sz w:val="18"/>
              </w:rPr>
              <w:t xml:space="preserve">high </w:t>
            </w:r>
            <w:r>
              <w:rPr>
                <w:rFonts w:ascii="Arial" w:eastAsia="Arial" w:hAnsi="Arial" w:cs="Arial"/>
                <w:b w:val="0"/>
                <w:i w:val="0"/>
                <w:sz w:val="18"/>
              </w:rPr>
              <w:t xml:space="preserve">performance and engagement achieving for the second consecutive year a high engagement index nine percentage points above the industry benchmark, high upper quartile. </w:t>
            </w:r>
          </w:p>
        </w:tc>
      </w:tr>
      <w:tr>
        <w:tblPrEx>
          <w:tblW w:w="10260" w:type="dxa"/>
          <w:tblInd w:w="0" w:type="dxa"/>
          <w:tblLayout w:type="fixed"/>
          <w:tblCellMar>
            <w:left w:w="108" w:type="dxa"/>
            <w:right w:w="108" w:type="dxa"/>
          </w:tblCellMar>
        </w:tblPrEx>
        <w:trPr>
          <w:cantSplit/>
          <w:trHeight w:hRule="exact" w:val="1635"/>
        </w:trPr>
        <w:tc>
          <w:tcPr>
            <w:tcW w:w="23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Engage and contribute to </w:t>
            </w:r>
            <w:r>
              <w:rPr>
                <w:rFonts w:ascii="Arial" w:eastAsia="Arial" w:hAnsi="Arial" w:cs="Arial"/>
                <w:b w:val="0"/>
                <w:i w:val="0"/>
                <w:sz w:val="18"/>
              </w:rPr>
              <w:t xml:space="preserve">Group Executive </w:t>
            </w:r>
            <w:r>
              <w:rPr>
                <w:rFonts w:ascii="Arial" w:eastAsia="Arial" w:hAnsi="Arial" w:cs="Arial"/>
                <w:b w:val="0"/>
                <w:i w:val="0"/>
                <w:sz w:val="18"/>
              </w:rPr>
              <w:t>Leadership Program</w:t>
            </w:r>
          </w:p>
        </w:tc>
        <w:tc>
          <w:tcPr>
            <w:tcW w:w="103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10%</w:t>
            </w:r>
          </w:p>
        </w:tc>
        <w:tc>
          <w:tcPr>
            <w:tcW w:w="127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51"/>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Engaged</w:t>
            </w:r>
            <w:r>
              <w:rPr>
                <w:rFonts w:ascii="Arial" w:eastAsia="Arial" w:hAnsi="Arial" w:cs="Arial"/>
                <w:b w:val="0"/>
                <w:i w:val="0"/>
                <w:sz w:val="18"/>
              </w:rPr>
              <w:t xml:space="preserve"> </w:t>
            </w:r>
            <w:r>
              <w:rPr>
                <w:rFonts w:ascii="Arial" w:eastAsia="Arial" w:hAnsi="Arial" w:cs="Arial"/>
                <w:b w:val="0"/>
                <w:i w:val="0"/>
                <w:sz w:val="18"/>
              </w:rPr>
              <w:t>in</w:t>
            </w:r>
            <w:r>
              <w:rPr>
                <w:rFonts w:ascii="Arial" w:eastAsia="Arial" w:hAnsi="Arial" w:cs="Arial"/>
                <w:b w:val="0"/>
                <w:i w:val="0"/>
                <w:sz w:val="18"/>
              </w:rPr>
              <w:t xml:space="preserve"> the Group Executive Leadership Program</w:t>
            </w:r>
            <w:r>
              <w:rPr>
                <w:rFonts w:ascii="Arial" w:eastAsia="Arial" w:hAnsi="Arial" w:cs="Arial"/>
                <w:b w:val="0"/>
                <w:i w:val="0"/>
                <w:sz w:val="18"/>
              </w:rPr>
              <w:t xml:space="preserve"> to foster collaboration and support strong organizational culture and overall performance. </w:t>
            </w:r>
          </w:p>
          <w:p>
            <w:pPr>
              <w:pageBreakBefore w:val="0"/>
              <w:numPr>
                <w:ilvl w:val="0"/>
                <w:numId w:val="252"/>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T</w:t>
            </w:r>
            <w:r>
              <w:rPr>
                <w:rFonts w:ascii="Arial" w:eastAsia="Arial" w:hAnsi="Arial" w:cs="Arial"/>
                <w:b w:val="0"/>
                <w:i w:val="0"/>
                <w:sz w:val="18"/>
              </w:rPr>
              <w:t xml:space="preserve">he team’s aggregated results were ahead of benchmarks on all </w:t>
            </w:r>
            <w:r>
              <w:rPr>
                <w:rFonts w:ascii="Arial" w:eastAsia="Arial" w:hAnsi="Arial" w:cs="Arial"/>
                <w:b w:val="0"/>
                <w:i w:val="0"/>
                <w:sz w:val="18"/>
              </w:rPr>
              <w:t xml:space="preserve"> of the </w:t>
            </w:r>
            <w:r>
              <w:rPr>
                <w:rFonts w:ascii="Arial" w:eastAsia="Arial" w:hAnsi="Arial" w:cs="Arial"/>
                <w:b w:val="0"/>
                <w:i w:val="0"/>
                <w:sz w:val="18"/>
              </w:rPr>
              <w:t>l</w:t>
            </w:r>
            <w:r>
              <w:rPr>
                <w:rFonts w:ascii="Arial" w:eastAsia="Arial" w:hAnsi="Arial" w:cs="Arial"/>
                <w:b w:val="0"/>
                <w:i w:val="0"/>
                <w:sz w:val="18"/>
              </w:rPr>
              <w:t xml:space="preserve">eadership </w:t>
            </w:r>
            <w:r>
              <w:rPr>
                <w:rFonts w:ascii="Arial" w:eastAsia="Arial" w:hAnsi="Arial" w:cs="Arial"/>
                <w:b w:val="0"/>
                <w:i w:val="0"/>
                <w:sz w:val="18"/>
              </w:rPr>
              <w:t>c</w:t>
            </w:r>
            <w:r>
              <w:rPr>
                <w:rFonts w:ascii="Arial" w:eastAsia="Arial" w:hAnsi="Arial" w:cs="Arial"/>
                <w:b w:val="0"/>
                <w:i w:val="0"/>
                <w:sz w:val="18"/>
              </w:rPr>
              <w:t>apabilities identified as core to high performing executive teams</w:t>
            </w:r>
            <w:r>
              <w:rPr>
                <w:rFonts w:ascii="Arial" w:eastAsia="Arial" w:hAnsi="Arial" w:cs="Arial"/>
                <w:b w:val="0"/>
                <w:i w:val="0"/>
                <w:sz w:val="18"/>
              </w:rPr>
              <w:t>.</w:t>
            </w:r>
          </w:p>
          <w:p>
            <w:pPr>
              <w:pageBreakBefore w:val="0"/>
              <w:numPr>
                <w:ilvl w:val="0"/>
                <w:numId w:val="253"/>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Program laid the foundation for executive team's comprehensive strategy review completed at the end of 2023.</w:t>
            </w:r>
          </w:p>
        </w:tc>
      </w:tr>
      <w:tr>
        <w:tblPrEx>
          <w:tblW w:w="10260" w:type="dxa"/>
          <w:tblInd w:w="0" w:type="dxa"/>
          <w:tblLayout w:type="fixed"/>
          <w:tblCellMar>
            <w:left w:w="108" w:type="dxa"/>
            <w:right w:w="108" w:type="dxa"/>
          </w:tblCellMar>
        </w:tblPrEx>
        <w:trPr>
          <w:cantSplit/>
          <w:trHeight w:hRule="exact" w:val="405"/>
        </w:trPr>
        <w:tc>
          <w:tcPr>
            <w:tcW w:w="10260" w:type="dxa"/>
            <w:gridSpan w:val="4"/>
            <w:tcBorders>
              <w:top w:val="nil"/>
              <w:left w:val="nil"/>
              <w:bottom w:val="nil"/>
              <w:right w:val="nil"/>
            </w:tcBorders>
            <w:shd w:val="clear" w:color="auto" w:fill="FFFFFF"/>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sz w:val="18"/>
              </w:rPr>
            </w:pPr>
            <w:r>
              <w:rPr>
                <w:rFonts w:ascii="Arial" w:eastAsia="Arial" w:hAnsi="Arial" w:cs="Arial"/>
                <w:b/>
                <w:i w:val="0"/>
                <w:sz w:val="18"/>
              </w:rPr>
              <w:t xml:space="preserve">Percentage of Target Individual Performance Objective Achieved: </w:t>
            </w:r>
            <w:r>
              <w:rPr>
                <w:rFonts w:ascii="Arial" w:eastAsia="Arial" w:hAnsi="Arial" w:cs="Arial"/>
                <w:b/>
                <w:i w:val="0"/>
                <w:color w:val="000000"/>
                <w:sz w:val="18"/>
                <w:u w:val="none"/>
              </w:rPr>
              <w:t>92.0%</w:t>
            </w: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i w:val="0"/>
          <w:color w:val="4494D1"/>
          <w:sz w:val="20"/>
          <w:u w:val="none"/>
        </w:rPr>
      </w:pPr>
      <w:r>
        <w:rPr>
          <w:rFonts w:ascii="Arial" w:eastAsia="Arial" w:hAnsi="Arial" w:cs="Arial"/>
          <w:b/>
          <w:i w:val="0"/>
          <w:color w:val="4494D1"/>
          <w:sz w:val="20"/>
          <w:u w:val="none"/>
        </w:rPr>
        <w:t>Settlement of Performance-Based Equity Awards</w:t>
      </w:r>
    </w:p>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color w:val="000000"/>
          <w:sz w:val="20"/>
          <w:u w:val="none"/>
          <w:shd w:val="clear" w:color="auto" w:fill="FFFF00"/>
        </w:rPr>
      </w:pPr>
      <w:r>
        <w:rPr>
          <w:rFonts w:ascii="Arial" w:eastAsia="Arial" w:hAnsi="Arial" w:cs="Arial"/>
          <w:b w:val="0"/>
          <w:i w:val="0"/>
          <w:sz w:val="20"/>
        </w:rPr>
        <w:t xml:space="preserve">The table below sets forth the number of ordinary shares that Mr. </w:t>
      </w:r>
      <w:r>
        <w:rPr>
          <w:rFonts w:ascii="Arial" w:eastAsia="Arial" w:hAnsi="Arial" w:cs="Arial"/>
          <w:b w:val="0"/>
          <w:i w:val="0"/>
          <w:sz w:val="20"/>
        </w:rPr>
        <w:t xml:space="preserve">Kirk </w:t>
      </w:r>
      <w:r>
        <w:rPr>
          <w:rFonts w:ascii="Arial" w:eastAsia="Arial" w:hAnsi="Arial" w:cs="Arial"/>
          <w:b w:val="0"/>
          <w:i w:val="0"/>
          <w:sz w:val="20"/>
        </w:rPr>
        <w:t xml:space="preserve">earned as a result of the settlement of PSU awards with a performance period that ended on December 31, 2023, which were based on the Company's achievement of </w:t>
      </w:r>
      <w:r>
        <w:rPr>
          <w:rFonts w:ascii="Arial" w:eastAsia="Arial" w:hAnsi="Arial" w:cs="Arial"/>
          <w:b w:val="0"/>
          <w:i w:val="0"/>
          <w:sz w:val="20"/>
        </w:rPr>
        <w:t>Operating Income</w:t>
      </w:r>
      <w:r>
        <w:rPr>
          <w:rFonts w:ascii="Arial" w:eastAsia="Arial" w:hAnsi="Arial" w:cs="Arial"/>
          <w:b w:val="0"/>
          <w:i w:val="0"/>
          <w:sz w:val="20"/>
        </w:rPr>
        <w:t xml:space="preserve"> ROE and </w:t>
      </w:r>
      <w:r>
        <w:rPr>
          <w:rFonts w:ascii="Arial" w:eastAsia="Arial" w:hAnsi="Arial" w:cs="Arial"/>
          <w:b w:val="0"/>
          <w:i w:val="0"/>
          <w:sz w:val="20"/>
        </w:rPr>
        <w:t>FD</w:t>
      </w:r>
      <w:r>
        <w:rPr>
          <w:rFonts w:ascii="Arial" w:eastAsia="Arial" w:hAnsi="Arial" w:cs="Arial"/>
          <w:b w:val="0"/>
          <w:i w:val="0"/>
          <w:sz w:val="20"/>
        </w:rPr>
        <w:t xml:space="preserve">BVPS. </w:t>
      </w:r>
    </w:p>
    <w:tbl>
      <w:tblPr>
        <w:tblW w:w="99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085"/>
        <w:gridCol w:w="2805"/>
        <w:gridCol w:w="2700"/>
        <w:gridCol w:w="2400"/>
      </w:tblGrid>
      <w:tr>
        <w:tblPrEx>
          <w:tblW w:w="99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35"/>
        </w:trPr>
        <w:tc>
          <w:tcPr>
            <w:tcW w:w="208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Financial Metric</w:t>
            </w:r>
          </w:p>
        </w:tc>
        <w:tc>
          <w:tcPr>
            <w:tcW w:w="280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Target PSUs Awarded in 2021</w:t>
            </w:r>
          </w:p>
        </w:tc>
        <w:tc>
          <w:tcPr>
            <w:tcW w:w="2700"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Actual Performance as a Percent of Target</w:t>
            </w:r>
          </w:p>
        </w:tc>
        <w:tc>
          <w:tcPr>
            <w:tcW w:w="2400"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PSUs Settled as Ordinary Shares</w:t>
            </w:r>
          </w:p>
        </w:tc>
      </w:tr>
      <w:tr>
        <w:tblPrEx>
          <w:tblW w:w="9990" w:type="dxa"/>
          <w:tblInd w:w="0" w:type="dxa"/>
          <w:tblLayout w:type="fixed"/>
          <w:tblCellMar>
            <w:left w:w="108" w:type="dxa"/>
            <w:right w:w="108" w:type="dxa"/>
          </w:tblCellMar>
        </w:tblPrEx>
        <w:trPr>
          <w:cantSplit/>
          <w:trHeight w:hRule="exact" w:val="345"/>
        </w:trPr>
        <w:tc>
          <w:tcPr>
            <w:tcW w:w="2085" w:type="dxa"/>
            <w:tcBorders>
              <w:top w:val="single" w:sz="12" w:space="0" w:color="4494D1"/>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Operating Income ROE</w:t>
            </w:r>
          </w:p>
        </w:tc>
        <w:tc>
          <w:tcPr>
            <w:tcW w:w="2805" w:type="dxa"/>
            <w:tcBorders>
              <w:top w:val="single" w:sz="12" w:space="0" w:color="4494D1"/>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241</w:t>
            </w:r>
          </w:p>
        </w:tc>
        <w:tc>
          <w:tcPr>
            <w:tcW w:w="2700" w:type="dxa"/>
            <w:tcBorders>
              <w:top w:val="single" w:sz="12" w:space="0" w:color="4494D1"/>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65.7%</w:t>
            </w:r>
          </w:p>
        </w:tc>
        <w:tc>
          <w:tcPr>
            <w:tcW w:w="2400" w:type="dxa"/>
            <w:tcBorders>
              <w:top w:val="single" w:sz="12" w:space="0" w:color="4494D1"/>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159</w:t>
            </w:r>
          </w:p>
        </w:tc>
      </w:tr>
      <w:tr>
        <w:tblPrEx>
          <w:tblW w:w="9990" w:type="dxa"/>
          <w:tblInd w:w="0" w:type="dxa"/>
          <w:tblLayout w:type="fixed"/>
          <w:tblCellMar>
            <w:left w:w="108" w:type="dxa"/>
            <w:right w:w="108" w:type="dxa"/>
          </w:tblCellMar>
        </w:tblPrEx>
        <w:trPr>
          <w:cantSplit/>
          <w:trHeight w:hRule="exact" w:val="315"/>
        </w:trPr>
        <w:tc>
          <w:tcPr>
            <w:tcW w:w="208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FD</w:t>
            </w:r>
            <w:r>
              <w:rPr>
                <w:rFonts w:ascii="Arial" w:eastAsia="Arial" w:hAnsi="Arial" w:cs="Arial"/>
                <w:b w:val="0"/>
                <w:i w:val="0"/>
                <w:sz w:val="18"/>
              </w:rPr>
              <w:t>BVPS</w:t>
            </w:r>
          </w:p>
        </w:tc>
        <w:tc>
          <w:tcPr>
            <w:tcW w:w="280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241</w:t>
            </w:r>
          </w:p>
        </w:tc>
        <w:tc>
          <w:tcPr>
            <w:tcW w:w="2700"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w:t>
            </w:r>
          </w:p>
        </w:tc>
        <w:tc>
          <w:tcPr>
            <w:tcW w:w="2400"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w:t>
            </w:r>
          </w:p>
        </w:tc>
      </w:tr>
      <w:tr>
        <w:tblPrEx>
          <w:tblW w:w="9990" w:type="dxa"/>
          <w:tblInd w:w="0" w:type="dxa"/>
          <w:tblLayout w:type="fixed"/>
          <w:tblCellMar>
            <w:left w:w="108" w:type="dxa"/>
            <w:right w:w="108" w:type="dxa"/>
          </w:tblCellMar>
        </w:tblPrEx>
        <w:trPr>
          <w:cantSplit/>
          <w:trHeight w:hRule="exact" w:val="345"/>
        </w:trPr>
        <w:tc>
          <w:tcPr>
            <w:tcW w:w="2085" w:type="dxa"/>
            <w:tcBorders>
              <w:top w:val="single" w:sz="8" w:space="0" w:color="B6B6B6"/>
              <w:left w:val="nil"/>
              <w:bottom w:val="single" w:sz="8" w:space="0" w:color="B6B6B6"/>
              <w:right w:val="nil"/>
            </w:tcBorders>
            <w:tcMar>
              <w:top w:w="0" w:type="dxa"/>
              <w:left w:w="53" w:type="dxa"/>
              <w:bottom w:w="0" w:type="dxa"/>
              <w:right w:w="53" w:type="dxa"/>
            </w:tcMar>
            <w:vAlign w:val="center"/>
          </w:tcPr>
          <w:p>
            <w:pPr>
              <w:pageBreakBefore w:val="0"/>
              <w:spacing w:before="0" w:after="0" w:line="240" w:lineRule="auto"/>
              <w:jc w:val="left"/>
            </w:pPr>
            <w:r>
              <w:rPr>
                <w:rFonts w:ascii="Arial" w:eastAsia="Arial" w:hAnsi="Arial" w:cs="Arial"/>
                <w:b/>
                <w:i w:val="0"/>
                <w:color w:val="000000"/>
                <w:sz w:val="18"/>
                <w:u w:val="none"/>
              </w:rPr>
              <w:t>Total</w:t>
            </w:r>
          </w:p>
        </w:tc>
        <w:tc>
          <w:tcPr>
            <w:tcW w:w="2805" w:type="dxa"/>
            <w:tcBorders>
              <w:top w:val="single" w:sz="8" w:space="0" w:color="B6B6B6"/>
              <w:left w:val="nil"/>
              <w:bottom w:val="single" w:sz="8" w:space="0" w:color="B6B6B6"/>
              <w:right w:val="nil"/>
            </w:tcBorders>
            <w:tcMar>
              <w:top w:w="0" w:type="dxa"/>
              <w:left w:w="53" w:type="dxa"/>
              <w:bottom w:w="0" w:type="dxa"/>
              <w:right w:w="53" w:type="dxa"/>
            </w:tcMar>
            <w:vAlign w:val="center"/>
          </w:tcPr>
          <w:p>
            <w:pPr>
              <w:pageBreakBefore w:val="0"/>
              <w:spacing w:before="0" w:after="0" w:line="240" w:lineRule="auto"/>
              <w:jc w:val="left"/>
            </w:pPr>
            <w:r>
              <w:rPr>
                <w:rFonts w:ascii="Arial" w:eastAsia="Arial" w:hAnsi="Arial" w:cs="Arial"/>
                <w:b/>
                <w:i w:val="0"/>
                <w:color w:val="000000"/>
                <w:sz w:val="18"/>
                <w:u w:val="none"/>
              </w:rPr>
              <w:t>482</w:t>
            </w:r>
          </w:p>
        </w:tc>
        <w:tc>
          <w:tcPr>
            <w:tcW w:w="2700" w:type="dxa"/>
            <w:tcBorders>
              <w:top w:val="single" w:sz="8" w:space="0" w:color="B6B6B6"/>
              <w:left w:val="nil"/>
              <w:bottom w:val="single" w:sz="8" w:space="0" w:color="B6B6B6"/>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33%</w:t>
            </w:r>
          </w:p>
        </w:tc>
        <w:tc>
          <w:tcPr>
            <w:tcW w:w="2400" w:type="dxa"/>
            <w:tcBorders>
              <w:top w:val="single" w:sz="8" w:space="0" w:color="B6B6B6"/>
              <w:left w:val="nil"/>
              <w:bottom w:val="single" w:sz="8" w:space="0" w:color="B6B6B6"/>
              <w:right w:val="nil"/>
            </w:tcBorders>
            <w:tcMar>
              <w:top w:w="0" w:type="dxa"/>
              <w:left w:w="53" w:type="dxa"/>
              <w:bottom w:w="0" w:type="dxa"/>
              <w:right w:w="53" w:type="dxa"/>
            </w:tcMar>
            <w:vAlign w:val="center"/>
          </w:tcPr>
          <w:p>
            <w:pPr>
              <w:pageBreakBefore w:val="0"/>
              <w:spacing w:before="0" w:after="0" w:line="240" w:lineRule="auto"/>
              <w:jc w:val="left"/>
            </w:pPr>
            <w:r>
              <w:rPr>
                <w:rFonts w:ascii="Arial" w:eastAsia="Arial" w:hAnsi="Arial" w:cs="Arial"/>
                <w:b/>
                <w:i w:val="0"/>
                <w:color w:val="000000"/>
                <w:sz w:val="18"/>
                <w:u w:val="none"/>
              </w:rPr>
              <w:t>159</w:t>
            </w: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color w:val="000000"/>
          <w:sz w:val="20"/>
          <w:u w:val="none"/>
        </w:rPr>
      </w:pPr>
    </w:p>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color w:val="000000"/>
          <w:sz w:val="20"/>
          <w:u w:val="none"/>
        </w:rPr>
        <w:sectPr>
          <w:headerReference w:type="default" r:id="rId247"/>
          <w:footerReference w:type="default" r:id="rId248"/>
          <w:pgSz w:w="12240" w:h="15840"/>
          <w:pgMar w:top="855" w:right="990" w:bottom="855" w:left="900" w:header="180" w:footer="270"/>
          <w:cols w:space="708"/>
        </w:sectPr>
      </w:pPr>
    </w:p>
    <w:p>
      <w:pPr>
        <w:keepNext/>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171449"/>
          <w:sz w:val="24"/>
          <w:u w:val="none"/>
        </w:rPr>
      </w:pPr>
      <w:bookmarkStart w:id="87" w:name="Section90"/>
      <w:bookmarkEnd w:id="87"/>
      <w:r>
        <w:rPr>
          <w:rFonts w:ascii="Arial" w:eastAsia="Arial" w:hAnsi="Arial" w:cs="Arial"/>
          <w:b/>
          <w:i w:val="0"/>
          <w:color w:val="171449"/>
          <w:sz w:val="4"/>
          <w:u w:val="none"/>
        </w:rPr>
        <w:t xml:space="preserve"> </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500"/>
        <w:gridCol w:w="315"/>
        <w:gridCol w:w="844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00"/>
        </w:trPr>
        <w:tc>
          <w:tcPr>
            <w:tcW w:w="1500"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hanging="180"/>
              <w:jc w:val="left"/>
              <w:outlineLvl w:val="9"/>
              <w:rPr>
                <w:rFonts w:ascii="Arial" w:eastAsia="Arial" w:hAnsi="Arial" w:cs="Arial"/>
                <w:b w:val="0"/>
                <w:i w:val="0"/>
                <w:sz w:val="20"/>
              </w:rPr>
            </w:pPr>
            <w:r>
              <w:pict>
                <v:shape id="_x0000_i1241" type="#_x0000_t75" style="width:88.35pt;height:83.52pt">
                  <v:imagedata r:id="rId52" o:title=""/>
                  <o:lock v:ext="edit" aspectratio="t"/>
                </v:shape>
              </w:pict>
            </w:r>
          </w:p>
        </w:tc>
        <w:tc>
          <w:tcPr>
            <w:tcW w:w="315" w:type="dxa"/>
            <w:vMerge w:val="restart"/>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22"/>
                <w:u w:val="none"/>
              </w:rPr>
              <w:t xml:space="preserve">  Orla Gregory</w:t>
            </w: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val="0"/>
                <w:i w:val="0"/>
                <w:color w:val="000000"/>
                <w:sz w:val="20"/>
                <w:u w:val="none"/>
              </w:rPr>
              <w:t xml:space="preserve">  President</w:t>
            </w:r>
          </w:p>
        </w:tc>
      </w:tr>
      <w:tr>
        <w:tblPrEx>
          <w:tblW w:w="10260" w:type="dxa"/>
          <w:tblInd w:w="0" w:type="dxa"/>
          <w:tblLayout w:type="fixed"/>
          <w:tblCellMar>
            <w:left w:w="108" w:type="dxa"/>
            <w:right w:w="108" w:type="dxa"/>
          </w:tblCellMar>
        </w:tblPrEx>
        <w:trPr>
          <w:cantSplit/>
          <w:trHeight w:hRule="exact" w:val="225"/>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20"/>
                <w:u w:val="none"/>
              </w:rPr>
              <w:t xml:space="preserve">  2023 Annual Compensation Mix</w:t>
            </w: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vMerge w:val="restart"/>
            <w:tcBorders>
              <w:top w:val="nil"/>
              <w:left w:val="single" w:sz="12" w:space="0" w:color="4494D1"/>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1080" w:right="0" w:firstLine="0"/>
              <w:jc w:val="left"/>
              <w:outlineLvl w:val="9"/>
              <w:rPr>
                <w:rFonts w:ascii="Arial" w:eastAsia="Arial" w:hAnsi="Arial" w:cs="Arial"/>
                <w:b/>
                <w:i w:val="0"/>
                <w:sz w:val="20"/>
              </w:rPr>
            </w:pPr>
            <w:r>
              <w:pict>
                <v:shape id="_x0000_i1242" type="#_x0000_t75" style="width:567pt;height:318.94pt">
                  <v:imagedata r:id="rId249" o:title=""/>
                  <o:lock v:ext="edit" aspectratio="t"/>
                </v:shape>
              </w:pict>
            </w: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vMerge/>
            <w:tcBorders>
              <w:top w:val="nil"/>
              <w:left w:val="single" w:sz="12" w:space="0" w:color="4494D1"/>
              <w:bottom w:val="nil"/>
              <w:right w:val="nil"/>
            </w:tcBorders>
          </w:tcPr>
          <w:p>
            <w:pPr>
              <w:keepNext/>
              <w:pageBreakBefore w:val="0"/>
            </w:pPr>
          </w:p>
        </w:tc>
      </w:tr>
      <w:tr>
        <w:tblPrEx>
          <w:tblW w:w="10260" w:type="dxa"/>
          <w:tblInd w:w="0" w:type="dxa"/>
          <w:tblLayout w:type="fixed"/>
          <w:tblCellMar>
            <w:left w:w="108" w:type="dxa"/>
            <w:right w:w="108" w:type="dxa"/>
          </w:tblCellMar>
        </w:tblPrEx>
        <w:trPr>
          <w:cantSplit/>
          <w:trHeight w:hRule="exact" w:val="1845"/>
        </w:trPr>
        <w:tc>
          <w:tcPr>
            <w:tcW w:w="150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31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445" w:type="dxa"/>
            <w:vMerge/>
            <w:tcBorders>
              <w:top w:val="nil"/>
              <w:left w:val="single" w:sz="12" w:space="0" w:color="4494D1"/>
              <w:bottom w:val="nil"/>
              <w:right w:val="nil"/>
            </w:tcBorders>
          </w:tcPr>
          <w:p>
            <w:pPr>
              <w:pageBreakBefore w:val="0"/>
            </w:pPr>
          </w:p>
        </w:tc>
      </w:tr>
    </w:tbl>
    <w:p>
      <w:pPr>
        <w:keepNext w:val="0"/>
        <w:keepLines w:val="0"/>
        <w:pageBreakBefore w:val="0"/>
        <w:widowControl/>
        <w:numPr>
          <w:ilvl w:val="0"/>
          <w:numId w:val="0"/>
        </w:numPr>
        <w:spacing w:before="6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3"/>
        <w:rPr>
          <w:rFonts w:ascii="Arial" w:eastAsia="Arial" w:hAnsi="Arial" w:cs="Arial"/>
          <w:b/>
          <w:i w:val="0"/>
          <w:color w:val="4494D1"/>
          <w:sz w:val="20"/>
          <w:u w:val="none"/>
        </w:rPr>
      </w:pPr>
      <w:r>
        <w:rPr>
          <w:rFonts w:ascii="Arial" w:eastAsia="Arial" w:hAnsi="Arial" w:cs="Arial"/>
          <w:b/>
          <w:i w:val="0"/>
          <w:color w:val="4494D1"/>
          <w:sz w:val="20"/>
          <w:u w:val="none"/>
        </w:rPr>
        <w:t>2023 Compensation Elements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As shown in the table below, for 2023, the </w:t>
      </w:r>
      <w:r>
        <w:rPr>
          <w:rFonts w:ascii="Arial" w:eastAsia="Arial" w:hAnsi="Arial" w:cs="Arial"/>
          <w:b w:val="0"/>
          <w:i w:val="0"/>
          <w:sz w:val="20"/>
        </w:rPr>
        <w:t xml:space="preserve">Compensation Committee and Board </w:t>
      </w:r>
      <w:r>
        <w:rPr>
          <w:rFonts w:ascii="Arial" w:eastAsia="Arial" w:hAnsi="Arial" w:cs="Arial"/>
          <w:b w:val="0"/>
          <w:i w:val="0"/>
          <w:sz w:val="20"/>
        </w:rPr>
        <w:t>increased Ms. Gregory's</w:t>
      </w:r>
      <w:r>
        <w:rPr>
          <w:rFonts w:ascii="Arial" w:eastAsia="Arial" w:hAnsi="Arial" w:cs="Arial"/>
          <w:b w:val="0"/>
          <w:i w:val="0"/>
          <w:sz w:val="20"/>
        </w:rPr>
        <w:t xml:space="preserve"> base salary </w:t>
      </w:r>
      <w:r>
        <w:rPr>
          <w:rFonts w:ascii="Arial" w:eastAsia="Arial" w:hAnsi="Arial" w:cs="Arial"/>
          <w:b w:val="0"/>
          <w:i w:val="0"/>
          <w:sz w:val="20"/>
        </w:rPr>
        <w:t xml:space="preserve">by 17% </w:t>
      </w:r>
      <w:r>
        <w:rPr>
          <w:rFonts w:ascii="Arial" w:eastAsia="Arial" w:hAnsi="Arial" w:cs="Arial"/>
          <w:b w:val="0"/>
          <w:i w:val="0"/>
          <w:sz w:val="20"/>
        </w:rPr>
        <w:t xml:space="preserve">to </w:t>
      </w:r>
      <w:r>
        <w:rPr>
          <w:rFonts w:ascii="Arial" w:eastAsia="Arial" w:hAnsi="Arial" w:cs="Arial"/>
          <w:b w:val="0"/>
          <w:i w:val="0"/>
          <w:sz w:val="20"/>
        </w:rPr>
        <w:t>reflect</w:t>
      </w:r>
      <w:r>
        <w:rPr>
          <w:rFonts w:ascii="Arial" w:eastAsia="Arial" w:hAnsi="Arial" w:cs="Arial"/>
          <w:b w:val="0"/>
          <w:i w:val="0"/>
          <w:sz w:val="20"/>
        </w:rPr>
        <w:t xml:space="preserve"> </w:t>
      </w:r>
      <w:r>
        <w:rPr>
          <w:rFonts w:ascii="Arial" w:eastAsia="Arial" w:hAnsi="Arial" w:cs="Arial"/>
          <w:b w:val="0"/>
          <w:i w:val="0"/>
          <w:sz w:val="20"/>
        </w:rPr>
        <w:t>her promotion to President in March 2023</w:t>
      </w:r>
      <w:r>
        <w:rPr>
          <w:rFonts w:ascii="Arial" w:eastAsia="Arial" w:hAnsi="Arial" w:cs="Arial"/>
          <w:b w:val="0"/>
          <w:i w:val="0"/>
          <w:sz w:val="20"/>
        </w:rPr>
        <w:t>.</w:t>
      </w:r>
      <w:r>
        <w:rPr>
          <w:rFonts w:ascii="Arial" w:eastAsia="Arial" w:hAnsi="Arial" w:cs="Arial"/>
          <w:b w:val="0"/>
          <w:i w:val="0"/>
          <w:sz w:val="20"/>
        </w:rPr>
        <w:t xml:space="preserve">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Also shown below, </w:t>
      </w:r>
      <w:r>
        <w:rPr>
          <w:rFonts w:ascii="Arial" w:eastAsia="Arial" w:hAnsi="Arial" w:cs="Arial"/>
          <w:b w:val="0"/>
          <w:i w:val="0"/>
          <w:sz w:val="20"/>
        </w:rPr>
        <w:t xml:space="preserve">in March 2023, </w:t>
      </w:r>
      <w:r>
        <w:rPr>
          <w:rFonts w:ascii="Arial" w:eastAsia="Arial" w:hAnsi="Arial" w:cs="Arial"/>
          <w:b w:val="0"/>
          <w:i w:val="0"/>
          <w:sz w:val="20"/>
        </w:rPr>
        <w:t>Ms. Gregory rec</w:t>
      </w:r>
      <w:r>
        <w:rPr>
          <w:rFonts w:ascii="Arial" w:eastAsia="Arial" w:hAnsi="Arial" w:cs="Arial"/>
          <w:b w:val="0"/>
          <w:i w:val="0"/>
          <w:sz w:val="20"/>
        </w:rPr>
        <w:t>eived a grant compr</w:t>
      </w:r>
      <w:r>
        <w:rPr>
          <w:rFonts w:ascii="Arial" w:eastAsia="Arial" w:hAnsi="Arial" w:cs="Arial"/>
          <w:b w:val="0"/>
          <w:i w:val="0"/>
          <w:sz w:val="20"/>
        </w:rPr>
        <w:t>ising 75% PSUs</w:t>
      </w:r>
      <w:r>
        <w:rPr>
          <w:rFonts w:ascii="Arial" w:eastAsia="Arial" w:hAnsi="Arial" w:cs="Arial"/>
          <w:b w:val="0"/>
          <w:i w:val="0"/>
          <w:sz w:val="20"/>
        </w:rPr>
        <w:t xml:space="preserve"> </w:t>
      </w:r>
      <w:r>
        <w:rPr>
          <w:rFonts w:ascii="Arial" w:eastAsia="Arial" w:hAnsi="Arial" w:cs="Arial"/>
          <w:b w:val="0"/>
          <w:i w:val="0"/>
          <w:sz w:val="20"/>
        </w:rPr>
        <w:t xml:space="preserve">and 25% RSUs. </w:t>
      </w:r>
      <w:r>
        <w:rPr>
          <w:rFonts w:ascii="Arial" w:eastAsia="Arial" w:hAnsi="Arial" w:cs="Arial"/>
          <w:b w:val="0"/>
          <w:i w:val="0"/>
          <w:sz w:val="20"/>
        </w:rPr>
        <w:t>Consistent with prior awards, the PSUs vest following a three-year performance period that began on January 1, 2023, and the ultimate value of half of the PSUs is tied to the Company's three-year growth in FDBVPS with the other half tied to Average Annual Adjusted ROE as detailed below. The RSUs vest in three equal annual installments beginning on the first anniversary of the grant date. The Compensation Committee does not</w:t>
      </w:r>
      <w:r>
        <w:rPr>
          <w:rFonts w:ascii="Arial" w:eastAsia="Arial" w:hAnsi="Arial" w:cs="Arial"/>
          <w:b w:val="0"/>
          <w:i w:val="0"/>
          <w:sz w:val="20"/>
        </w:rPr>
        <w:t xml:space="preserve"> consider Ms. Gregory eligible for annual LTI awards, but rather expects the awards to cover a three-year period absent a change in circumstances.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In setting Ms. Gregory's compensation upon promotion, the Compen</w:t>
      </w:r>
      <w:r>
        <w:rPr>
          <w:rFonts w:ascii="Arial" w:eastAsia="Arial" w:hAnsi="Arial" w:cs="Arial"/>
          <w:b w:val="0"/>
          <w:i w:val="0"/>
          <w:sz w:val="20"/>
        </w:rPr>
        <w:t xml:space="preserve">sation </w:t>
      </w:r>
      <w:r>
        <w:rPr>
          <w:rFonts w:ascii="Arial" w:eastAsia="Arial" w:hAnsi="Arial" w:cs="Arial"/>
          <w:b w:val="0"/>
          <w:i w:val="0"/>
          <w:sz w:val="20"/>
        </w:rPr>
        <w:t>Committee</w:t>
      </w:r>
      <w:r>
        <w:rPr>
          <w:rFonts w:ascii="Arial" w:eastAsia="Arial" w:hAnsi="Arial" w:cs="Arial"/>
          <w:b w:val="0"/>
          <w:i w:val="0"/>
          <w:sz w:val="20"/>
        </w:rPr>
        <w:t xml:space="preserve"> </w:t>
      </w:r>
      <w:r>
        <w:rPr>
          <w:rFonts w:ascii="Arial" w:eastAsia="Arial" w:hAnsi="Arial" w:cs="Arial"/>
          <w:b w:val="0"/>
          <w:i w:val="0"/>
          <w:sz w:val="20"/>
        </w:rPr>
        <w:t>con</w:t>
      </w:r>
      <w:r>
        <w:rPr>
          <w:rFonts w:ascii="Arial" w:eastAsia="Arial" w:hAnsi="Arial" w:cs="Arial"/>
          <w:b w:val="0"/>
          <w:i w:val="0"/>
          <w:sz w:val="20"/>
        </w:rPr>
        <w:t>sider</w:t>
      </w:r>
      <w:r>
        <w:rPr>
          <w:rFonts w:ascii="Arial" w:eastAsia="Arial" w:hAnsi="Arial" w:cs="Arial"/>
          <w:b w:val="0"/>
          <w:i w:val="0"/>
          <w:sz w:val="20"/>
        </w:rPr>
        <w:t>ed</w:t>
      </w:r>
      <w:r>
        <w:rPr>
          <w:rFonts w:ascii="Arial" w:eastAsia="Arial" w:hAnsi="Arial" w:cs="Arial"/>
          <w:b w:val="0"/>
          <w:i w:val="0"/>
          <w:sz w:val="20"/>
        </w:rPr>
        <w:t xml:space="preserve"> her</w:t>
      </w:r>
      <w:r>
        <w:rPr>
          <w:rFonts w:ascii="Arial" w:eastAsia="Arial" w:hAnsi="Arial" w:cs="Arial"/>
          <w:b w:val="0"/>
          <w:i w:val="0"/>
          <w:sz w:val="20"/>
        </w:rPr>
        <w:t xml:space="preserve"> depth of</w:t>
      </w:r>
      <w:r>
        <w:rPr>
          <w:rFonts w:ascii="Arial" w:eastAsia="Arial" w:hAnsi="Arial" w:cs="Arial"/>
          <w:b w:val="0"/>
          <w:i w:val="0"/>
          <w:sz w:val="20"/>
        </w:rPr>
        <w:t xml:space="preserve"> knowledge</w:t>
      </w:r>
      <w:r>
        <w:rPr>
          <w:rFonts w:ascii="Arial" w:eastAsia="Arial" w:hAnsi="Arial" w:cs="Arial"/>
          <w:b w:val="0"/>
          <w:i w:val="0"/>
          <w:sz w:val="20"/>
        </w:rPr>
        <w:t>,</w:t>
      </w:r>
      <w:r>
        <w:rPr>
          <w:rFonts w:ascii="Arial" w:eastAsia="Arial" w:hAnsi="Arial" w:cs="Arial"/>
          <w:b w:val="0"/>
          <w:i w:val="0"/>
          <w:sz w:val="20"/>
        </w:rPr>
        <w:t xml:space="preserve"> experience </w:t>
      </w:r>
      <w:r>
        <w:rPr>
          <w:rFonts w:ascii="Arial" w:eastAsia="Arial" w:hAnsi="Arial" w:cs="Arial"/>
          <w:b w:val="0"/>
          <w:i w:val="0"/>
          <w:sz w:val="20"/>
        </w:rPr>
        <w:t xml:space="preserve">with the Company and </w:t>
      </w:r>
      <w:r>
        <w:rPr>
          <w:rFonts w:ascii="Arial" w:eastAsia="Arial" w:hAnsi="Arial" w:cs="Arial"/>
          <w:b w:val="0"/>
          <w:i w:val="0"/>
          <w:sz w:val="20"/>
        </w:rPr>
        <w:t>position</w:t>
      </w:r>
      <w:r>
        <w:rPr>
          <w:rFonts w:ascii="Arial" w:eastAsia="Arial" w:hAnsi="Arial" w:cs="Arial"/>
          <w:b w:val="0"/>
          <w:i w:val="0"/>
          <w:sz w:val="20"/>
        </w:rPr>
        <w:t xml:space="preserve"> as </w:t>
      </w:r>
      <w:r>
        <w:rPr>
          <w:rFonts w:ascii="Arial" w:eastAsia="Arial" w:hAnsi="Arial" w:cs="Arial"/>
          <w:b w:val="0"/>
          <w:i w:val="0"/>
          <w:sz w:val="20"/>
        </w:rPr>
        <w:t>a leader on the</w:t>
      </w:r>
      <w:r>
        <w:rPr>
          <w:rFonts w:ascii="Arial" w:eastAsia="Arial" w:hAnsi="Arial" w:cs="Arial"/>
          <w:b w:val="0"/>
          <w:i w:val="0"/>
          <w:sz w:val="20"/>
        </w:rPr>
        <w:t xml:space="preserve"> executive team</w:t>
      </w:r>
      <w:r>
        <w:rPr>
          <w:rFonts w:ascii="Arial" w:eastAsia="Arial" w:hAnsi="Arial" w:cs="Arial"/>
          <w:b w:val="0"/>
          <w:i w:val="0"/>
          <w:sz w:val="20"/>
        </w:rPr>
        <w: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685"/>
        <w:gridCol w:w="3585"/>
        <w:gridCol w:w="1995"/>
        <w:gridCol w:w="199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705"/>
        </w:trPr>
        <w:tc>
          <w:tcPr>
            <w:tcW w:w="268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358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Type of Compensation</w:t>
            </w:r>
          </w:p>
          <w:p>
            <w:pPr>
              <w:pageBreakBefore w:val="0"/>
              <w:numPr>
                <w:ilvl w:val="0"/>
                <w:numId w:val="0"/>
              </w:numPr>
              <w:spacing w:before="0" w:after="30" w:line="240" w:lineRule="auto"/>
              <w:ind w:left="0" w:right="0" w:firstLine="0"/>
              <w:jc w:val="left"/>
              <w:outlineLvl w:val="9"/>
              <w:rPr>
                <w:rFonts w:ascii="Arial" w:eastAsia="Arial" w:hAnsi="Arial" w:cs="Arial"/>
                <w:b/>
                <w:i w:val="0"/>
                <w:sz w:val="6"/>
              </w:rPr>
            </w:pPr>
            <w:r>
              <w:rPr>
                <w:rFonts w:ascii="Arial" w:eastAsia="Arial" w:hAnsi="Arial" w:cs="Arial"/>
                <w:b/>
                <w:i w:val="0"/>
                <w:sz w:val="6"/>
              </w:rPr>
              <w:t xml:space="preserve"> </w:t>
            </w:r>
          </w:p>
        </w:tc>
        <w:tc>
          <w:tcPr>
            <w:tcW w:w="199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2023 Amounts</w:t>
            </w:r>
          </w:p>
          <w:p>
            <w:pPr>
              <w:pageBreakBefore w:val="0"/>
              <w:numPr>
                <w:ilvl w:val="0"/>
                <w:numId w:val="0"/>
              </w:numPr>
              <w:spacing w:before="0" w:after="30" w:line="240" w:lineRule="auto"/>
              <w:ind w:left="0" w:right="0" w:firstLine="0"/>
              <w:jc w:val="left"/>
              <w:outlineLvl w:val="9"/>
              <w:rPr>
                <w:rFonts w:ascii="Arial" w:eastAsia="Arial" w:hAnsi="Arial" w:cs="Arial"/>
                <w:b/>
                <w:i w:val="0"/>
                <w:sz w:val="8"/>
              </w:rPr>
            </w:pPr>
            <w:r>
              <w:rPr>
                <w:rFonts w:ascii="Arial" w:eastAsia="Arial" w:hAnsi="Arial" w:cs="Arial"/>
                <w:b/>
                <w:i w:val="0"/>
                <w:sz w:val="8"/>
              </w:rPr>
              <w:t xml:space="preserve"> </w:t>
            </w:r>
          </w:p>
        </w:tc>
        <w:tc>
          <w:tcPr>
            <w:tcW w:w="199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2022 Amounts</w:t>
            </w:r>
          </w:p>
          <w:p>
            <w:pPr>
              <w:pageBreakBefore w:val="0"/>
              <w:numPr>
                <w:ilvl w:val="0"/>
                <w:numId w:val="0"/>
              </w:numPr>
              <w:spacing w:before="0" w:after="30" w:line="240" w:lineRule="auto"/>
              <w:ind w:left="0" w:right="0" w:firstLine="0"/>
              <w:jc w:val="left"/>
              <w:outlineLvl w:val="9"/>
              <w:rPr>
                <w:rFonts w:ascii="Arial" w:eastAsia="Arial" w:hAnsi="Arial" w:cs="Arial"/>
                <w:b/>
                <w:i w:val="0"/>
                <w:sz w:val="8"/>
              </w:rPr>
            </w:pPr>
            <w:r>
              <w:rPr>
                <w:rFonts w:ascii="Arial" w:eastAsia="Arial" w:hAnsi="Arial" w:cs="Arial"/>
                <w:b/>
                <w:i w:val="0"/>
                <w:sz w:val="8"/>
              </w:rPr>
              <w:t xml:space="preserve"> </w:t>
            </w:r>
          </w:p>
        </w:tc>
      </w:tr>
      <w:tr>
        <w:tblPrEx>
          <w:tblW w:w="10260" w:type="dxa"/>
          <w:tblInd w:w="0" w:type="dxa"/>
          <w:tblLayout w:type="fixed"/>
          <w:tblCellMar>
            <w:left w:w="108" w:type="dxa"/>
            <w:right w:w="108" w:type="dxa"/>
          </w:tblCellMar>
        </w:tblPrEx>
        <w:trPr>
          <w:cantSplit/>
          <w:trHeight w:hRule="exact" w:val="315"/>
        </w:trPr>
        <w:tc>
          <w:tcPr>
            <w:tcW w:w="2685" w:type="dxa"/>
            <w:tcBorders>
              <w:top w:val="single" w:sz="12" w:space="0" w:color="4494D1"/>
              <w:left w:val="nil"/>
              <w:bottom w:val="single" w:sz="8" w:space="0" w:color="B6B6B6"/>
              <w:right w:val="nil"/>
            </w:tcBorders>
            <w:tcMar>
              <w:top w:w="0" w:type="dxa"/>
              <w:left w:w="53" w:type="dxa"/>
              <w:bottom w:w="0" w:type="dxa"/>
              <w:right w:w="53"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Base Salary (from April 1, 2023)</w:t>
            </w:r>
          </w:p>
        </w:tc>
        <w:tc>
          <w:tcPr>
            <w:tcW w:w="3585" w:type="dxa"/>
            <w:tcBorders>
              <w:top w:val="single" w:sz="12" w:space="0" w:color="4494D1"/>
              <w:left w:val="nil"/>
              <w:bottom w:val="single" w:sz="8" w:space="0" w:color="B6B6B6"/>
              <w:right w:val="nil"/>
            </w:tcBorders>
            <w:tcMar>
              <w:top w:w="0" w:type="dxa"/>
              <w:left w:w="53" w:type="dxa"/>
              <w:bottom w:w="0" w:type="dxa"/>
              <w:right w:w="53"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Fixed</w:t>
            </w:r>
          </w:p>
        </w:tc>
        <w:tc>
          <w:tcPr>
            <w:tcW w:w="199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$1,400,000</w:t>
            </w:r>
          </w:p>
        </w:tc>
        <w:tc>
          <w:tcPr>
            <w:tcW w:w="199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$1,200,000</w:t>
            </w:r>
          </w:p>
        </w:tc>
      </w:tr>
      <w:tr>
        <w:tblPrEx>
          <w:tblW w:w="10260" w:type="dxa"/>
          <w:tblInd w:w="0" w:type="dxa"/>
          <w:tblLayout w:type="fixed"/>
          <w:tblCellMar>
            <w:left w:w="108" w:type="dxa"/>
            <w:right w:w="108" w:type="dxa"/>
          </w:tblCellMar>
        </w:tblPrEx>
        <w:trPr>
          <w:cantSplit/>
          <w:trHeight w:hRule="exact" w:val="495"/>
        </w:trPr>
        <w:tc>
          <w:tcPr>
            <w:tcW w:w="268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numPr>
                <w:ilvl w:val="0"/>
                <w:numId w:val="0"/>
              </w:numPr>
              <w:spacing w:before="0" w:after="6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Annual Cash </w:t>
            </w:r>
          </w:p>
          <w:p>
            <w:pPr>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Incentive Award</w:t>
            </w:r>
            <w:r>
              <w:rPr>
                <w:rFonts w:ascii="Arial" w:eastAsia="Arial" w:hAnsi="Arial" w:cs="Arial"/>
                <w:b w:val="0"/>
                <w:i w:val="0"/>
                <w:sz w:val="18"/>
              </w:rPr>
              <w:t xml:space="preserve"> (Target</w:t>
            </w:r>
            <w:r>
              <w:rPr>
                <w:rFonts w:ascii="Arial" w:eastAsia="Arial" w:hAnsi="Arial" w:cs="Arial"/>
                <w:b w:val="0"/>
                <w:i w:val="0"/>
                <w:sz w:val="18"/>
              </w:rPr>
              <w:t>)</w:t>
            </w:r>
          </w:p>
        </w:tc>
        <w:tc>
          <w:tcPr>
            <w:tcW w:w="358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line="240" w:lineRule="auto"/>
              <w:jc w:val="left"/>
            </w:pPr>
            <w:r>
              <w:rPr>
                <w:rFonts w:ascii="Arial" w:eastAsia="Arial" w:hAnsi="Arial" w:cs="Arial"/>
                <w:b w:val="0"/>
                <w:i w:val="0"/>
                <w:color w:val="000000"/>
                <w:sz w:val="18"/>
                <w:u w:val="none"/>
              </w:rPr>
              <w:t>Performance-Based</w:t>
            </w:r>
          </w:p>
          <w:p>
            <w:pPr>
              <w:spacing w:after="0" w:line="240" w:lineRule="auto"/>
              <w:jc w:val="left"/>
            </w:pP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$2,030,000</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$1,740,000</w:t>
            </w:r>
          </w:p>
        </w:tc>
      </w:tr>
      <w:tr>
        <w:tblPrEx>
          <w:tblW w:w="10260" w:type="dxa"/>
          <w:tblInd w:w="0" w:type="dxa"/>
          <w:tblLayout w:type="fixed"/>
          <w:tblCellMar>
            <w:left w:w="108" w:type="dxa"/>
            <w:right w:w="108" w:type="dxa"/>
          </w:tblCellMar>
        </w:tblPrEx>
        <w:trPr>
          <w:cantSplit/>
          <w:trHeight w:hRule="exact" w:val="315"/>
        </w:trPr>
        <w:tc>
          <w:tcPr>
            <w:tcW w:w="2685" w:type="dxa"/>
            <w:vMerge w:val="restart"/>
            <w:tcBorders>
              <w:top w:val="nil"/>
              <w:left w:val="nil"/>
              <w:bottom w:val="nil"/>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Equity Award (Annualized Grant Date Fair Value)</w:t>
            </w:r>
          </w:p>
        </w:tc>
        <w:tc>
          <w:tcPr>
            <w:tcW w:w="3585" w:type="dxa"/>
            <w:tcBorders>
              <w:top w:val="single" w:sz="8" w:space="0" w:color="B6B6B6"/>
              <w:left w:val="nil"/>
              <w:bottom w:val="single" w:sz="8" w:space="0" w:color="B6B6B6"/>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Performance-Based (Cliff-Vesting PSUs)</w:t>
            </w:r>
            <w:r>
              <w:rPr>
                <w:rFonts w:ascii="Arial" w:eastAsia="Arial" w:hAnsi="Arial" w:cs="Arial"/>
                <w:b w:val="0"/>
                <w:i w:val="0"/>
                <w:sz w:val="18"/>
                <w:vertAlign w:val="superscript"/>
              </w:rPr>
              <w:t>(1)</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$3,000,002</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20"/>
                <w:u w:val="none"/>
              </w:rPr>
              <w:t>$1,380,561</w:t>
            </w:r>
          </w:p>
        </w:tc>
      </w:tr>
      <w:tr>
        <w:tblPrEx>
          <w:tblW w:w="10260" w:type="dxa"/>
          <w:tblInd w:w="0" w:type="dxa"/>
          <w:tblLayout w:type="fixed"/>
          <w:tblCellMar>
            <w:left w:w="108" w:type="dxa"/>
            <w:right w:w="108" w:type="dxa"/>
          </w:tblCellMar>
        </w:tblPrEx>
        <w:trPr>
          <w:cantSplit/>
          <w:trHeight w:hRule="exact" w:val="315"/>
        </w:trPr>
        <w:tc>
          <w:tcPr>
            <w:tcW w:w="2685" w:type="dxa"/>
            <w:vMerge/>
            <w:tcBorders>
              <w:top w:val="nil"/>
              <w:left w:val="nil"/>
              <w:bottom w:val="single" w:sz="8" w:space="0" w:color="B6B6B6"/>
              <w:right w:val="nil"/>
            </w:tcBorders>
          </w:tcPr>
          <w:p>
            <w:pPr>
              <w:keepNext/>
              <w:pageBreakBefore w:val="0"/>
            </w:pPr>
          </w:p>
        </w:tc>
        <w:tc>
          <w:tcPr>
            <w:tcW w:w="3585" w:type="dxa"/>
            <w:tcBorders>
              <w:top w:val="single" w:sz="8" w:space="0" w:color="B6B6B6"/>
              <w:left w:val="nil"/>
              <w:bottom w:val="single" w:sz="8" w:space="0" w:color="B6B6B6"/>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At-Risk (Tranche-Vesting RSUs)</w:t>
            </w:r>
            <w:r>
              <w:rPr>
                <w:rFonts w:ascii="Arial" w:eastAsia="Arial" w:hAnsi="Arial" w:cs="Arial"/>
                <w:b w:val="0"/>
                <w:i w:val="0"/>
                <w:sz w:val="18"/>
                <w:vertAlign w:val="superscript"/>
              </w:rPr>
              <w:t>(1)</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$1,000,001</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20"/>
                <w:u w:val="none"/>
              </w:rPr>
              <w:t>$460,187</w:t>
            </w:r>
          </w:p>
        </w:tc>
      </w:tr>
      <w:tr>
        <w:tblPrEx>
          <w:tblW w:w="10260" w:type="dxa"/>
          <w:tblInd w:w="0" w:type="dxa"/>
          <w:tblLayout w:type="fixed"/>
          <w:tblCellMar>
            <w:left w:w="108" w:type="dxa"/>
            <w:right w:w="108" w:type="dxa"/>
          </w:tblCellMar>
        </w:tblPrEx>
        <w:trPr>
          <w:cantSplit/>
          <w:trHeight w:hRule="exact" w:val="315"/>
        </w:trPr>
        <w:tc>
          <w:tcPr>
            <w:tcW w:w="2685" w:type="dxa"/>
            <w:tcBorders>
              <w:top w:val="single" w:sz="8" w:space="0" w:color="B6B6B6"/>
              <w:left w:val="nil"/>
              <w:bottom w:val="nil"/>
              <w:right w:val="nil"/>
            </w:tcBorders>
            <w:tcMar>
              <w:top w:w="0" w:type="dxa"/>
              <w:left w:w="53" w:type="dxa"/>
              <w:bottom w:w="0" w:type="dxa"/>
              <w:right w:w="53" w:type="dxa"/>
            </w:tcMar>
            <w:vAlign w:val="bottom"/>
          </w:tcPr>
          <w:p>
            <w:pPr>
              <w:pageBreakBefore w:val="0"/>
              <w:spacing w:before="33" w:after="30" w:line="240" w:lineRule="auto"/>
              <w:jc w:val="left"/>
            </w:pPr>
            <w:r>
              <w:rPr>
                <w:rFonts w:ascii="Arial" w:eastAsia="Arial" w:hAnsi="Arial" w:cs="Arial"/>
                <w:b/>
                <w:i w:val="0"/>
                <w:color w:val="000000"/>
                <w:sz w:val="18"/>
                <w:u w:val="none"/>
              </w:rPr>
              <w:t>Annual Compensation Mix</w:t>
            </w:r>
          </w:p>
        </w:tc>
        <w:tc>
          <w:tcPr>
            <w:tcW w:w="3585" w:type="dxa"/>
            <w:tcBorders>
              <w:top w:val="single" w:sz="8" w:space="0" w:color="B6B6B6"/>
              <w:left w:val="nil"/>
              <w:bottom w:val="nil"/>
              <w:right w:val="nil"/>
            </w:tcBorders>
            <w:tcMar>
              <w:top w:w="0" w:type="dxa"/>
              <w:left w:w="53" w:type="dxa"/>
              <w:bottom w:w="0" w:type="dxa"/>
              <w:right w:w="53" w:type="dxa"/>
            </w:tcMar>
            <w:vAlign w:val="bottom"/>
          </w:tcPr>
          <w:p>
            <w:pPr>
              <w:pageBreakBefore w:val="0"/>
              <w:spacing w:before="33" w:after="30" w:line="240" w:lineRule="auto"/>
              <w:jc w:val="left"/>
            </w:pPr>
          </w:p>
        </w:tc>
        <w:tc>
          <w:tcPr>
            <w:tcW w:w="1995" w:type="dxa"/>
            <w:tcBorders>
              <w:top w:val="single" w:sz="8" w:space="0" w:color="B6B6B6"/>
              <w:left w:val="nil"/>
              <w:bottom w:val="nil"/>
              <w:right w:val="nil"/>
            </w:tcBorders>
            <w:tcMar>
              <w:top w:w="0" w:type="dxa"/>
              <w:left w:w="53" w:type="dxa"/>
              <w:bottom w:w="0" w:type="dxa"/>
              <w:right w:w="15" w:type="dxa"/>
            </w:tcMar>
            <w:vAlign w:val="bottom"/>
          </w:tcPr>
          <w:p>
            <w:pPr>
              <w:pageBreakBefore w:val="0"/>
              <w:spacing w:before="33" w:after="30" w:line="240" w:lineRule="auto"/>
              <w:jc w:val="left"/>
            </w:pPr>
            <w:r>
              <w:rPr>
                <w:rFonts w:ascii="Arial" w:eastAsia="Arial" w:hAnsi="Arial" w:cs="Arial"/>
                <w:b/>
                <w:i w:val="0"/>
                <w:color w:val="000000"/>
                <w:sz w:val="18"/>
                <w:u w:val="none"/>
              </w:rPr>
              <w:t>$7,430,003</w:t>
            </w:r>
          </w:p>
        </w:tc>
        <w:tc>
          <w:tcPr>
            <w:tcW w:w="1995" w:type="dxa"/>
            <w:tcBorders>
              <w:top w:val="single" w:sz="8" w:space="0" w:color="B6B6B6"/>
              <w:left w:val="nil"/>
              <w:bottom w:val="nil"/>
              <w:right w:val="nil"/>
            </w:tcBorders>
            <w:tcMar>
              <w:top w:w="0" w:type="dxa"/>
              <w:left w:w="53" w:type="dxa"/>
              <w:bottom w:w="0" w:type="dxa"/>
              <w:right w:w="53" w:type="dxa"/>
            </w:tcMar>
            <w:vAlign w:val="bottom"/>
          </w:tcPr>
          <w:p>
            <w:pPr>
              <w:pageBreakBefore w:val="0"/>
              <w:spacing w:before="33" w:after="30" w:line="240" w:lineRule="auto"/>
              <w:jc w:val="left"/>
            </w:pPr>
            <w:r>
              <w:rPr>
                <w:rFonts w:ascii="Arial" w:eastAsia="Arial" w:hAnsi="Arial" w:cs="Arial"/>
                <w:b/>
                <w:i w:val="0"/>
                <w:color w:val="000000"/>
                <w:sz w:val="18"/>
                <w:u w:val="none"/>
              </w:rPr>
              <w:t>$4,780,748</w:t>
            </w:r>
          </w:p>
        </w:tc>
      </w:tr>
    </w:tbl>
    <w:p>
      <w:pPr>
        <w:keepNext w:val="0"/>
        <w:keepLines w:val="0"/>
        <w:pageBreakBefore w:val="0"/>
        <w:widowControl/>
        <w:numPr>
          <w:ilvl w:val="0"/>
          <w:numId w:val="0"/>
        </w:numPr>
        <w:spacing w:before="12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(1) </w:t>
      </w:r>
      <w:r>
        <w:rPr>
          <w:rFonts w:ascii="Arial" w:eastAsia="Arial" w:hAnsi="Arial" w:cs="Arial"/>
          <w:b w:val="0"/>
          <w:i w:val="0"/>
          <w:color w:val="969698"/>
          <w:sz w:val="16"/>
          <w:u w:val="none"/>
        </w:rPr>
        <w:tab/>
      </w:r>
      <w:r>
        <w:rPr>
          <w:rFonts w:ascii="Arial" w:eastAsia="Arial" w:hAnsi="Arial" w:cs="Arial"/>
          <w:b w:val="0"/>
          <w:i w:val="0"/>
          <w:color w:val="969698"/>
          <w:sz w:val="16"/>
          <w:u w:val="none"/>
        </w:rPr>
        <w:t xml:space="preserve">The </w:t>
      </w:r>
      <w:r>
        <w:rPr>
          <w:rFonts w:ascii="Arial" w:eastAsia="Arial" w:hAnsi="Arial" w:cs="Arial"/>
          <w:b w:val="0"/>
          <w:i w:val="0"/>
          <w:color w:val="969698"/>
          <w:sz w:val="16"/>
          <w:u w:val="none"/>
        </w:rPr>
        <w:t>a</w:t>
      </w:r>
      <w:r>
        <w:rPr>
          <w:rFonts w:ascii="Arial" w:eastAsia="Arial" w:hAnsi="Arial" w:cs="Arial"/>
          <w:b w:val="0"/>
          <w:i w:val="0"/>
          <w:color w:val="969698"/>
          <w:sz w:val="16"/>
          <w:u w:val="none"/>
        </w:rPr>
        <w:t>mounts</w:t>
      </w:r>
      <w:r>
        <w:rPr>
          <w:rFonts w:ascii="Arial" w:eastAsia="Arial" w:hAnsi="Arial" w:cs="Arial"/>
          <w:b w:val="0"/>
          <w:i w:val="0"/>
          <w:color w:val="969698"/>
          <w:sz w:val="16"/>
          <w:u w:val="none"/>
        </w:rPr>
        <w:t xml:space="preserve"> shown</w:t>
      </w:r>
      <w:r>
        <w:rPr>
          <w:rFonts w:ascii="Arial" w:eastAsia="Arial" w:hAnsi="Arial" w:cs="Arial"/>
          <w:b w:val="0"/>
          <w:i w:val="0"/>
          <w:color w:val="969698"/>
          <w:sz w:val="16"/>
          <w:u w:val="none"/>
        </w:rPr>
        <w:t xml:space="preserve"> for Ms. Gregory'</w:t>
      </w:r>
      <w:r>
        <w:rPr>
          <w:rFonts w:ascii="Arial" w:eastAsia="Arial" w:hAnsi="Arial" w:cs="Arial"/>
          <w:b w:val="0"/>
          <w:i w:val="0"/>
          <w:color w:val="969698"/>
          <w:sz w:val="16"/>
          <w:u w:val="none"/>
        </w:rPr>
        <w:t xml:space="preserve">s </w:t>
      </w:r>
      <w:r>
        <w:rPr>
          <w:rFonts w:ascii="Arial" w:eastAsia="Arial" w:hAnsi="Arial" w:cs="Arial"/>
          <w:b w:val="0"/>
          <w:i w:val="0"/>
          <w:color w:val="969698"/>
          <w:sz w:val="16"/>
          <w:u w:val="none"/>
        </w:rPr>
        <w:t>e</w:t>
      </w:r>
      <w:r>
        <w:rPr>
          <w:rFonts w:ascii="Arial" w:eastAsia="Arial" w:hAnsi="Arial" w:cs="Arial"/>
          <w:b w:val="0"/>
          <w:i w:val="0"/>
          <w:color w:val="969698"/>
          <w:sz w:val="16"/>
          <w:u w:val="none"/>
        </w:rPr>
        <w:t xml:space="preserve">quity </w:t>
      </w:r>
      <w:r>
        <w:rPr>
          <w:rFonts w:ascii="Arial" w:eastAsia="Arial" w:hAnsi="Arial" w:cs="Arial"/>
          <w:b w:val="0"/>
          <w:i w:val="0"/>
          <w:color w:val="969698"/>
          <w:sz w:val="16"/>
          <w:u w:val="none"/>
        </w:rPr>
        <w:t>a</w:t>
      </w:r>
      <w:r>
        <w:rPr>
          <w:rFonts w:ascii="Arial" w:eastAsia="Arial" w:hAnsi="Arial" w:cs="Arial"/>
          <w:b w:val="0"/>
          <w:i w:val="0"/>
          <w:color w:val="969698"/>
          <w:sz w:val="16"/>
          <w:u w:val="none"/>
        </w:rPr>
        <w:t>ward</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in</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2022 and </w:t>
      </w:r>
      <w:r>
        <w:rPr>
          <w:rFonts w:ascii="Arial" w:eastAsia="Arial" w:hAnsi="Arial" w:cs="Arial"/>
          <w:b w:val="0"/>
          <w:i w:val="0"/>
          <w:color w:val="969698"/>
          <w:sz w:val="16"/>
          <w:u w:val="none"/>
        </w:rPr>
        <w:t xml:space="preserve">2023 </w:t>
      </w:r>
      <w:r>
        <w:rPr>
          <w:rFonts w:ascii="Arial" w:eastAsia="Arial" w:hAnsi="Arial" w:cs="Arial"/>
          <w:b w:val="0"/>
          <w:i w:val="0"/>
          <w:color w:val="969698"/>
          <w:sz w:val="16"/>
          <w:u w:val="none"/>
        </w:rPr>
        <w:t>are annualize</w:t>
      </w:r>
      <w:r>
        <w:rPr>
          <w:rFonts w:ascii="Arial" w:eastAsia="Arial" w:hAnsi="Arial" w:cs="Arial"/>
          <w:b w:val="0"/>
          <w:i w:val="0"/>
          <w:color w:val="969698"/>
          <w:sz w:val="16"/>
          <w:u w:val="none"/>
        </w:rPr>
        <w:t xml:space="preserve">d amounts that </w:t>
      </w:r>
      <w:r>
        <w:rPr>
          <w:rFonts w:ascii="Arial" w:eastAsia="Arial" w:hAnsi="Arial" w:cs="Arial"/>
          <w:b w:val="0"/>
          <w:i w:val="0"/>
          <w:color w:val="969698"/>
          <w:sz w:val="16"/>
          <w:u w:val="none"/>
        </w:rPr>
        <w:t xml:space="preserve">represent the </w:t>
      </w:r>
      <w:r>
        <w:rPr>
          <w:rFonts w:ascii="Arial" w:eastAsia="Arial" w:hAnsi="Arial" w:cs="Arial"/>
          <w:b w:val="0"/>
          <w:i w:val="0"/>
          <w:color w:val="969698"/>
          <w:sz w:val="16"/>
          <w:u w:val="none"/>
        </w:rPr>
        <w:t>g</w:t>
      </w:r>
      <w:r>
        <w:rPr>
          <w:rFonts w:ascii="Arial" w:eastAsia="Arial" w:hAnsi="Arial" w:cs="Arial"/>
          <w:b w:val="0"/>
          <w:i w:val="0"/>
          <w:color w:val="969698"/>
          <w:sz w:val="16"/>
          <w:u w:val="none"/>
        </w:rPr>
        <w:t xml:space="preserve">rant </w:t>
      </w:r>
      <w:r>
        <w:rPr>
          <w:rFonts w:ascii="Arial" w:eastAsia="Arial" w:hAnsi="Arial" w:cs="Arial"/>
          <w:b w:val="0"/>
          <w:i w:val="0"/>
          <w:color w:val="969698"/>
          <w:sz w:val="16"/>
          <w:u w:val="none"/>
        </w:rPr>
        <w:t>d</w:t>
      </w:r>
      <w:r>
        <w:rPr>
          <w:rFonts w:ascii="Arial" w:eastAsia="Arial" w:hAnsi="Arial" w:cs="Arial"/>
          <w:b w:val="0"/>
          <w:i w:val="0"/>
          <w:color w:val="969698"/>
          <w:sz w:val="16"/>
          <w:u w:val="none"/>
        </w:rPr>
        <w:t xml:space="preserve">ate </w:t>
      </w:r>
      <w:r>
        <w:rPr>
          <w:rFonts w:ascii="Arial" w:eastAsia="Arial" w:hAnsi="Arial" w:cs="Arial"/>
          <w:b w:val="0"/>
          <w:i w:val="0"/>
          <w:color w:val="969698"/>
          <w:sz w:val="16"/>
          <w:u w:val="none"/>
        </w:rPr>
        <w:t>f</w:t>
      </w:r>
      <w:r>
        <w:rPr>
          <w:rFonts w:ascii="Arial" w:eastAsia="Arial" w:hAnsi="Arial" w:cs="Arial"/>
          <w:b w:val="0"/>
          <w:i w:val="0"/>
          <w:color w:val="969698"/>
          <w:sz w:val="16"/>
          <w:u w:val="none"/>
        </w:rPr>
        <w:t>ai</w:t>
      </w:r>
      <w:r>
        <w:rPr>
          <w:rFonts w:ascii="Arial" w:eastAsia="Arial" w:hAnsi="Arial" w:cs="Arial"/>
          <w:b w:val="0"/>
          <w:i w:val="0"/>
          <w:color w:val="969698"/>
          <w:sz w:val="16"/>
          <w:u w:val="none"/>
        </w:rPr>
        <w:t xml:space="preserve">r value of </w:t>
      </w:r>
      <w:r>
        <w:rPr>
          <w:rFonts w:ascii="Arial" w:eastAsia="Arial" w:hAnsi="Arial" w:cs="Arial"/>
          <w:b w:val="0"/>
          <w:i w:val="0"/>
          <w:color w:val="969698"/>
          <w:sz w:val="16"/>
          <w:u w:val="none"/>
        </w:rPr>
        <w:t xml:space="preserve">the following awards divided by three: </w:t>
      </w:r>
      <w:r>
        <w:rPr>
          <w:rFonts w:ascii="Arial" w:eastAsia="Arial" w:hAnsi="Arial" w:cs="Arial"/>
          <w:b w:val="0"/>
          <w:i w:val="0"/>
          <w:color w:val="969698"/>
          <w:sz w:val="16"/>
          <w:u w:val="none"/>
        </w:rPr>
        <w:t>(i)</w:t>
      </w:r>
      <w:r>
        <w:rPr>
          <w:rFonts w:ascii="Arial" w:eastAsia="Arial" w:hAnsi="Arial" w:cs="Arial"/>
          <w:b w:val="0"/>
          <w:i w:val="0"/>
          <w:color w:val="969698"/>
          <w:sz w:val="16"/>
          <w:u w:val="none"/>
        </w:rPr>
        <w:t xml:space="preserve"> </w:t>
      </w:r>
      <w:r>
        <w:rPr>
          <w:rFonts w:ascii="Arial" w:eastAsia="Arial" w:hAnsi="Arial" w:cs="Arial"/>
          <w:b w:val="0"/>
          <w:i w:val="0"/>
          <w:color w:val="929292"/>
          <w:sz w:val="16"/>
          <w:u w:val="none"/>
        </w:rPr>
        <w:t>20,163</w:t>
      </w:r>
      <w:r>
        <w:rPr>
          <w:rFonts w:ascii="Arial" w:eastAsia="Arial" w:hAnsi="Arial" w:cs="Arial"/>
          <w:b w:val="0"/>
          <w:i w:val="0"/>
          <w:color w:val="929292"/>
          <w:sz w:val="16"/>
          <w:u w:val="none"/>
        </w:rPr>
        <w:t xml:space="preserve"> PSUs and</w:t>
      </w:r>
      <w:r>
        <w:rPr>
          <w:rFonts w:ascii="Arial" w:eastAsia="Arial" w:hAnsi="Arial" w:cs="Arial"/>
          <w:b w:val="0"/>
          <w:i w:val="0"/>
          <w:color w:val="929292"/>
          <w:sz w:val="16"/>
          <w:u w:val="none"/>
        </w:rPr>
        <w:t xml:space="preserve"> </w:t>
      </w:r>
      <w:r>
        <w:rPr>
          <w:rFonts w:ascii="Arial" w:eastAsia="Arial" w:hAnsi="Arial" w:cs="Arial"/>
          <w:b w:val="0"/>
          <w:i w:val="0"/>
          <w:color w:val="929292"/>
          <w:sz w:val="16"/>
          <w:u w:val="none"/>
        </w:rPr>
        <w:t>6,721</w:t>
      </w:r>
      <w:r>
        <w:rPr>
          <w:rFonts w:ascii="Arial" w:eastAsia="Arial" w:hAnsi="Arial" w:cs="Arial"/>
          <w:b w:val="0"/>
          <w:i w:val="0"/>
          <w:color w:val="929292"/>
          <w:sz w:val="16"/>
          <w:u w:val="none"/>
        </w:rPr>
        <w:t xml:space="preserve"> RSUs gran</w:t>
      </w:r>
      <w:r>
        <w:rPr>
          <w:rFonts w:ascii="Arial" w:eastAsia="Arial" w:hAnsi="Arial" w:cs="Arial"/>
          <w:b w:val="0"/>
          <w:i w:val="0"/>
          <w:color w:val="929292"/>
          <w:sz w:val="16"/>
          <w:u w:val="none"/>
        </w:rPr>
        <w:t xml:space="preserve">ted on </w:t>
      </w:r>
      <w:r>
        <w:rPr>
          <w:rFonts w:ascii="Arial" w:eastAsia="Arial" w:hAnsi="Arial" w:cs="Arial"/>
          <w:b w:val="0"/>
          <w:i w:val="0"/>
          <w:color w:val="929292"/>
          <w:sz w:val="16"/>
          <w:u w:val="none"/>
        </w:rPr>
        <w:t>January 21, 2020</w:t>
      </w:r>
      <w:r>
        <w:rPr>
          <w:rFonts w:ascii="Arial" w:eastAsia="Arial" w:hAnsi="Arial" w:cs="Arial"/>
          <w:b w:val="0"/>
          <w:i w:val="0"/>
          <w:color w:val="929292"/>
          <w:sz w:val="16"/>
          <w:u w:val="none"/>
        </w:rPr>
        <w:t xml:space="preserve">, as shown </w:t>
      </w:r>
      <w:r>
        <w:rPr>
          <w:rFonts w:ascii="Arial" w:eastAsia="Arial" w:hAnsi="Arial" w:cs="Arial"/>
          <w:b w:val="0"/>
          <w:i w:val="0"/>
          <w:color w:val="929292"/>
          <w:sz w:val="16"/>
          <w:u w:val="none"/>
        </w:rPr>
        <w:t>fo</w:t>
      </w:r>
      <w:r>
        <w:rPr>
          <w:rFonts w:ascii="Arial" w:eastAsia="Arial" w:hAnsi="Arial" w:cs="Arial"/>
          <w:b w:val="0"/>
          <w:i w:val="0"/>
          <w:color w:val="929292"/>
          <w:sz w:val="16"/>
          <w:u w:val="none"/>
        </w:rPr>
        <w:t>r Ms. Gregory's 2022</w:t>
      </w:r>
      <w:r>
        <w:rPr>
          <w:rFonts w:ascii="Arial" w:eastAsia="Arial" w:hAnsi="Arial" w:cs="Arial"/>
          <w:b w:val="0"/>
          <w:i w:val="0"/>
          <w:color w:val="929292"/>
          <w:sz w:val="16"/>
          <w:u w:val="none"/>
        </w:rPr>
        <w:t xml:space="preserve"> </w:t>
      </w:r>
      <w:r>
        <w:rPr>
          <w:rFonts w:ascii="Arial" w:eastAsia="Arial" w:hAnsi="Arial" w:cs="Arial"/>
          <w:b w:val="0"/>
          <w:i w:val="0"/>
          <w:color w:val="929292"/>
          <w:sz w:val="16"/>
          <w:u w:val="none"/>
        </w:rPr>
        <w:t>amount</w:t>
      </w:r>
      <w:r>
        <w:rPr>
          <w:rFonts w:ascii="Arial" w:eastAsia="Arial" w:hAnsi="Arial" w:cs="Arial"/>
          <w:b w:val="0"/>
          <w:i w:val="0"/>
          <w:color w:val="969698"/>
          <w:sz w:val="16"/>
          <w:u w:val="none"/>
        </w:rPr>
        <w:t>; and (ii)</w:t>
      </w:r>
      <w:r>
        <w:rPr>
          <w:rFonts w:ascii="Arial" w:eastAsia="Arial" w:hAnsi="Arial" w:cs="Arial"/>
          <w:b w:val="0"/>
          <w:i w:val="0"/>
          <w:color w:val="969698"/>
          <w:sz w:val="16"/>
          <w:u w:val="none"/>
        </w:rPr>
        <w:t xml:space="preserve"> </w:t>
      </w:r>
      <w:r>
        <w:rPr>
          <w:rFonts w:ascii="Arial" w:eastAsia="Arial" w:hAnsi="Arial" w:cs="Arial"/>
          <w:b w:val="0"/>
          <w:i w:val="0"/>
          <w:color w:val="929292"/>
          <w:sz w:val="16"/>
          <w:u w:val="none"/>
        </w:rPr>
        <w:t>40,395</w:t>
      </w:r>
      <w:r>
        <w:rPr>
          <w:rFonts w:ascii="Arial" w:eastAsia="Arial" w:hAnsi="Arial" w:cs="Arial"/>
          <w:b w:val="0"/>
          <w:i w:val="0"/>
          <w:color w:val="929292"/>
          <w:sz w:val="16"/>
          <w:u w:val="none"/>
        </w:rPr>
        <w:t xml:space="preserve"> PSUs</w:t>
      </w:r>
      <w:r>
        <w:rPr>
          <w:rFonts w:ascii="Arial" w:eastAsia="Arial" w:hAnsi="Arial" w:cs="Arial"/>
          <w:b w:val="0"/>
          <w:i w:val="0"/>
          <w:color w:val="929292"/>
          <w:sz w:val="16"/>
          <w:u w:val="none"/>
        </w:rPr>
        <w:t xml:space="preserve"> and </w:t>
      </w:r>
      <w:r>
        <w:rPr>
          <w:rFonts w:ascii="Arial" w:eastAsia="Arial" w:hAnsi="Arial" w:cs="Arial"/>
          <w:b w:val="0"/>
          <w:i w:val="0"/>
          <w:color w:val="929292"/>
          <w:sz w:val="16"/>
          <w:u w:val="none"/>
        </w:rPr>
        <w:t>13,465</w:t>
      </w:r>
      <w:r>
        <w:rPr>
          <w:rFonts w:ascii="Arial" w:eastAsia="Arial" w:hAnsi="Arial" w:cs="Arial"/>
          <w:b w:val="0"/>
          <w:i w:val="0"/>
          <w:color w:val="929292"/>
          <w:sz w:val="16"/>
          <w:u w:val="none"/>
        </w:rPr>
        <w:t xml:space="preserve"> RSUs </w:t>
      </w:r>
      <w:r>
        <w:rPr>
          <w:rFonts w:ascii="Arial" w:eastAsia="Arial" w:hAnsi="Arial" w:cs="Arial"/>
          <w:b w:val="0"/>
          <w:i w:val="0"/>
          <w:color w:val="929292"/>
          <w:sz w:val="16"/>
          <w:u w:val="none"/>
        </w:rPr>
        <w:t xml:space="preserve">granted </w:t>
      </w:r>
      <w:r>
        <w:rPr>
          <w:rFonts w:ascii="Arial" w:eastAsia="Arial" w:hAnsi="Arial" w:cs="Arial"/>
          <w:b w:val="0"/>
          <w:i w:val="0"/>
          <w:color w:val="929292"/>
          <w:sz w:val="16"/>
          <w:u w:val="none"/>
        </w:rPr>
        <w:t>on March 1, 2023</w:t>
      </w:r>
      <w:r>
        <w:rPr>
          <w:rFonts w:ascii="Arial" w:eastAsia="Arial" w:hAnsi="Arial" w:cs="Arial"/>
          <w:b w:val="0"/>
          <w:i w:val="0"/>
          <w:color w:val="929292"/>
          <w:sz w:val="16"/>
          <w:u w:val="none"/>
        </w:rPr>
        <w:t>, as shown for Ms. Gregory's 2023</w:t>
      </w:r>
      <w:r>
        <w:rPr>
          <w:rFonts w:ascii="Arial" w:eastAsia="Arial" w:hAnsi="Arial" w:cs="Arial"/>
          <w:b w:val="0"/>
          <w:i w:val="0"/>
          <w:color w:val="929292"/>
          <w:sz w:val="16"/>
          <w:u w:val="none"/>
        </w:rPr>
        <w:t xml:space="preserve"> </w:t>
      </w:r>
      <w:r>
        <w:rPr>
          <w:rFonts w:ascii="Arial" w:eastAsia="Arial" w:hAnsi="Arial" w:cs="Arial"/>
          <w:b w:val="0"/>
          <w:i w:val="0"/>
          <w:color w:val="929292"/>
          <w:sz w:val="16"/>
          <w:u w:val="none"/>
        </w:rPr>
        <w:t>amount</w:t>
      </w:r>
      <w:r>
        <w:rPr>
          <w:rFonts w:ascii="Arial" w:eastAsia="Arial" w:hAnsi="Arial" w:cs="Arial"/>
          <w:b w:val="0"/>
          <w:i w:val="0"/>
          <w:color w:val="929292"/>
          <w:sz w:val="16"/>
          <w:u w:val="none"/>
        </w:rPr>
        <w:t>. These awar</w:t>
      </w:r>
      <w:r>
        <w:rPr>
          <w:rFonts w:ascii="Arial" w:eastAsia="Arial" w:hAnsi="Arial" w:cs="Arial"/>
          <w:b w:val="0"/>
          <w:i w:val="0"/>
          <w:color w:val="929292"/>
          <w:sz w:val="16"/>
          <w:u w:val="none"/>
        </w:rPr>
        <w:t xml:space="preserve">ds were granted with </w:t>
      </w:r>
      <w:r>
        <w:rPr>
          <w:rFonts w:ascii="Arial" w:eastAsia="Arial" w:hAnsi="Arial" w:cs="Arial"/>
          <w:b w:val="0"/>
          <w:i w:val="0"/>
          <w:color w:val="929292"/>
          <w:sz w:val="16"/>
          <w:u w:val="none"/>
        </w:rPr>
        <w:t>the terms and conditions described in the section above entitled "Long-Term Incentive Compensation."</w:t>
      </w: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rPr>
      </w:pPr>
    </w:p>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i w:val="0"/>
          <w:color w:val="4494D1"/>
          <w:sz w:val="20"/>
          <w:u w:val="none"/>
        </w:rPr>
      </w:pPr>
      <w:r>
        <w:rPr>
          <w:rFonts w:ascii="Arial" w:eastAsia="Arial" w:hAnsi="Arial" w:cs="Arial"/>
          <w:b/>
          <w:i w:val="0"/>
          <w:color w:val="4494D1"/>
          <w:sz w:val="20"/>
          <w:u w:val="none"/>
        </w:rPr>
        <w:t>2023 Annual Cash Incentive Award</w:t>
      </w:r>
    </w:p>
    <w:p>
      <w:pPr>
        <w:keepNext w:val="0"/>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color w:val="969698"/>
          <w:sz w:val="20"/>
          <w:u w:val="none"/>
        </w:rPr>
      </w:pPr>
      <w:r>
        <w:rPr>
          <w:rFonts w:ascii="Arial" w:eastAsia="Arial" w:hAnsi="Arial" w:cs="Arial"/>
          <w:b w:val="0"/>
          <w:i w:val="0"/>
          <w:sz w:val="20"/>
        </w:rPr>
        <w:t>M</w:t>
      </w:r>
      <w:r>
        <w:rPr>
          <w:rFonts w:ascii="Arial" w:eastAsia="Arial" w:hAnsi="Arial" w:cs="Arial"/>
          <w:b w:val="0"/>
          <w:i w:val="0"/>
          <w:sz w:val="20"/>
        </w:rPr>
        <w:t>s</w:t>
      </w:r>
      <w:r>
        <w:rPr>
          <w:rFonts w:ascii="Arial" w:eastAsia="Arial" w:hAnsi="Arial" w:cs="Arial"/>
          <w:b w:val="0"/>
          <w:i w:val="0"/>
          <w:sz w:val="20"/>
        </w:rPr>
        <w:t xml:space="preserve">. </w:t>
      </w:r>
      <w:r>
        <w:rPr>
          <w:rFonts w:ascii="Arial" w:eastAsia="Arial" w:hAnsi="Arial" w:cs="Arial"/>
          <w:b w:val="0"/>
          <w:i w:val="0"/>
          <w:sz w:val="20"/>
        </w:rPr>
        <w:t>Gre</w:t>
      </w:r>
      <w:r>
        <w:rPr>
          <w:rFonts w:ascii="Arial" w:eastAsia="Arial" w:hAnsi="Arial" w:cs="Arial"/>
          <w:b w:val="0"/>
          <w:i w:val="0"/>
          <w:sz w:val="20"/>
        </w:rPr>
        <w:t>gory</w:t>
      </w:r>
      <w:r>
        <w:rPr>
          <w:rFonts w:ascii="Arial" w:eastAsia="Arial" w:hAnsi="Arial" w:cs="Arial"/>
          <w:b w:val="0"/>
          <w:i w:val="0"/>
          <w:sz w:val="20"/>
        </w:rPr>
        <w:t xml:space="preserve"> earned an annual incentive payment of </w:t>
      </w:r>
      <w:r>
        <w:rPr>
          <w:rFonts w:ascii="Arial" w:eastAsia="Arial" w:hAnsi="Arial" w:cs="Arial"/>
          <w:b w:val="0"/>
          <w:i w:val="0"/>
          <w:color w:val="000000"/>
          <w:sz w:val="20"/>
          <w:u w:val="none"/>
        </w:rPr>
        <w:t>$2,042,297</w:t>
      </w:r>
      <w:r>
        <w:rPr>
          <w:rFonts w:ascii="Arial" w:eastAsia="Arial" w:hAnsi="Arial" w:cs="Arial"/>
          <w:b w:val="0"/>
          <w:i w:val="0"/>
          <w:sz w:val="20"/>
        </w:rPr>
        <w:t xml:space="preserve">, or </w:t>
      </w:r>
      <w:r>
        <w:rPr>
          <w:rFonts w:ascii="Arial" w:eastAsia="Arial" w:hAnsi="Arial" w:cs="Arial"/>
          <w:b w:val="0"/>
          <w:i w:val="0"/>
          <w:color w:val="000000"/>
          <w:sz w:val="20"/>
          <w:u w:val="none"/>
        </w:rPr>
        <w:t>101%</w:t>
      </w:r>
      <w:r>
        <w:rPr>
          <w:rFonts w:ascii="Arial" w:eastAsia="Arial" w:hAnsi="Arial" w:cs="Arial"/>
          <w:b w:val="0"/>
          <w:i w:val="0"/>
          <w:sz w:val="20"/>
        </w:rPr>
        <w:t xml:space="preserve"> of target, based on the final achievement of the Company's financial performance, corporate objectives, and h</w:t>
      </w:r>
      <w:r>
        <w:rPr>
          <w:rFonts w:ascii="Arial" w:eastAsia="Arial" w:hAnsi="Arial" w:cs="Arial"/>
          <w:b w:val="0"/>
          <w:i w:val="0"/>
          <w:sz w:val="20"/>
        </w:rPr>
        <w:t>er</w:t>
      </w:r>
      <w:r>
        <w:rPr>
          <w:rFonts w:ascii="Arial" w:eastAsia="Arial" w:hAnsi="Arial" w:cs="Arial"/>
          <w:b w:val="0"/>
          <w:i w:val="0"/>
          <w:sz w:val="20"/>
        </w:rPr>
        <w:t xml:space="preserve"> pre-established </w:t>
      </w:r>
      <w:r>
        <w:rPr>
          <w:rFonts w:ascii="Arial" w:eastAsia="Arial" w:hAnsi="Arial" w:cs="Arial"/>
          <w:b w:val="0"/>
          <w:i w:val="0"/>
          <w:sz w:val="20"/>
        </w:rPr>
        <w:t xml:space="preserve">individual </w:t>
      </w:r>
      <w:r>
        <w:rPr>
          <w:rFonts w:ascii="Arial" w:eastAsia="Arial" w:hAnsi="Arial" w:cs="Arial"/>
          <w:b w:val="0"/>
          <w:i w:val="0"/>
          <w:sz w:val="20"/>
        </w:rPr>
        <w:t>performance goals, as described below.</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055"/>
        <w:gridCol w:w="3240"/>
        <w:gridCol w:w="1485"/>
        <w:gridCol w:w="1665"/>
        <w:gridCol w:w="181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720"/>
        </w:trPr>
        <w:tc>
          <w:tcPr>
            <w:tcW w:w="205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i w:val="0"/>
                <w:sz w:val="18"/>
              </w:rPr>
            </w:pPr>
            <w:r>
              <w:rPr>
                <w:rFonts w:ascii="Arial" w:eastAsia="Arial" w:hAnsi="Arial" w:cs="Arial"/>
                <w:b/>
                <w:i w:val="0"/>
                <w:sz w:val="18"/>
              </w:rPr>
              <w:t>Bonus Component</w:t>
            </w:r>
            <w:r>
              <w:rPr>
                <w:rFonts w:ascii="Arial" w:eastAsia="Arial" w:hAnsi="Arial" w:cs="Arial"/>
                <w:b/>
                <w:i w:val="0"/>
                <w:sz w:val="18"/>
                <w:vertAlign w:val="superscript"/>
              </w:rPr>
              <w:t>(1)</w:t>
            </w:r>
          </w:p>
        </w:tc>
        <w:tc>
          <w:tcPr>
            <w:tcW w:w="3240"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Performance Criteria</w:t>
            </w:r>
          </w:p>
        </w:tc>
        <w:tc>
          <w:tcPr>
            <w:tcW w:w="148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Component Weighting</w:t>
            </w:r>
          </w:p>
        </w:tc>
        <w:tc>
          <w:tcPr>
            <w:tcW w:w="166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Actual Payout as a Percent of Target</w:t>
            </w:r>
          </w:p>
        </w:tc>
        <w:tc>
          <w:tcPr>
            <w:tcW w:w="181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Award Payout</w:t>
            </w:r>
          </w:p>
        </w:tc>
      </w:tr>
      <w:tr>
        <w:tblPrEx>
          <w:tblW w:w="10260" w:type="dxa"/>
          <w:tblInd w:w="0" w:type="dxa"/>
          <w:tblLayout w:type="fixed"/>
          <w:tblCellMar>
            <w:left w:w="108" w:type="dxa"/>
            <w:right w:w="108" w:type="dxa"/>
          </w:tblCellMar>
        </w:tblPrEx>
        <w:trPr>
          <w:cantSplit/>
          <w:trHeight w:hRule="exact" w:val="345"/>
        </w:trPr>
        <w:tc>
          <w:tcPr>
            <w:tcW w:w="2055" w:type="dxa"/>
            <w:tcBorders>
              <w:top w:val="single" w:sz="12" w:space="0" w:color="4494D1"/>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Financial Component</w:t>
            </w:r>
          </w:p>
        </w:tc>
        <w:tc>
          <w:tcPr>
            <w:tcW w:w="3240" w:type="dxa"/>
            <w:tcBorders>
              <w:top w:val="single" w:sz="12" w:space="0" w:color="4494D1"/>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Adjusted ROE</w:t>
            </w:r>
          </w:p>
        </w:tc>
        <w:tc>
          <w:tcPr>
            <w:tcW w:w="1485" w:type="dxa"/>
            <w:tcBorders>
              <w:top w:val="single" w:sz="12" w:space="0" w:color="4494D1"/>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45%</w:t>
            </w:r>
          </w:p>
        </w:tc>
        <w:tc>
          <w:tcPr>
            <w:tcW w:w="166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106.7%</w:t>
            </w:r>
          </w:p>
        </w:tc>
        <w:tc>
          <w:tcPr>
            <w:tcW w:w="181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$974,797</w:t>
            </w:r>
          </w:p>
        </w:tc>
      </w:tr>
      <w:tr>
        <w:tblPrEx>
          <w:tblW w:w="10260" w:type="dxa"/>
          <w:tblInd w:w="0" w:type="dxa"/>
          <w:tblLayout w:type="fixed"/>
          <w:tblCellMar>
            <w:left w:w="108" w:type="dxa"/>
            <w:right w:w="108" w:type="dxa"/>
          </w:tblCellMar>
        </w:tblPrEx>
        <w:trPr>
          <w:cantSplit/>
          <w:trHeight w:hRule="exact" w:val="315"/>
        </w:trPr>
        <w:tc>
          <w:tcPr>
            <w:tcW w:w="205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Corporate Component</w:t>
            </w:r>
          </w:p>
        </w:tc>
        <w:tc>
          <w:tcPr>
            <w:tcW w:w="3240"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As set out on pg. </w:t>
            </w:r>
            <w:r>
              <w:rPr>
                <w:rFonts w:ascii="Arial" w:eastAsia="Arial" w:hAnsi="Arial" w:cs="Arial"/>
                <w:b w:val="0"/>
                <w:i w:val="0"/>
                <w:color w:val="0000FF"/>
                <w:sz w:val="18"/>
                <w:u w:val="single"/>
              </w:rPr>
              <w:fldChar w:fldCharType="begin"/>
            </w:r>
            <w:r>
              <w:rPr>
                <w:rFonts w:ascii="Arial" w:eastAsia="Arial" w:hAnsi="Arial" w:cs="Arial"/>
                <w:b w:val="0"/>
                <w:i w:val="0"/>
                <w:color w:val="0000FF"/>
                <w:sz w:val="18"/>
                <w:u w:val="single"/>
              </w:rPr>
              <w:instrText xml:space="preserve"> PAGEREF </w:instrText>
            </w:r>
            <w:r>
              <w:rPr>
                <w:rFonts w:ascii="Arial" w:eastAsia="Arial" w:hAnsi="Arial" w:cs="Arial"/>
                <w:b w:val="0"/>
                <w:i w:val="0"/>
                <w:color w:val="0000FF"/>
                <w:sz w:val="18"/>
                <w:u w:val="single"/>
              </w:rPr>
              <w:instrText xml:space="preserve"> </w:instrText>
            </w:r>
            <w:r>
              <w:rPr>
                <w:rFonts w:ascii="Arial" w:eastAsia="Arial" w:hAnsi="Arial" w:cs="Arial"/>
                <w:b w:val="0"/>
                <w:i w:val="0"/>
                <w:color w:val="0000FF"/>
                <w:sz w:val="18"/>
                <w:u w:val="single"/>
              </w:rPr>
              <w:instrText>Section82</w:instrText>
            </w:r>
            <w:r>
              <w:rPr>
                <w:rFonts w:ascii="Arial" w:eastAsia="Arial" w:hAnsi="Arial" w:cs="Arial"/>
                <w:b w:val="0"/>
                <w:i w:val="0"/>
                <w:color w:val="0000FF"/>
                <w:sz w:val="18"/>
                <w:u w:val="single"/>
              </w:rPr>
              <w:instrText xml:space="preserve"> \h</w:instrText>
            </w:r>
            <w:r>
              <w:rPr>
                <w:rFonts w:ascii="Arial" w:eastAsia="Arial" w:hAnsi="Arial" w:cs="Arial"/>
                <w:b w:val="0"/>
                <w:i w:val="0"/>
                <w:color w:val="0000FF"/>
                <w:sz w:val="18"/>
                <w:u w:val="single"/>
              </w:rPr>
              <w:fldChar w:fldCharType="separate"/>
            </w:r>
            <w:r>
              <w:rPr>
                <w:rFonts w:ascii="Arial" w:eastAsia="Arial" w:hAnsi="Arial" w:cs="Arial"/>
                <w:b w:val="0"/>
                <w:i w:val="0"/>
                <w:color w:val="0000FF"/>
                <w:sz w:val="18"/>
                <w:u w:val="single"/>
              </w:rPr>
              <w:t>53</w:t>
            </w:r>
            <w:r>
              <w:rPr>
                <w:rFonts w:ascii="Arial" w:eastAsia="Arial" w:hAnsi="Arial" w:cs="Arial"/>
                <w:b w:val="0"/>
                <w:i w:val="0"/>
                <w:color w:val="0000FF"/>
                <w:sz w:val="18"/>
                <w:u w:val="single"/>
              </w:rPr>
              <w:fldChar w:fldCharType="end"/>
            </w:r>
          </w:p>
        </w:tc>
        <w:tc>
          <w:tcPr>
            <w:tcW w:w="148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35%</w:t>
            </w:r>
          </w:p>
        </w:tc>
        <w:tc>
          <w:tcPr>
            <w:tcW w:w="166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100.0%</w:t>
            </w:r>
          </w:p>
        </w:tc>
        <w:tc>
          <w:tcPr>
            <w:tcW w:w="181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$710,500</w:t>
            </w:r>
          </w:p>
        </w:tc>
      </w:tr>
      <w:tr>
        <w:tblPrEx>
          <w:tblW w:w="10260" w:type="dxa"/>
          <w:tblInd w:w="0" w:type="dxa"/>
          <w:tblLayout w:type="fixed"/>
          <w:tblCellMar>
            <w:left w:w="108" w:type="dxa"/>
            <w:right w:w="108" w:type="dxa"/>
          </w:tblCellMar>
        </w:tblPrEx>
        <w:trPr>
          <w:cantSplit/>
          <w:trHeight w:hRule="exact" w:val="360"/>
        </w:trPr>
        <w:tc>
          <w:tcPr>
            <w:tcW w:w="205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Individual Component</w:t>
            </w:r>
          </w:p>
        </w:tc>
        <w:tc>
          <w:tcPr>
            <w:tcW w:w="3240"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Individual goals detailed below</w:t>
            </w:r>
          </w:p>
        </w:tc>
        <w:tc>
          <w:tcPr>
            <w:tcW w:w="148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20%</w:t>
            </w:r>
          </w:p>
        </w:tc>
        <w:tc>
          <w:tcPr>
            <w:tcW w:w="166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87.9%</w:t>
            </w:r>
          </w:p>
        </w:tc>
        <w:tc>
          <w:tcPr>
            <w:tcW w:w="181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$357,000</w:t>
            </w:r>
          </w:p>
        </w:tc>
      </w:tr>
      <w:tr>
        <w:tblPrEx>
          <w:tblW w:w="10260" w:type="dxa"/>
          <w:tblInd w:w="0" w:type="dxa"/>
          <w:tblLayout w:type="fixed"/>
          <w:tblCellMar>
            <w:left w:w="108" w:type="dxa"/>
            <w:right w:w="108" w:type="dxa"/>
          </w:tblCellMar>
        </w:tblPrEx>
        <w:trPr>
          <w:cantSplit/>
          <w:trHeight w:hRule="exact" w:val="360"/>
        </w:trPr>
        <w:tc>
          <w:tcPr>
            <w:tcW w:w="205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Committee Discretion</w:t>
            </w:r>
          </w:p>
        </w:tc>
        <w:tc>
          <w:tcPr>
            <w:tcW w:w="3240"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No discretion applied</w:t>
            </w:r>
          </w:p>
        </w:tc>
        <w:tc>
          <w:tcPr>
            <w:tcW w:w="148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N/A</w:t>
            </w:r>
          </w:p>
        </w:tc>
        <w:tc>
          <w:tcPr>
            <w:tcW w:w="166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N/A</w:t>
            </w:r>
          </w:p>
        </w:tc>
        <w:tc>
          <w:tcPr>
            <w:tcW w:w="181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w:t>
            </w:r>
          </w:p>
        </w:tc>
      </w:tr>
      <w:tr>
        <w:tblPrEx>
          <w:tblW w:w="10260" w:type="dxa"/>
          <w:tblInd w:w="0" w:type="dxa"/>
          <w:tblLayout w:type="fixed"/>
          <w:tblCellMar>
            <w:left w:w="108" w:type="dxa"/>
            <w:right w:w="108" w:type="dxa"/>
          </w:tblCellMar>
        </w:tblPrEx>
        <w:trPr>
          <w:cantSplit/>
          <w:trHeight w:hRule="exact" w:val="345"/>
        </w:trPr>
        <w:tc>
          <w:tcPr>
            <w:tcW w:w="2055" w:type="dxa"/>
            <w:tcBorders>
              <w:top w:val="single" w:sz="8" w:space="0" w:color="B6B6B6"/>
              <w:left w:val="nil"/>
              <w:bottom w:val="nil"/>
              <w:right w:val="nil"/>
            </w:tcBorders>
            <w:tcMar>
              <w:top w:w="0" w:type="dxa"/>
              <w:left w:w="53" w:type="dxa"/>
              <w:bottom w:w="0" w:type="dxa"/>
              <w:right w:w="53" w:type="dxa"/>
            </w:tcMar>
            <w:vAlign w:val="center"/>
          </w:tcPr>
          <w:p>
            <w:pPr>
              <w:pageBreakBefore w:val="0"/>
              <w:spacing w:before="0" w:after="0" w:line="240" w:lineRule="auto"/>
              <w:jc w:val="left"/>
            </w:pPr>
            <w:r>
              <w:rPr>
                <w:rFonts w:ascii="Arial" w:eastAsia="Arial" w:hAnsi="Arial" w:cs="Arial"/>
                <w:b/>
                <w:i w:val="0"/>
                <w:color w:val="000000"/>
                <w:sz w:val="18"/>
                <w:u w:val="none"/>
              </w:rPr>
              <w:t>Total</w:t>
            </w:r>
          </w:p>
        </w:tc>
        <w:tc>
          <w:tcPr>
            <w:tcW w:w="3240"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p>
        </w:tc>
        <w:tc>
          <w:tcPr>
            <w:tcW w:w="1485"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100%</w:t>
            </w:r>
          </w:p>
        </w:tc>
        <w:tc>
          <w:tcPr>
            <w:tcW w:w="1665"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101%</w:t>
            </w:r>
          </w:p>
        </w:tc>
        <w:tc>
          <w:tcPr>
            <w:tcW w:w="1815"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$2,042,297</w:t>
            </w:r>
          </w:p>
        </w:tc>
      </w:tr>
    </w:tbl>
    <w:p>
      <w:pPr>
        <w:keepNext w:val="0"/>
        <w:keepLines w:val="0"/>
        <w:pageBreakBefore w:val="0"/>
        <w:widowControl/>
        <w:numPr>
          <w:ilvl w:val="0"/>
          <w:numId w:val="0"/>
        </w:numPr>
        <w:spacing w:before="120" w:after="60" w:line="288" w:lineRule="auto"/>
        <w:ind w:left="360" w:right="0" w:hanging="360"/>
        <w:jc w:val="left"/>
        <w:outlineLvl w:val="9"/>
        <w:rPr>
          <w:rFonts w:ascii="Arial" w:eastAsia="Arial" w:hAnsi="Arial" w:cs="Arial"/>
          <w:b w:val="0"/>
          <w:i w:val="0"/>
          <w:color w:val="969698"/>
          <w:sz w:val="16"/>
          <w:u w:val="none"/>
        </w:rPr>
      </w:pPr>
      <w:r>
        <w:rPr>
          <w:rFonts w:ascii="Times New Roman" w:eastAsia="Times New Roman" w:hAnsi="Times New Roman" w:cs="Times New Roman"/>
          <w:b w:val="0"/>
          <w:i w:val="0"/>
          <w:color w:val="FF0090"/>
          <w:sz w:val="12"/>
          <w:u w:val="none"/>
        </w:rPr>
        <w:t xml:space="preserve"> </w:t>
      </w:r>
      <w:r>
        <w:rPr>
          <w:rFonts w:ascii="Times New Roman" w:eastAsia="Times New Roman" w:hAnsi="Times New Roman" w:cs="Times New Roman"/>
          <w:b w:val="0"/>
          <w:i w:val="0"/>
          <w:color w:val="FF0090"/>
          <w:sz w:val="12"/>
          <w:u w:val="none"/>
        </w:rPr>
        <w:t xml:space="preserve"> </w:t>
      </w:r>
      <w:r>
        <w:rPr>
          <w:rFonts w:ascii="Arial" w:eastAsia="Arial" w:hAnsi="Arial" w:cs="Arial"/>
          <w:b w:val="0"/>
          <w:i w:val="0"/>
          <w:color w:val="969698"/>
          <w:sz w:val="16"/>
          <w:u w:val="none"/>
        </w:rPr>
        <w:t xml:space="preserve">(1) </w:t>
      </w:r>
      <w:r>
        <w:rPr>
          <w:rFonts w:ascii="Arial" w:eastAsia="Arial" w:hAnsi="Arial" w:cs="Arial"/>
          <w:b w:val="0"/>
          <w:i w:val="0"/>
          <w:color w:val="969698"/>
          <w:sz w:val="16"/>
          <w:u w:val="none"/>
        </w:rPr>
        <w:tab/>
      </w:r>
      <w:r>
        <w:rPr>
          <w:rFonts w:ascii="Arial" w:eastAsia="Arial" w:hAnsi="Arial" w:cs="Arial"/>
          <w:b w:val="0"/>
          <w:i w:val="0"/>
          <w:color w:val="969698"/>
          <w:sz w:val="16"/>
          <w:u w:val="none"/>
        </w:rPr>
        <w:t>The financial and corporate component multipliers vary by executive as they are each entitled to earn different percentages of their base salary as a bonus depending on the Company’s financial and corporate component achievement. Therefore, the same levels of financial and corporate component achievement translates into slightly different percentages of earned target bonus award opportunity for each executive.</w:t>
      </w: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rPr>
      </w:pP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325"/>
        <w:gridCol w:w="1035"/>
        <w:gridCol w:w="1275"/>
        <w:gridCol w:w="562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525"/>
        </w:trPr>
        <w:tc>
          <w:tcPr>
            <w:tcW w:w="232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Individual Performance Objective</w:t>
            </w:r>
          </w:p>
        </w:tc>
        <w:tc>
          <w:tcPr>
            <w:tcW w:w="103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Weighting</w:t>
            </w:r>
          </w:p>
        </w:tc>
        <w:tc>
          <w:tcPr>
            <w:tcW w:w="127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Achievement Level</w:t>
            </w:r>
          </w:p>
        </w:tc>
        <w:tc>
          <w:tcPr>
            <w:tcW w:w="562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ind w:firstLine="90"/>
              <w:jc w:val="left"/>
            </w:pPr>
            <w:r>
              <w:rPr>
                <w:rFonts w:ascii="Arial" w:eastAsia="Arial" w:hAnsi="Arial" w:cs="Arial"/>
                <w:b/>
                <w:i w:val="0"/>
                <w:color w:val="000000"/>
                <w:sz w:val="18"/>
                <w:u w:val="none"/>
              </w:rPr>
              <w:t>Description of Achievement</w:t>
            </w:r>
          </w:p>
        </w:tc>
      </w:tr>
      <w:tr>
        <w:tblPrEx>
          <w:tblW w:w="10260" w:type="dxa"/>
          <w:tblInd w:w="0" w:type="dxa"/>
          <w:tblLayout w:type="fixed"/>
          <w:tblCellMar>
            <w:left w:w="108" w:type="dxa"/>
            <w:right w:w="108" w:type="dxa"/>
          </w:tblCellMar>
        </w:tblPrEx>
        <w:trPr>
          <w:cantSplit/>
          <w:trHeight w:hRule="exact" w:val="1125"/>
        </w:trPr>
        <w:tc>
          <w:tcPr>
            <w:tcW w:w="232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2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E</w:t>
            </w:r>
            <w:r>
              <w:rPr>
                <w:rFonts w:ascii="Arial" w:eastAsia="Arial" w:hAnsi="Arial" w:cs="Arial"/>
                <w:b w:val="0"/>
                <w:i w:val="0"/>
                <w:sz w:val="18"/>
              </w:rPr>
              <w:t>xecute</w:t>
            </w:r>
            <w:r>
              <w:rPr>
                <w:rFonts w:ascii="Arial" w:eastAsia="Arial" w:hAnsi="Arial" w:cs="Arial"/>
                <w:b w:val="0"/>
                <w:i w:val="0"/>
                <w:sz w:val="18"/>
              </w:rPr>
              <w:t xml:space="preserve"> </w:t>
            </w:r>
            <w:r>
              <w:rPr>
                <w:rFonts w:ascii="Arial" w:eastAsia="Arial" w:hAnsi="Arial" w:cs="Arial"/>
                <w:b w:val="0"/>
                <w:i w:val="0"/>
                <w:sz w:val="18"/>
              </w:rPr>
              <w:t>strate</w:t>
            </w:r>
            <w:r>
              <w:rPr>
                <w:rFonts w:ascii="Arial" w:eastAsia="Arial" w:hAnsi="Arial" w:cs="Arial"/>
                <w:b w:val="0"/>
                <w:i w:val="0"/>
                <w:sz w:val="18"/>
              </w:rPr>
              <w:t xml:space="preserve">gic </w:t>
            </w:r>
            <w:r>
              <w:rPr>
                <w:rFonts w:ascii="Arial" w:eastAsia="Arial" w:hAnsi="Arial" w:cs="Arial"/>
                <w:b w:val="0"/>
                <w:i w:val="0"/>
                <w:sz w:val="18"/>
              </w:rPr>
              <w:t>priorities</w:t>
            </w:r>
            <w:r>
              <w:rPr>
                <w:rFonts w:ascii="Arial" w:eastAsia="Arial" w:hAnsi="Arial" w:cs="Arial"/>
                <w:b w:val="0"/>
                <w:i w:val="0"/>
                <w:sz w:val="18"/>
              </w:rPr>
              <w:t xml:space="preserve"> </w:t>
            </w:r>
          </w:p>
        </w:tc>
        <w:tc>
          <w:tcPr>
            <w:tcW w:w="103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23" w:after="30" w:line="288" w:lineRule="auto"/>
              <w:jc w:val="left"/>
            </w:pPr>
            <w:r>
              <w:rPr>
                <w:rFonts w:ascii="Arial" w:eastAsia="Arial" w:hAnsi="Arial" w:cs="Arial"/>
                <w:b w:val="0"/>
                <w:i w:val="0"/>
                <w:color w:val="000000"/>
                <w:sz w:val="18"/>
                <w:u w:val="none"/>
              </w:rPr>
              <w:t>25%</w:t>
            </w:r>
          </w:p>
        </w:tc>
        <w:tc>
          <w:tcPr>
            <w:tcW w:w="127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23" w:after="30" w:line="288" w:lineRule="auto"/>
              <w:jc w:val="left"/>
            </w:pPr>
            <w:r>
              <w:rPr>
                <w:rFonts w:ascii="Arial" w:eastAsia="Arial" w:hAnsi="Arial" w:cs="Arial"/>
                <w:b w:val="0"/>
                <w:i w:val="0"/>
                <w:color w:val="000000"/>
                <w:sz w:val="18"/>
                <w:u w:val="none"/>
              </w:rPr>
              <w:t>Target</w:t>
            </w:r>
          </w:p>
        </w:tc>
        <w:tc>
          <w:tcPr>
            <w:tcW w:w="562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2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75"/>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Le</w:t>
            </w:r>
            <w:r>
              <w:rPr>
                <w:rFonts w:ascii="Arial" w:eastAsia="Arial" w:hAnsi="Arial" w:cs="Arial"/>
                <w:b w:val="0"/>
                <w:i w:val="0"/>
                <w:sz w:val="18"/>
              </w:rPr>
              <w:t xml:space="preserve">d </w:t>
            </w:r>
            <w:r>
              <w:rPr>
                <w:rFonts w:ascii="Arial" w:eastAsia="Arial" w:hAnsi="Arial" w:cs="Arial"/>
                <w:b w:val="0"/>
                <w:i w:val="0"/>
                <w:sz w:val="18"/>
              </w:rPr>
              <w:t>comprehensive</w:t>
            </w:r>
            <w:r>
              <w:rPr>
                <w:rFonts w:ascii="Arial" w:eastAsia="Arial" w:hAnsi="Arial" w:cs="Arial"/>
                <w:b w:val="0"/>
                <w:i w:val="0"/>
                <w:sz w:val="18"/>
              </w:rPr>
              <w:t xml:space="preserve"> </w:t>
            </w:r>
            <w:r>
              <w:rPr>
                <w:rFonts w:ascii="Arial" w:eastAsia="Arial" w:hAnsi="Arial" w:cs="Arial"/>
                <w:b w:val="0"/>
                <w:i w:val="0"/>
                <w:sz w:val="18"/>
              </w:rPr>
              <w:t>corporate strategy re</w:t>
            </w:r>
            <w:r>
              <w:rPr>
                <w:rFonts w:ascii="Arial" w:eastAsia="Arial" w:hAnsi="Arial" w:cs="Arial"/>
                <w:b w:val="0"/>
                <w:i w:val="0"/>
                <w:sz w:val="18"/>
              </w:rPr>
              <w:t>view</w:t>
            </w:r>
            <w:r>
              <w:rPr>
                <w:rFonts w:ascii="Arial" w:eastAsia="Arial" w:hAnsi="Arial" w:cs="Arial"/>
                <w:b w:val="0"/>
                <w:i w:val="0"/>
                <w:sz w:val="18"/>
              </w:rPr>
              <w:t xml:space="preserve"> leading to Board recommendations, including pursuit of financial strength rating for Bermuda subsidiary (</w:t>
            </w:r>
            <w:r>
              <w:rPr>
                <w:rFonts w:ascii="Arial" w:eastAsia="Arial" w:hAnsi="Arial" w:cs="Arial"/>
                <w:b w:val="0"/>
                <w:i w:val="0"/>
                <w:sz w:val="18"/>
              </w:rPr>
              <w:t>'</w:t>
            </w:r>
            <w:r>
              <w:rPr>
                <w:rFonts w:ascii="Arial" w:eastAsia="Arial" w:hAnsi="Arial" w:cs="Arial"/>
                <w:b w:val="0"/>
                <w:i w:val="0"/>
                <w:sz w:val="18"/>
              </w:rPr>
              <w:t>A</w:t>
            </w:r>
            <w:r>
              <w:rPr>
                <w:rFonts w:ascii="Arial" w:eastAsia="Arial" w:hAnsi="Arial" w:cs="Arial"/>
                <w:b w:val="0"/>
                <w:i w:val="0"/>
                <w:sz w:val="18"/>
              </w:rPr>
              <w:t>'</w:t>
            </w:r>
            <w:r>
              <w:rPr>
                <w:rFonts w:ascii="Arial" w:eastAsia="Arial" w:hAnsi="Arial" w:cs="Arial"/>
                <w:b w:val="0"/>
                <w:i w:val="0"/>
                <w:sz w:val="18"/>
              </w:rPr>
              <w:t xml:space="preserve"> </w:t>
            </w:r>
            <w:r>
              <w:rPr>
                <w:rFonts w:ascii="Arial" w:eastAsia="Arial" w:hAnsi="Arial" w:cs="Arial"/>
                <w:b w:val="0"/>
                <w:i w:val="0"/>
                <w:sz w:val="18"/>
              </w:rPr>
              <w:t xml:space="preserve">rating confirmed by S&amp;P </w:t>
            </w:r>
            <w:r>
              <w:rPr>
                <w:rFonts w:ascii="Arial" w:eastAsia="Arial" w:hAnsi="Arial" w:cs="Arial"/>
                <w:b w:val="0"/>
                <w:i w:val="0"/>
                <w:sz w:val="18"/>
              </w:rPr>
              <w:t>in the first quarter of 2024)</w:t>
            </w:r>
            <w:r>
              <w:rPr>
                <w:rFonts w:ascii="Arial" w:eastAsia="Arial" w:hAnsi="Arial" w:cs="Arial"/>
                <w:b w:val="0"/>
                <w:i w:val="0"/>
                <w:sz w:val="18"/>
              </w:rPr>
              <w:t xml:space="preserve"> an</w:t>
            </w:r>
            <w:r>
              <w:rPr>
                <w:rFonts w:ascii="Arial" w:eastAsia="Arial" w:hAnsi="Arial" w:cs="Arial"/>
                <w:b w:val="0"/>
                <w:i w:val="0"/>
                <w:sz w:val="18"/>
              </w:rPr>
              <w:t>d improve</w:t>
            </w:r>
            <w:r>
              <w:rPr>
                <w:rFonts w:ascii="Arial" w:eastAsia="Arial" w:hAnsi="Arial" w:cs="Arial"/>
                <w:b w:val="0"/>
                <w:i w:val="0"/>
                <w:sz w:val="18"/>
              </w:rPr>
              <w:t>d liquidity forecasts</w:t>
            </w:r>
            <w:r>
              <w:rPr>
                <w:rFonts w:ascii="Arial" w:eastAsia="Arial" w:hAnsi="Arial" w:cs="Arial"/>
                <w:b w:val="0"/>
                <w:i w:val="0"/>
                <w:sz w:val="18"/>
              </w:rPr>
              <w:t>.</w:t>
            </w:r>
          </w:p>
          <w:p>
            <w:pPr>
              <w:pageBreakBefore w:val="0"/>
              <w:numPr>
                <w:ilvl w:val="0"/>
                <w:numId w:val="276"/>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D</w:t>
            </w:r>
            <w:r>
              <w:rPr>
                <w:rFonts w:ascii="Arial" w:eastAsia="Arial" w:hAnsi="Arial" w:cs="Arial"/>
                <w:b w:val="0"/>
                <w:i w:val="0"/>
                <w:sz w:val="18"/>
              </w:rPr>
              <w:t xml:space="preserve">eveloped </w:t>
            </w:r>
            <w:r>
              <w:rPr>
                <w:rFonts w:ascii="Arial" w:eastAsia="Arial" w:hAnsi="Arial" w:cs="Arial"/>
                <w:b w:val="0"/>
                <w:i w:val="0"/>
                <w:sz w:val="18"/>
              </w:rPr>
              <w:t>action</w:t>
            </w:r>
            <w:r>
              <w:rPr>
                <w:rFonts w:ascii="Arial" w:eastAsia="Arial" w:hAnsi="Arial" w:cs="Arial"/>
                <w:b w:val="0"/>
                <w:i w:val="0"/>
                <w:sz w:val="18"/>
              </w:rPr>
              <w:t xml:space="preserve"> plan</w:t>
            </w:r>
            <w:r>
              <w:rPr>
                <w:rFonts w:ascii="Arial" w:eastAsia="Arial" w:hAnsi="Arial" w:cs="Arial"/>
                <w:b w:val="0"/>
                <w:i w:val="0"/>
                <w:sz w:val="18"/>
              </w:rPr>
              <w:t xml:space="preserve"> </w:t>
            </w:r>
            <w:r>
              <w:rPr>
                <w:rFonts w:ascii="Arial" w:eastAsia="Arial" w:hAnsi="Arial" w:cs="Arial"/>
                <w:b w:val="0"/>
                <w:i w:val="0"/>
                <w:sz w:val="18"/>
              </w:rPr>
              <w:t>to address</w:t>
            </w:r>
            <w:r>
              <w:rPr>
                <w:rFonts w:ascii="Arial" w:eastAsia="Arial" w:hAnsi="Arial" w:cs="Arial"/>
                <w:b w:val="0"/>
                <w:i w:val="0"/>
                <w:sz w:val="18"/>
              </w:rPr>
              <w:t xml:space="preserve"> </w:t>
            </w:r>
            <w:r>
              <w:rPr>
                <w:rFonts w:ascii="Arial" w:eastAsia="Arial" w:hAnsi="Arial" w:cs="Arial"/>
                <w:b w:val="0"/>
                <w:i w:val="0"/>
                <w:sz w:val="18"/>
              </w:rPr>
              <w:t>s</w:t>
            </w:r>
            <w:r>
              <w:rPr>
                <w:rFonts w:ascii="Arial" w:eastAsia="Arial" w:hAnsi="Arial" w:cs="Arial"/>
                <w:b w:val="0"/>
                <w:i w:val="0"/>
                <w:sz w:val="18"/>
              </w:rPr>
              <w:t>calability</w:t>
            </w:r>
            <w:r>
              <w:rPr>
                <w:rFonts w:ascii="Arial" w:eastAsia="Arial" w:hAnsi="Arial" w:cs="Arial"/>
                <w:b w:val="0"/>
                <w:i w:val="0"/>
                <w:sz w:val="18"/>
              </w:rPr>
              <w:t xml:space="preserve"> initiatives.</w:t>
            </w:r>
          </w:p>
          <w:p>
            <w:pPr>
              <w:pageBreakBefore w:val="0"/>
              <w:numPr>
                <w:ilvl w:val="0"/>
                <w:numId w:val="0"/>
              </w:numPr>
              <w:spacing w:before="0" w:after="30" w:line="240" w:lineRule="auto"/>
              <w:ind w:left="-450" w:right="0" w:firstLine="180"/>
              <w:jc w:val="left"/>
              <w:outlineLvl w:val="9"/>
              <w:rPr>
                <w:rFonts w:ascii="Arial" w:eastAsia="Arial" w:hAnsi="Arial" w:cs="Arial"/>
                <w:b w:val="0"/>
                <w:i w:val="0"/>
                <w:sz w:val="18"/>
              </w:rPr>
            </w:pPr>
            <w:r>
              <w:rPr>
                <w:rFonts w:ascii="Arial" w:eastAsia="Arial" w:hAnsi="Arial" w:cs="Arial"/>
                <w:b w:val="0"/>
                <w:i w:val="0"/>
                <w:sz w:val="18"/>
              </w:rPr>
              <w:tab/>
            </w:r>
            <w:r>
              <w:rPr>
                <w:rFonts w:ascii="Arial" w:eastAsia="Arial" w:hAnsi="Arial" w:cs="Arial"/>
                <w:b w:val="0"/>
                <w:i w:val="0"/>
                <w:sz w:val="18"/>
              </w:rPr>
              <w:tab/>
            </w:r>
          </w:p>
        </w:tc>
      </w:tr>
      <w:tr>
        <w:tblPrEx>
          <w:tblW w:w="10260" w:type="dxa"/>
          <w:tblInd w:w="0" w:type="dxa"/>
          <w:tblLayout w:type="fixed"/>
          <w:tblCellMar>
            <w:left w:w="108" w:type="dxa"/>
            <w:right w:w="108" w:type="dxa"/>
          </w:tblCellMar>
        </w:tblPrEx>
        <w:trPr>
          <w:cantSplit/>
          <w:trHeight w:hRule="exact" w:val="885"/>
        </w:trPr>
        <w:tc>
          <w:tcPr>
            <w:tcW w:w="23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Provide </w:t>
            </w:r>
            <w:r>
              <w:rPr>
                <w:rFonts w:ascii="Arial" w:eastAsia="Arial" w:hAnsi="Arial" w:cs="Arial"/>
                <w:b w:val="0"/>
                <w:i w:val="0"/>
                <w:sz w:val="18"/>
              </w:rPr>
              <w:t>f</w:t>
            </w:r>
            <w:r>
              <w:rPr>
                <w:rFonts w:ascii="Arial" w:eastAsia="Arial" w:hAnsi="Arial" w:cs="Arial"/>
                <w:b w:val="0"/>
                <w:i w:val="0"/>
                <w:sz w:val="18"/>
              </w:rPr>
              <w:t>inance</w:t>
            </w:r>
            <w:r>
              <w:rPr>
                <w:rFonts w:ascii="Arial" w:eastAsia="Arial" w:hAnsi="Arial" w:cs="Arial"/>
                <w:b w:val="0"/>
                <w:i w:val="0"/>
                <w:sz w:val="18"/>
              </w:rPr>
              <w:t xml:space="preserve"> leadership </w:t>
            </w:r>
            <w:r>
              <w:rPr>
                <w:rFonts w:ascii="Arial" w:eastAsia="Arial" w:hAnsi="Arial" w:cs="Arial"/>
                <w:b w:val="0"/>
                <w:i w:val="0"/>
                <w:sz w:val="18"/>
              </w:rPr>
              <w:t xml:space="preserve"> transition</w:t>
            </w:r>
            <w:r>
              <w:rPr>
                <w:rFonts w:ascii="Arial" w:eastAsia="Arial" w:hAnsi="Arial" w:cs="Arial"/>
                <w:b w:val="0"/>
                <w:i w:val="0"/>
                <w:sz w:val="18"/>
              </w:rPr>
              <w:t xml:space="preserve"> and </w:t>
            </w:r>
            <w:r>
              <w:rPr>
                <w:rFonts w:ascii="Arial" w:eastAsia="Arial" w:hAnsi="Arial" w:cs="Arial"/>
                <w:b w:val="0"/>
                <w:i w:val="0"/>
                <w:sz w:val="18"/>
              </w:rPr>
              <w:t xml:space="preserve">oversee </w:t>
            </w:r>
            <w:r>
              <w:rPr>
                <w:rFonts w:ascii="Arial" w:eastAsia="Arial" w:hAnsi="Arial" w:cs="Arial"/>
                <w:b w:val="0"/>
                <w:i w:val="0"/>
                <w:sz w:val="18"/>
              </w:rPr>
              <w:t>d</w:t>
            </w:r>
            <w:r>
              <w:rPr>
                <w:rFonts w:ascii="Arial" w:eastAsia="Arial" w:hAnsi="Arial" w:cs="Arial"/>
                <w:b w:val="0"/>
                <w:i w:val="0"/>
                <w:sz w:val="18"/>
              </w:rPr>
              <w:t xml:space="preserve">elivery of finance </w:t>
            </w:r>
            <w:r>
              <w:rPr>
                <w:rFonts w:ascii="Arial" w:eastAsia="Arial" w:hAnsi="Arial" w:cs="Arial"/>
                <w:b w:val="0"/>
                <w:i w:val="0"/>
                <w:sz w:val="18"/>
              </w:rPr>
              <w:t xml:space="preserve">operational </w:t>
            </w:r>
            <w:r>
              <w:rPr>
                <w:rFonts w:ascii="Arial" w:eastAsia="Arial" w:hAnsi="Arial" w:cs="Arial"/>
                <w:b w:val="0"/>
                <w:i w:val="0"/>
                <w:sz w:val="18"/>
              </w:rPr>
              <w:t>initiatives</w:t>
            </w:r>
          </w:p>
        </w:tc>
        <w:tc>
          <w:tcPr>
            <w:tcW w:w="103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25%</w:t>
            </w:r>
          </w:p>
        </w:tc>
        <w:tc>
          <w:tcPr>
            <w:tcW w:w="127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Threshold</w:t>
            </w:r>
          </w:p>
        </w:tc>
        <w:tc>
          <w:tcPr>
            <w:tcW w:w="56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73"/>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Completed successful CFO tenure</w:t>
            </w:r>
            <w:r>
              <w:rPr>
                <w:rFonts w:ascii="Arial" w:eastAsia="Arial" w:hAnsi="Arial" w:cs="Arial"/>
                <w:b w:val="0"/>
                <w:i w:val="0"/>
                <w:sz w:val="18"/>
              </w:rPr>
              <w:t xml:space="preserve">, </w:t>
            </w:r>
            <w:r>
              <w:rPr>
                <w:rFonts w:ascii="Arial" w:eastAsia="Arial" w:hAnsi="Arial" w:cs="Arial"/>
                <w:b w:val="0"/>
                <w:i w:val="0"/>
                <w:sz w:val="18"/>
              </w:rPr>
              <w:t>developed successor,</w:t>
            </w:r>
            <w:r>
              <w:rPr>
                <w:rFonts w:ascii="Arial" w:eastAsia="Arial" w:hAnsi="Arial" w:cs="Arial"/>
                <w:b w:val="0"/>
                <w:i w:val="0"/>
                <w:sz w:val="18"/>
              </w:rPr>
              <w:t xml:space="preserve"> and </w:t>
            </w:r>
            <w:r>
              <w:rPr>
                <w:rFonts w:ascii="Arial" w:eastAsia="Arial" w:hAnsi="Arial" w:cs="Arial"/>
                <w:b w:val="0"/>
                <w:i w:val="0"/>
                <w:sz w:val="18"/>
              </w:rPr>
              <w:t xml:space="preserve">transitioned </w:t>
            </w:r>
            <w:r>
              <w:rPr>
                <w:rFonts w:ascii="Arial" w:eastAsia="Arial" w:hAnsi="Arial" w:cs="Arial"/>
                <w:b w:val="0"/>
                <w:i w:val="0"/>
                <w:sz w:val="18"/>
              </w:rPr>
              <w:t>role</w:t>
            </w:r>
            <w:r>
              <w:rPr>
                <w:rFonts w:ascii="Arial" w:eastAsia="Arial" w:hAnsi="Arial" w:cs="Arial"/>
                <w:b w:val="0"/>
                <w:i w:val="0"/>
                <w:sz w:val="18"/>
              </w:rPr>
              <w:t xml:space="preserve">. </w:t>
            </w:r>
          </w:p>
          <w:p>
            <w:pPr>
              <w:pageBreakBefore w:val="0"/>
              <w:numPr>
                <w:ilvl w:val="0"/>
                <w:numId w:val="274"/>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Threshold level of progress</w:t>
            </w:r>
            <w:r>
              <w:rPr>
                <w:rFonts w:ascii="Arial" w:eastAsia="Arial" w:hAnsi="Arial" w:cs="Arial"/>
                <w:b w:val="0"/>
                <w:i w:val="0"/>
                <w:sz w:val="18"/>
              </w:rPr>
              <w:t xml:space="preserve"> achieved for</w:t>
            </w:r>
            <w:r>
              <w:rPr>
                <w:rFonts w:ascii="Arial" w:eastAsia="Arial" w:hAnsi="Arial" w:cs="Arial"/>
                <w:b w:val="0"/>
                <w:i w:val="0"/>
                <w:sz w:val="18"/>
              </w:rPr>
              <w:t xml:space="preserve"> finance</w:t>
            </w:r>
            <w:r>
              <w:rPr>
                <w:rFonts w:ascii="Arial" w:eastAsia="Arial" w:hAnsi="Arial" w:cs="Arial"/>
                <w:b w:val="0"/>
                <w:i w:val="0"/>
                <w:sz w:val="18"/>
              </w:rPr>
              <w:t xml:space="preserve"> operational initiatives</w:t>
            </w:r>
            <w:r>
              <w:rPr>
                <w:rFonts w:ascii="Arial" w:eastAsia="Arial" w:hAnsi="Arial" w:cs="Arial"/>
                <w:b w:val="0"/>
                <w:i w:val="0"/>
                <w:sz w:val="18"/>
              </w:rPr>
              <w:t>.</w:t>
            </w:r>
          </w:p>
        </w:tc>
      </w:tr>
      <w:tr>
        <w:tblPrEx>
          <w:tblW w:w="10260" w:type="dxa"/>
          <w:tblInd w:w="0" w:type="dxa"/>
          <w:tblLayout w:type="fixed"/>
          <w:tblCellMar>
            <w:left w:w="108" w:type="dxa"/>
            <w:right w:w="108" w:type="dxa"/>
          </w:tblCellMar>
        </w:tblPrEx>
        <w:trPr>
          <w:cantSplit/>
          <w:trHeight w:hRule="exact" w:val="540"/>
        </w:trPr>
        <w:tc>
          <w:tcPr>
            <w:tcW w:w="23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Drive </w:t>
            </w:r>
            <w:r>
              <w:rPr>
                <w:rFonts w:ascii="Arial" w:eastAsia="Arial" w:hAnsi="Arial" w:cs="Arial"/>
                <w:b w:val="0"/>
                <w:i w:val="0"/>
                <w:sz w:val="18"/>
              </w:rPr>
              <w:t>I</w:t>
            </w:r>
            <w:r>
              <w:rPr>
                <w:rFonts w:ascii="Arial" w:eastAsia="Arial" w:hAnsi="Arial" w:cs="Arial"/>
                <w:b w:val="0"/>
                <w:i w:val="0"/>
                <w:sz w:val="18"/>
              </w:rPr>
              <w:t xml:space="preserve">nternal Audit </w:t>
            </w:r>
            <w:r>
              <w:rPr>
                <w:rFonts w:ascii="Arial" w:eastAsia="Arial" w:hAnsi="Arial" w:cs="Arial"/>
                <w:b w:val="0"/>
                <w:i w:val="0"/>
                <w:sz w:val="18"/>
              </w:rPr>
              <w:t xml:space="preserve">functional </w:t>
            </w:r>
            <w:r>
              <w:rPr>
                <w:rFonts w:ascii="Arial" w:eastAsia="Arial" w:hAnsi="Arial" w:cs="Arial"/>
                <w:b w:val="0"/>
                <w:i w:val="0"/>
                <w:sz w:val="18"/>
              </w:rPr>
              <w:t>enhancements</w:t>
            </w:r>
          </w:p>
        </w:tc>
        <w:tc>
          <w:tcPr>
            <w:tcW w:w="103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10%</w:t>
            </w:r>
          </w:p>
        </w:tc>
        <w:tc>
          <w:tcPr>
            <w:tcW w:w="127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72"/>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Executed</w:t>
            </w:r>
            <w:r>
              <w:rPr>
                <w:rFonts w:ascii="Arial" w:eastAsia="Arial" w:hAnsi="Arial" w:cs="Arial"/>
                <w:b w:val="0"/>
                <w:i w:val="0"/>
                <w:sz w:val="18"/>
              </w:rPr>
              <w:t xml:space="preserve"> </w:t>
            </w:r>
            <w:r>
              <w:rPr>
                <w:rFonts w:ascii="Arial" w:eastAsia="Arial" w:hAnsi="Arial" w:cs="Arial"/>
                <w:b w:val="0"/>
                <w:i w:val="0"/>
                <w:sz w:val="18"/>
              </w:rPr>
              <w:t>rev</w:t>
            </w:r>
            <w:r>
              <w:rPr>
                <w:rFonts w:ascii="Arial" w:eastAsia="Arial" w:hAnsi="Arial" w:cs="Arial"/>
                <w:b w:val="0"/>
                <w:i w:val="0"/>
                <w:sz w:val="18"/>
              </w:rPr>
              <w:t xml:space="preserve">iew of internal </w:t>
            </w:r>
            <w:r>
              <w:rPr>
                <w:rFonts w:ascii="Arial" w:eastAsia="Arial" w:hAnsi="Arial" w:cs="Arial"/>
                <w:b w:val="0"/>
                <w:i w:val="0"/>
                <w:sz w:val="18"/>
              </w:rPr>
              <w:t>a</w:t>
            </w:r>
            <w:r>
              <w:rPr>
                <w:rFonts w:ascii="Arial" w:eastAsia="Arial" w:hAnsi="Arial" w:cs="Arial"/>
                <w:b w:val="0"/>
                <w:i w:val="0"/>
                <w:sz w:val="18"/>
              </w:rPr>
              <w:t>udit function target operating model</w:t>
            </w:r>
            <w:r>
              <w:rPr>
                <w:rFonts w:ascii="Arial" w:eastAsia="Arial" w:hAnsi="Arial" w:cs="Arial"/>
                <w:b w:val="0"/>
                <w:i w:val="0"/>
                <w:sz w:val="18"/>
              </w:rPr>
              <w:t xml:space="preserve"> and </w:t>
            </w:r>
            <w:r>
              <w:rPr>
                <w:rFonts w:ascii="Arial" w:eastAsia="Arial" w:hAnsi="Arial" w:cs="Arial"/>
                <w:b w:val="0"/>
                <w:i w:val="0"/>
                <w:sz w:val="18"/>
              </w:rPr>
              <w:t>the recruitment of a new chief audit executive</w:t>
            </w:r>
            <w:r>
              <w:rPr>
                <w:rFonts w:ascii="Arial" w:eastAsia="Arial" w:hAnsi="Arial" w:cs="Arial"/>
                <w:b w:val="0"/>
                <w:i w:val="0"/>
                <w:sz w:val="18"/>
              </w:rPr>
              <w:t>.</w:t>
            </w:r>
            <w:r>
              <w:rPr>
                <w:rFonts w:ascii="Arial" w:eastAsia="Arial" w:hAnsi="Arial" w:cs="Arial"/>
                <w:b w:val="0"/>
                <w:i w:val="0"/>
                <w:sz w:val="18"/>
              </w:rPr>
              <w:t xml:space="preserve"> </w:t>
            </w:r>
          </w:p>
          <w:p>
            <w:pPr>
              <w:pageBreakBefore w:val="0"/>
              <w:numPr>
                <w:ilvl w:val="0"/>
                <w:numId w:val="0"/>
              </w:numPr>
              <w:spacing w:before="0" w:after="30" w:line="240" w:lineRule="auto"/>
              <w:ind w:left="-450" w:right="0" w:firstLine="0"/>
              <w:jc w:val="left"/>
              <w:outlineLvl w:val="9"/>
              <w:rPr>
                <w:rFonts w:ascii="Arial" w:eastAsia="Arial" w:hAnsi="Arial" w:cs="Arial"/>
                <w:b w:val="0"/>
                <w:i w:val="0"/>
                <w:sz w:val="18"/>
              </w:rPr>
            </w:pPr>
          </w:p>
        </w:tc>
      </w:tr>
      <w:tr>
        <w:tblPrEx>
          <w:tblW w:w="10260" w:type="dxa"/>
          <w:tblInd w:w="0" w:type="dxa"/>
          <w:tblLayout w:type="fixed"/>
          <w:tblCellMar>
            <w:left w:w="108" w:type="dxa"/>
            <w:right w:w="108" w:type="dxa"/>
          </w:tblCellMar>
        </w:tblPrEx>
        <w:trPr>
          <w:cantSplit/>
          <w:trHeight w:hRule="exact" w:val="885"/>
        </w:trPr>
        <w:tc>
          <w:tcPr>
            <w:tcW w:w="23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C</w:t>
            </w:r>
            <w:r>
              <w:rPr>
                <w:rFonts w:ascii="Arial" w:eastAsia="Arial" w:hAnsi="Arial" w:cs="Arial"/>
                <w:b w:val="0"/>
                <w:i w:val="0"/>
                <w:sz w:val="18"/>
              </w:rPr>
              <w:t>o-</w:t>
            </w:r>
            <w:r>
              <w:rPr>
                <w:rFonts w:ascii="Arial" w:eastAsia="Arial" w:hAnsi="Arial" w:cs="Arial"/>
                <w:b w:val="0"/>
                <w:i w:val="0"/>
                <w:sz w:val="18"/>
              </w:rPr>
              <w:t>sponsor delivery of Governance Risk and Compliance s</w:t>
            </w:r>
            <w:r>
              <w:rPr>
                <w:rFonts w:ascii="Arial" w:eastAsia="Arial" w:hAnsi="Arial" w:cs="Arial"/>
                <w:b w:val="0"/>
                <w:i w:val="0"/>
                <w:sz w:val="18"/>
              </w:rPr>
              <w:t>ystem sol</w:t>
            </w:r>
            <w:r>
              <w:rPr>
                <w:rFonts w:ascii="Arial" w:eastAsia="Arial" w:hAnsi="Arial" w:cs="Arial"/>
                <w:b w:val="0"/>
                <w:i w:val="0"/>
                <w:sz w:val="18"/>
              </w:rPr>
              <w:t>ution</w:t>
            </w:r>
          </w:p>
        </w:tc>
        <w:tc>
          <w:tcPr>
            <w:tcW w:w="103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5%</w:t>
            </w:r>
          </w:p>
        </w:tc>
        <w:tc>
          <w:tcPr>
            <w:tcW w:w="127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71"/>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Progressed the selection and implementation of a Governance, Risk and Compliance system to serve as a single integrated platform for risk, controls, compliance, and internal audit</w:t>
            </w:r>
            <w:r>
              <w:rPr>
                <w:rFonts w:ascii="Arial" w:eastAsia="Arial" w:hAnsi="Arial" w:cs="Arial"/>
                <w:b w:val="0"/>
                <w:i w:val="0"/>
                <w:sz w:val="18"/>
              </w:rPr>
              <w:t>.</w:t>
            </w:r>
            <w:r>
              <w:rPr>
                <w:rFonts w:ascii="Arial" w:eastAsia="Arial" w:hAnsi="Arial" w:cs="Arial"/>
                <w:b w:val="0"/>
                <w:i w:val="0"/>
                <w:sz w:val="18"/>
              </w:rPr>
              <w:tab/>
            </w:r>
          </w:p>
          <w:p>
            <w:pPr>
              <w:pageBreakBefore w:val="0"/>
              <w:numPr>
                <w:ilvl w:val="0"/>
                <w:numId w:val="0"/>
              </w:numPr>
              <w:spacing w:before="0" w:after="30" w:line="240" w:lineRule="auto"/>
              <w:ind w:left="-450" w:right="0" w:firstLine="180"/>
              <w:jc w:val="left"/>
              <w:outlineLvl w:val="9"/>
              <w:rPr>
                <w:rFonts w:ascii="Arial" w:eastAsia="Arial" w:hAnsi="Arial" w:cs="Arial"/>
                <w:b w:val="0"/>
                <w:i w:val="0"/>
                <w:sz w:val="18"/>
              </w:rPr>
            </w:pPr>
            <w:r>
              <w:rPr>
                <w:rFonts w:ascii="Arial" w:eastAsia="Arial" w:hAnsi="Arial" w:cs="Arial"/>
                <w:b w:val="0"/>
                <w:i w:val="0"/>
                <w:sz w:val="18"/>
              </w:rPr>
              <w:tab/>
            </w:r>
          </w:p>
        </w:tc>
      </w:tr>
      <w:tr>
        <w:tblPrEx>
          <w:tblW w:w="10260" w:type="dxa"/>
          <w:tblInd w:w="0" w:type="dxa"/>
          <w:tblLayout w:type="fixed"/>
          <w:tblCellMar>
            <w:left w:w="108" w:type="dxa"/>
            <w:right w:w="108" w:type="dxa"/>
          </w:tblCellMar>
        </w:tblPrEx>
        <w:trPr>
          <w:cantSplit/>
          <w:trHeight w:hRule="exact" w:val="1020"/>
        </w:trPr>
        <w:tc>
          <w:tcPr>
            <w:tcW w:w="23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Manage executive </w:t>
            </w:r>
            <w:r>
              <w:rPr>
                <w:rFonts w:ascii="Arial" w:eastAsia="Arial" w:hAnsi="Arial" w:cs="Arial"/>
                <w:b w:val="0"/>
                <w:i w:val="0"/>
                <w:sz w:val="18"/>
              </w:rPr>
              <w:t>team a</w:t>
            </w:r>
            <w:r>
              <w:rPr>
                <w:rFonts w:ascii="Arial" w:eastAsia="Arial" w:hAnsi="Arial" w:cs="Arial"/>
                <w:b w:val="0"/>
                <w:i w:val="0"/>
                <w:sz w:val="18"/>
              </w:rPr>
              <w:t>nd deliver</w:t>
            </w:r>
            <w:r>
              <w:rPr>
                <w:rFonts w:ascii="Arial" w:eastAsia="Arial" w:hAnsi="Arial" w:cs="Arial"/>
                <w:b w:val="0"/>
                <w:i w:val="0"/>
                <w:sz w:val="18"/>
              </w:rPr>
              <w:t xml:space="preserve"> updated operating committee structure and succession plans</w:t>
            </w:r>
          </w:p>
        </w:tc>
        <w:tc>
          <w:tcPr>
            <w:tcW w:w="103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5%</w:t>
            </w:r>
          </w:p>
        </w:tc>
        <w:tc>
          <w:tcPr>
            <w:tcW w:w="127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69"/>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 xml:space="preserve">Drove </w:t>
            </w:r>
            <w:r>
              <w:rPr>
                <w:rFonts w:ascii="Arial" w:eastAsia="Arial" w:hAnsi="Arial" w:cs="Arial"/>
                <w:b w:val="0"/>
                <w:i w:val="0"/>
                <w:sz w:val="18"/>
              </w:rPr>
              <w:t xml:space="preserve">engagement </w:t>
            </w:r>
            <w:r>
              <w:rPr>
                <w:rFonts w:ascii="Arial" w:eastAsia="Arial" w:hAnsi="Arial" w:cs="Arial"/>
                <w:b w:val="0"/>
                <w:i w:val="0"/>
                <w:sz w:val="18"/>
              </w:rPr>
              <w:t xml:space="preserve">and </w:t>
            </w:r>
            <w:r>
              <w:rPr>
                <w:rFonts w:ascii="Arial" w:eastAsia="Arial" w:hAnsi="Arial" w:cs="Arial"/>
                <w:b w:val="0"/>
                <w:i w:val="0"/>
                <w:sz w:val="18"/>
              </w:rPr>
              <w:t xml:space="preserve">strong reporting </w:t>
            </w:r>
            <w:r>
              <w:rPr>
                <w:rFonts w:ascii="Arial" w:eastAsia="Arial" w:hAnsi="Arial" w:cs="Arial"/>
                <w:b w:val="0"/>
                <w:i w:val="0"/>
                <w:sz w:val="18"/>
              </w:rPr>
              <w:t>on executive team objectives</w:t>
            </w:r>
            <w:r>
              <w:rPr>
                <w:rFonts w:ascii="Arial" w:eastAsia="Arial" w:hAnsi="Arial" w:cs="Arial"/>
                <w:b w:val="0"/>
                <w:i w:val="0"/>
                <w:sz w:val="18"/>
              </w:rPr>
              <w:t>.</w:t>
            </w:r>
          </w:p>
          <w:p>
            <w:pPr>
              <w:pageBreakBefore w:val="0"/>
              <w:numPr>
                <w:ilvl w:val="0"/>
                <w:numId w:val="270"/>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Improved operating gov</w:t>
            </w:r>
            <w:r>
              <w:rPr>
                <w:rFonts w:ascii="Arial" w:eastAsia="Arial" w:hAnsi="Arial" w:cs="Arial"/>
                <w:b w:val="0"/>
                <w:i w:val="0"/>
                <w:sz w:val="18"/>
              </w:rPr>
              <w:t>ernance and communication structure by encompassing wider leadership team, and launching assurance</w:t>
            </w:r>
            <w:r>
              <w:rPr>
                <w:rFonts w:ascii="Arial" w:eastAsia="Arial" w:hAnsi="Arial" w:cs="Arial"/>
                <w:b w:val="0"/>
                <w:i w:val="0"/>
                <w:sz w:val="18"/>
              </w:rPr>
              <w:t xml:space="preserve"> and finance </w:t>
            </w:r>
            <w:r>
              <w:rPr>
                <w:rFonts w:ascii="Arial" w:eastAsia="Arial" w:hAnsi="Arial" w:cs="Arial"/>
                <w:b w:val="0"/>
                <w:i w:val="0"/>
                <w:sz w:val="18"/>
              </w:rPr>
              <w:t>executive operating</w:t>
            </w:r>
            <w:r>
              <w:rPr>
                <w:rFonts w:ascii="Arial" w:eastAsia="Arial" w:hAnsi="Arial" w:cs="Arial"/>
                <w:b w:val="0"/>
                <w:i w:val="0"/>
                <w:sz w:val="18"/>
              </w:rPr>
              <w:t xml:space="preserve"> committees.</w:t>
            </w:r>
          </w:p>
          <w:p>
            <w:pPr>
              <w:pageBreakBefore w:val="0"/>
              <w:numPr>
                <w:ilvl w:val="0"/>
                <w:numId w:val="0"/>
              </w:numPr>
              <w:spacing w:before="0" w:after="0" w:line="240" w:lineRule="auto"/>
              <w:ind w:left="-450" w:right="0" w:firstLine="0"/>
              <w:jc w:val="left"/>
              <w:outlineLvl w:val="9"/>
              <w:rPr>
                <w:rFonts w:ascii="Arial" w:eastAsia="Arial" w:hAnsi="Arial" w:cs="Arial"/>
                <w:b w:val="0"/>
                <w:i w:val="0"/>
                <w:sz w:val="18"/>
              </w:rPr>
            </w:pPr>
          </w:p>
          <w:p>
            <w:pPr>
              <w:pageBreakBefore w:val="0"/>
              <w:numPr>
                <w:ilvl w:val="0"/>
                <w:numId w:val="0"/>
              </w:numPr>
              <w:spacing w:before="0" w:after="30" w:line="240" w:lineRule="auto"/>
              <w:ind w:left="-450" w:right="0" w:firstLine="180"/>
              <w:jc w:val="left"/>
              <w:outlineLvl w:val="9"/>
              <w:rPr>
                <w:rFonts w:ascii="Arial" w:eastAsia="Arial" w:hAnsi="Arial" w:cs="Arial"/>
                <w:b w:val="0"/>
                <w:i w:val="0"/>
                <w:sz w:val="18"/>
              </w:rPr>
            </w:pPr>
            <w:r>
              <w:rPr>
                <w:rFonts w:ascii="Arial" w:eastAsia="Arial" w:hAnsi="Arial" w:cs="Arial"/>
                <w:b w:val="0"/>
                <w:i w:val="0"/>
                <w:sz w:val="18"/>
              </w:rPr>
              <w:tab/>
            </w:r>
            <w:r>
              <w:rPr>
                <w:rFonts w:ascii="Arial" w:eastAsia="Arial" w:hAnsi="Arial" w:cs="Arial"/>
                <w:b w:val="0"/>
                <w:i w:val="0"/>
                <w:sz w:val="18"/>
              </w:rPr>
              <w:tab/>
            </w:r>
          </w:p>
        </w:tc>
      </w:tr>
      <w:tr>
        <w:tblPrEx>
          <w:tblW w:w="10260" w:type="dxa"/>
          <w:tblInd w:w="0" w:type="dxa"/>
          <w:tblLayout w:type="fixed"/>
          <w:tblCellMar>
            <w:left w:w="108" w:type="dxa"/>
            <w:right w:w="108" w:type="dxa"/>
          </w:tblCellMar>
        </w:tblPrEx>
        <w:trPr>
          <w:cantSplit/>
          <w:trHeight w:hRule="exact" w:val="675"/>
        </w:trPr>
        <w:tc>
          <w:tcPr>
            <w:tcW w:w="23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E</w:t>
            </w:r>
            <w:r>
              <w:rPr>
                <w:rFonts w:ascii="Arial" w:eastAsia="Arial" w:hAnsi="Arial" w:cs="Arial"/>
                <w:b w:val="0"/>
                <w:i w:val="0"/>
                <w:sz w:val="18"/>
              </w:rPr>
              <w:t>nhance</w:t>
            </w:r>
            <w:r>
              <w:rPr>
                <w:rFonts w:ascii="Arial" w:eastAsia="Arial" w:hAnsi="Arial" w:cs="Arial"/>
                <w:b w:val="0"/>
                <w:i w:val="0"/>
                <w:sz w:val="18"/>
              </w:rPr>
              <w:t xml:space="preserve"> global regulatory relationship management framework</w:t>
            </w:r>
          </w:p>
        </w:tc>
        <w:tc>
          <w:tcPr>
            <w:tcW w:w="103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10%</w:t>
            </w:r>
          </w:p>
        </w:tc>
        <w:tc>
          <w:tcPr>
            <w:tcW w:w="127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68"/>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 xml:space="preserve">Improved </w:t>
            </w:r>
            <w:r>
              <w:rPr>
                <w:rFonts w:ascii="Arial" w:eastAsia="Arial" w:hAnsi="Arial" w:cs="Arial"/>
                <w:b w:val="0"/>
                <w:i w:val="0"/>
                <w:sz w:val="18"/>
              </w:rPr>
              <w:t>global collaboration on regu</w:t>
            </w:r>
            <w:r>
              <w:rPr>
                <w:rFonts w:ascii="Arial" w:eastAsia="Arial" w:hAnsi="Arial" w:cs="Arial"/>
                <w:b w:val="0"/>
                <w:i w:val="0"/>
                <w:sz w:val="18"/>
              </w:rPr>
              <w:t>la</w:t>
            </w:r>
            <w:r>
              <w:rPr>
                <w:rFonts w:ascii="Arial" w:eastAsia="Arial" w:hAnsi="Arial" w:cs="Arial"/>
                <w:b w:val="0"/>
                <w:i w:val="0"/>
                <w:sz w:val="18"/>
              </w:rPr>
              <w:t xml:space="preserve">tory </w:t>
            </w:r>
            <w:r>
              <w:rPr>
                <w:rFonts w:ascii="Arial" w:eastAsia="Arial" w:hAnsi="Arial" w:cs="Arial"/>
                <w:b w:val="0"/>
                <w:i w:val="0"/>
                <w:sz w:val="18"/>
              </w:rPr>
              <w:t xml:space="preserve">compliance and relations to ensure </w:t>
            </w:r>
            <w:r>
              <w:rPr>
                <w:rFonts w:ascii="Arial" w:eastAsia="Arial" w:hAnsi="Arial" w:cs="Arial"/>
                <w:b w:val="0"/>
                <w:i w:val="0"/>
                <w:sz w:val="18"/>
              </w:rPr>
              <w:t xml:space="preserve">better coverage and reporting to regulators on </w:t>
            </w:r>
            <w:r>
              <w:rPr>
                <w:rFonts w:ascii="Arial" w:eastAsia="Arial" w:hAnsi="Arial" w:cs="Arial"/>
                <w:b w:val="0"/>
                <w:i w:val="0"/>
                <w:sz w:val="18"/>
              </w:rPr>
              <w:t>Group activities.</w:t>
            </w:r>
          </w:p>
        </w:tc>
      </w:tr>
      <w:tr>
        <w:tblPrEx>
          <w:tblW w:w="10260" w:type="dxa"/>
          <w:tblInd w:w="0" w:type="dxa"/>
          <w:tblLayout w:type="fixed"/>
          <w:tblCellMar>
            <w:left w:w="108" w:type="dxa"/>
            <w:right w:w="108" w:type="dxa"/>
          </w:tblCellMar>
        </w:tblPrEx>
        <w:trPr>
          <w:cantSplit/>
          <w:trHeight w:hRule="exact" w:val="960"/>
        </w:trPr>
        <w:tc>
          <w:tcPr>
            <w:tcW w:w="23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40" w:lineRule="auto"/>
              <w:jc w:val="left"/>
            </w:pPr>
            <w:r>
              <w:rPr>
                <w:rFonts w:ascii="Arial" w:eastAsia="Arial" w:hAnsi="Arial" w:cs="Arial"/>
                <w:b w:val="0"/>
                <w:i w:val="0"/>
                <w:color w:val="000000"/>
                <w:sz w:val="18"/>
                <w:u w:val="none"/>
              </w:rPr>
              <w:t>Achieve specified people management goals, including group employee engagement score above benchmark</w:t>
            </w:r>
          </w:p>
        </w:tc>
        <w:tc>
          <w:tcPr>
            <w:tcW w:w="103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10%</w:t>
            </w:r>
          </w:p>
        </w:tc>
        <w:tc>
          <w:tcPr>
            <w:tcW w:w="127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67"/>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Led</w:t>
            </w:r>
            <w:r>
              <w:rPr>
                <w:rFonts w:ascii="Arial" w:eastAsia="Arial" w:hAnsi="Arial" w:cs="Arial"/>
                <w:b w:val="0"/>
                <w:i w:val="0"/>
                <w:sz w:val="18"/>
              </w:rPr>
              <w:t xml:space="preserve"> HR strategic initiatives to drive </w:t>
            </w:r>
            <w:r>
              <w:rPr>
                <w:rFonts w:ascii="Arial" w:eastAsia="Arial" w:hAnsi="Arial" w:cs="Arial"/>
                <w:b w:val="0"/>
                <w:i w:val="0"/>
                <w:sz w:val="18"/>
              </w:rPr>
              <w:t xml:space="preserve">high </w:t>
            </w:r>
            <w:r>
              <w:rPr>
                <w:rFonts w:ascii="Arial" w:eastAsia="Arial" w:hAnsi="Arial" w:cs="Arial"/>
                <w:b w:val="0"/>
                <w:i w:val="0"/>
                <w:sz w:val="18"/>
              </w:rPr>
              <w:t xml:space="preserve">performance and engagement achieving for the second consecutive year a high engagement index nine percentage points above the industry benchmark, high upper quartile. </w:t>
            </w:r>
          </w:p>
        </w:tc>
      </w:tr>
      <w:tr>
        <w:tblPrEx>
          <w:tblW w:w="10260" w:type="dxa"/>
          <w:tblInd w:w="0" w:type="dxa"/>
          <w:tblLayout w:type="fixed"/>
          <w:tblCellMar>
            <w:left w:w="108" w:type="dxa"/>
            <w:right w:w="108" w:type="dxa"/>
          </w:tblCellMar>
        </w:tblPrEx>
        <w:trPr>
          <w:cantSplit/>
          <w:trHeight w:hRule="exact" w:val="1620"/>
        </w:trPr>
        <w:tc>
          <w:tcPr>
            <w:tcW w:w="23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40" w:lineRule="auto"/>
              <w:jc w:val="left"/>
            </w:pPr>
            <w:r>
              <w:rPr>
                <w:rFonts w:ascii="Arial" w:eastAsia="Arial" w:hAnsi="Arial" w:cs="Arial"/>
                <w:b w:val="0"/>
                <w:i w:val="0"/>
                <w:color w:val="000000"/>
                <w:sz w:val="18"/>
                <w:u w:val="none"/>
              </w:rPr>
              <w:t>Engage and contribute to Group Executive Leadership Program</w:t>
            </w:r>
          </w:p>
        </w:tc>
        <w:tc>
          <w:tcPr>
            <w:tcW w:w="103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10%</w:t>
            </w:r>
          </w:p>
        </w:tc>
        <w:tc>
          <w:tcPr>
            <w:tcW w:w="127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64"/>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Championed</w:t>
            </w:r>
            <w:r>
              <w:rPr>
                <w:rFonts w:ascii="Arial" w:eastAsia="Arial" w:hAnsi="Arial" w:cs="Arial"/>
                <w:b w:val="0"/>
                <w:i w:val="0"/>
                <w:sz w:val="18"/>
              </w:rPr>
              <w:t xml:space="preserve"> </w:t>
            </w:r>
            <w:r>
              <w:rPr>
                <w:rFonts w:ascii="Arial" w:eastAsia="Arial" w:hAnsi="Arial" w:cs="Arial"/>
                <w:b w:val="0"/>
                <w:i w:val="0"/>
                <w:sz w:val="18"/>
              </w:rPr>
              <w:t xml:space="preserve">the Group Executive Leadership Program to foster collaboration and support strong organizational culture and overall performance. </w:t>
            </w:r>
          </w:p>
          <w:p>
            <w:pPr>
              <w:pageBreakBefore w:val="0"/>
              <w:numPr>
                <w:ilvl w:val="0"/>
                <w:numId w:val="265"/>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The team’s aggregated results were ahead of benchmarks on all  of the leadership capabilities identified as core to high performing executive teams.</w:t>
            </w:r>
          </w:p>
          <w:p>
            <w:pPr>
              <w:pageBreakBefore w:val="0"/>
              <w:numPr>
                <w:ilvl w:val="0"/>
                <w:numId w:val="266"/>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Program laid the foundation for executive team's comprehensive strategy review completed at the end of 2023.</w:t>
            </w:r>
          </w:p>
        </w:tc>
      </w:tr>
      <w:tr>
        <w:tblPrEx>
          <w:tblW w:w="10260" w:type="dxa"/>
          <w:tblInd w:w="0" w:type="dxa"/>
          <w:tblLayout w:type="fixed"/>
          <w:tblCellMar>
            <w:left w:w="108" w:type="dxa"/>
            <w:right w:w="108" w:type="dxa"/>
          </w:tblCellMar>
        </w:tblPrEx>
        <w:trPr>
          <w:cantSplit/>
          <w:trHeight w:hRule="exact" w:val="405"/>
        </w:trPr>
        <w:tc>
          <w:tcPr>
            <w:tcW w:w="10260" w:type="dxa"/>
            <w:gridSpan w:val="4"/>
            <w:tcBorders>
              <w:top w:val="nil"/>
              <w:left w:val="nil"/>
              <w:bottom w:val="nil"/>
              <w:right w:val="nil"/>
            </w:tcBorders>
            <w:shd w:val="clear" w:color="auto" w:fill="FFFFFF"/>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sz w:val="18"/>
              </w:rPr>
            </w:pPr>
            <w:r>
              <w:rPr>
                <w:rFonts w:ascii="Arial" w:eastAsia="Arial" w:hAnsi="Arial" w:cs="Arial"/>
                <w:b/>
                <w:i w:val="0"/>
                <w:sz w:val="18"/>
              </w:rPr>
              <w:t xml:space="preserve">Percentage of Target Individual Performance Objective Achieved: </w:t>
            </w:r>
            <w:r>
              <w:rPr>
                <w:rFonts w:ascii="Arial" w:eastAsia="Arial" w:hAnsi="Arial" w:cs="Arial"/>
                <w:b/>
                <w:i w:val="0"/>
                <w:color w:val="000000"/>
                <w:sz w:val="18"/>
                <w:u w:val="none"/>
              </w:rPr>
              <w:t>87.9%</w:t>
            </w: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i w:val="0"/>
          <w:color w:val="4494D1"/>
          <w:sz w:val="20"/>
          <w:u w:val="none"/>
        </w:rPr>
      </w:pPr>
    </w:p>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color w:val="4494D1"/>
          <w:sz w:val="20"/>
          <w:u w:val="none"/>
        </w:rPr>
      </w:pPr>
      <w:r>
        <w:rPr>
          <w:rFonts w:ascii="Arial" w:eastAsia="Arial" w:hAnsi="Arial" w:cs="Arial"/>
          <w:b/>
          <w:i w:val="0"/>
          <w:color w:val="4494D1"/>
          <w:sz w:val="20"/>
          <w:u w:val="none"/>
        </w:rPr>
        <w:t>Settlement of Performance-Based Equity Awards</w:t>
      </w:r>
    </w:p>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color w:val="4494D1"/>
          <w:sz w:val="20"/>
          <w:u w:val="none"/>
        </w:rPr>
      </w:pPr>
      <w:r>
        <w:rPr>
          <w:rFonts w:ascii="Arial" w:eastAsia="Arial" w:hAnsi="Arial" w:cs="Arial"/>
          <w:b w:val="0"/>
          <w:i w:val="0"/>
          <w:sz w:val="20"/>
        </w:rPr>
        <w:t xml:space="preserve">Ms. </w:t>
      </w:r>
      <w:r>
        <w:rPr>
          <w:rFonts w:ascii="Arial" w:eastAsia="Arial" w:hAnsi="Arial" w:cs="Arial"/>
          <w:b w:val="0"/>
          <w:i w:val="0"/>
          <w:sz w:val="20"/>
        </w:rPr>
        <w:t>Gregory did not receiv</w:t>
      </w:r>
      <w:r>
        <w:rPr>
          <w:rFonts w:ascii="Arial" w:eastAsia="Arial" w:hAnsi="Arial" w:cs="Arial"/>
          <w:b w:val="0"/>
          <w:i w:val="0"/>
          <w:sz w:val="20"/>
        </w:rPr>
        <w:t>e</w:t>
      </w:r>
      <w:r>
        <w:rPr>
          <w:rFonts w:ascii="Arial" w:eastAsia="Arial" w:hAnsi="Arial" w:cs="Arial"/>
          <w:b w:val="0"/>
          <w:i w:val="0"/>
          <w:sz w:val="20"/>
        </w:rPr>
        <w:t xml:space="preserve"> a</w:t>
      </w:r>
      <w:r>
        <w:rPr>
          <w:rFonts w:ascii="Arial" w:eastAsia="Arial" w:hAnsi="Arial" w:cs="Arial"/>
          <w:b w:val="0"/>
          <w:i w:val="0"/>
          <w:sz w:val="20"/>
        </w:rPr>
        <w:t xml:space="preserve"> </w:t>
      </w:r>
      <w:r>
        <w:rPr>
          <w:rFonts w:ascii="Arial" w:eastAsia="Arial" w:hAnsi="Arial" w:cs="Arial"/>
          <w:b w:val="0"/>
          <w:i w:val="0"/>
          <w:sz w:val="20"/>
        </w:rPr>
        <w:t>p</w:t>
      </w:r>
      <w:r>
        <w:rPr>
          <w:rFonts w:ascii="Arial" w:eastAsia="Arial" w:hAnsi="Arial" w:cs="Arial"/>
          <w:b w:val="0"/>
          <w:i w:val="0"/>
          <w:sz w:val="20"/>
        </w:rPr>
        <w:t>erformance-based</w:t>
      </w:r>
      <w:r>
        <w:rPr>
          <w:rFonts w:ascii="Arial" w:eastAsia="Arial" w:hAnsi="Arial" w:cs="Arial"/>
          <w:b w:val="0"/>
          <w:i w:val="0"/>
          <w:sz w:val="20"/>
        </w:rPr>
        <w:t xml:space="preserve"> equity award in 2021</w:t>
      </w:r>
      <w:r>
        <w:rPr>
          <w:rFonts w:ascii="Arial" w:eastAsia="Arial" w:hAnsi="Arial" w:cs="Arial"/>
          <w:b w:val="0"/>
          <w:i w:val="0"/>
          <w:sz w:val="20"/>
        </w:rPr>
        <w:t xml:space="preserve">, </w:t>
      </w:r>
      <w:r>
        <w:rPr>
          <w:rFonts w:ascii="Arial" w:eastAsia="Arial" w:hAnsi="Arial" w:cs="Arial"/>
          <w:b w:val="0"/>
          <w:i w:val="0"/>
          <w:sz w:val="20"/>
        </w:rPr>
        <w:t xml:space="preserve">and </w:t>
      </w:r>
      <w:r>
        <w:rPr>
          <w:rFonts w:ascii="Arial" w:eastAsia="Arial" w:hAnsi="Arial" w:cs="Arial"/>
          <w:b w:val="0"/>
          <w:i w:val="0"/>
          <w:sz w:val="20"/>
        </w:rPr>
        <w:t xml:space="preserve">therefore no </w:t>
      </w:r>
      <w:r>
        <w:rPr>
          <w:rFonts w:ascii="Arial" w:eastAsia="Arial" w:hAnsi="Arial" w:cs="Arial"/>
          <w:b w:val="0"/>
          <w:i w:val="0"/>
          <w:sz w:val="20"/>
        </w:rPr>
        <w:t xml:space="preserve">PSUs </w:t>
      </w:r>
      <w:r>
        <w:rPr>
          <w:rFonts w:ascii="Arial" w:eastAsia="Arial" w:hAnsi="Arial" w:cs="Arial"/>
          <w:b w:val="0"/>
          <w:i w:val="0"/>
          <w:sz w:val="20"/>
        </w:rPr>
        <w:t>were settled</w:t>
      </w:r>
      <w:r>
        <w:rPr>
          <w:rFonts w:ascii="Arial" w:eastAsia="Arial" w:hAnsi="Arial" w:cs="Arial"/>
          <w:b w:val="0"/>
          <w:i w:val="0"/>
          <w:sz w:val="20"/>
        </w:rPr>
        <w:t xml:space="preserve"> for Ms. Gregory</w:t>
      </w:r>
      <w:r>
        <w:rPr>
          <w:rFonts w:ascii="Arial" w:eastAsia="Arial" w:hAnsi="Arial" w:cs="Arial"/>
          <w:b w:val="0"/>
          <w:i w:val="0"/>
          <w:sz w:val="20"/>
        </w:rPr>
        <w:t xml:space="preserve"> </w:t>
      </w:r>
      <w:r>
        <w:rPr>
          <w:rFonts w:ascii="Arial" w:eastAsia="Arial" w:hAnsi="Arial" w:cs="Arial"/>
          <w:b w:val="0"/>
          <w:i w:val="0"/>
          <w:sz w:val="20"/>
        </w:rPr>
        <w:t xml:space="preserve">following </w:t>
      </w:r>
      <w:r>
        <w:rPr>
          <w:rFonts w:ascii="Arial" w:eastAsia="Arial" w:hAnsi="Arial" w:cs="Arial"/>
          <w:b w:val="0"/>
          <w:i w:val="0"/>
          <w:sz w:val="20"/>
        </w:rPr>
        <w:t>the performance period</w:t>
      </w:r>
      <w:r>
        <w:rPr>
          <w:rFonts w:ascii="Arial" w:eastAsia="Arial" w:hAnsi="Arial" w:cs="Arial"/>
          <w:b w:val="0"/>
          <w:i w:val="0"/>
          <w:sz w:val="20"/>
        </w:rPr>
        <w:t xml:space="preserve"> that ended</w:t>
      </w:r>
      <w:r>
        <w:rPr>
          <w:rFonts w:ascii="Arial" w:eastAsia="Arial" w:hAnsi="Arial" w:cs="Arial"/>
          <w:b w:val="0"/>
          <w:i w:val="0"/>
          <w:sz w:val="20"/>
        </w:rPr>
        <w:t xml:space="preserve"> on December 31,</w:t>
      </w:r>
      <w:r>
        <w:rPr>
          <w:rFonts w:ascii="Arial" w:eastAsia="Arial" w:hAnsi="Arial" w:cs="Arial"/>
          <w:b w:val="0"/>
          <w:i w:val="0"/>
          <w:sz w:val="20"/>
        </w:rPr>
        <w:t xml:space="preserve"> 2023.</w:t>
      </w:r>
      <w:r>
        <w:rPr>
          <w:rFonts w:ascii="Arial" w:eastAsia="Arial" w:hAnsi="Arial" w:cs="Arial"/>
          <w:b w:val="0"/>
          <w:i w:val="0"/>
          <w:sz w:val="20"/>
        </w:rPr>
        <w:t xml:space="preserve"> Ms. Gregory's equity award in 2020 was </w:t>
      </w:r>
      <w:r>
        <w:rPr>
          <w:rFonts w:ascii="Arial" w:eastAsia="Arial" w:hAnsi="Arial" w:cs="Arial"/>
          <w:b w:val="0"/>
          <w:i w:val="0"/>
          <w:sz w:val="20"/>
        </w:rPr>
        <w:t xml:space="preserve">intended to </w:t>
      </w:r>
      <w:r>
        <w:rPr>
          <w:rFonts w:ascii="Arial" w:eastAsia="Arial" w:hAnsi="Arial" w:cs="Arial"/>
          <w:b w:val="0"/>
          <w:i w:val="0"/>
          <w:sz w:val="20"/>
        </w:rPr>
        <w:t xml:space="preserve">cover the three year period ended </w:t>
      </w:r>
      <w:r>
        <w:rPr>
          <w:rFonts w:ascii="Arial" w:eastAsia="Arial" w:hAnsi="Arial" w:cs="Arial"/>
          <w:b w:val="0"/>
          <w:i w:val="0"/>
          <w:sz w:val="20"/>
        </w:rPr>
        <w:t>December</w:t>
      </w:r>
      <w:r>
        <w:rPr>
          <w:rFonts w:ascii="Arial" w:eastAsia="Arial" w:hAnsi="Arial" w:cs="Arial"/>
          <w:b w:val="0"/>
          <w:i w:val="0"/>
          <w:sz w:val="20"/>
        </w:rPr>
        <w:t xml:space="preserve"> </w:t>
      </w:r>
      <w:r>
        <w:rPr>
          <w:rFonts w:ascii="Arial" w:eastAsia="Arial" w:hAnsi="Arial" w:cs="Arial"/>
          <w:b w:val="0"/>
          <w:i w:val="0"/>
          <w:sz w:val="20"/>
        </w:rPr>
        <w:t xml:space="preserve">31, 2022. </w:t>
      </w:r>
      <w:r>
        <w:rPr>
          <w:rFonts w:ascii="Arial" w:eastAsia="Arial" w:hAnsi="Arial" w:cs="Arial"/>
          <w:b w:val="0"/>
          <w:i w:val="0"/>
          <w:sz w:val="20"/>
        </w:rPr>
        <w:t xml:space="preserve">The PSUs granted to </w:t>
      </w:r>
      <w:r>
        <w:rPr>
          <w:rFonts w:ascii="Arial" w:eastAsia="Arial" w:hAnsi="Arial" w:cs="Arial"/>
          <w:b w:val="0"/>
          <w:i w:val="0"/>
          <w:sz w:val="20"/>
        </w:rPr>
        <w:t xml:space="preserve">Ms. Gregory in 2020 expired in March 2023, and </w:t>
      </w:r>
      <w:r>
        <w:rPr>
          <w:rFonts w:ascii="Arial" w:eastAsia="Arial" w:hAnsi="Arial" w:cs="Arial"/>
          <w:b w:val="0"/>
          <w:i w:val="0"/>
          <w:sz w:val="20"/>
        </w:rPr>
        <w:t xml:space="preserve">she </w:t>
      </w:r>
      <w:r>
        <w:rPr>
          <w:rFonts w:ascii="Arial" w:eastAsia="Arial" w:hAnsi="Arial" w:cs="Arial"/>
          <w:b w:val="0"/>
          <w:i w:val="0"/>
          <w:sz w:val="20"/>
        </w:rPr>
        <w:t>received zero shares because the Company's performance did not achieve the requisite threshold level.</w:t>
      </w:r>
    </w:p>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i w:val="0"/>
          <w:color w:val="4494D1"/>
          <w:sz w:val="20"/>
          <w:u w:val="none"/>
        </w:rPr>
        <w:sectPr>
          <w:headerReference w:type="default" r:id="rId250"/>
          <w:footerReference w:type="default" r:id="rId251"/>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171449"/>
          <w:sz w:val="24"/>
          <w:u w:val="none"/>
        </w:rPr>
      </w:pPr>
      <w:bookmarkStart w:id="88" w:name="Section91"/>
      <w:bookmarkEnd w:id="88"/>
      <w:r>
        <w:rPr>
          <w:rFonts w:ascii="Arial" w:eastAsia="Arial" w:hAnsi="Arial" w:cs="Arial"/>
          <w:b/>
          <w:i w:val="0"/>
          <w:color w:val="171449"/>
          <w:sz w:val="4"/>
          <w:u w:val="none"/>
        </w:rPr>
        <w:t xml:space="preserve"> </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500"/>
        <w:gridCol w:w="315"/>
        <w:gridCol w:w="844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00"/>
        </w:trPr>
        <w:tc>
          <w:tcPr>
            <w:tcW w:w="1500"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hanging="90"/>
              <w:jc w:val="left"/>
              <w:outlineLvl w:val="9"/>
              <w:rPr>
                <w:rFonts w:ascii="Arial" w:eastAsia="Arial" w:hAnsi="Arial" w:cs="Arial"/>
                <w:b w:val="0"/>
                <w:i w:val="0"/>
                <w:sz w:val="20"/>
              </w:rPr>
            </w:pPr>
            <w:r>
              <w:pict>
                <v:shape id="_x0000_i1243" type="#_x0000_t75" style="width:83.52pt;height:83.52pt">
                  <v:imagedata r:id="rId174" o:title=""/>
                  <o:lock v:ext="edit" aspectratio="t"/>
                </v:shape>
              </w:pict>
            </w:r>
          </w:p>
        </w:tc>
        <w:tc>
          <w:tcPr>
            <w:tcW w:w="315" w:type="dxa"/>
            <w:vMerge w:val="restart"/>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22"/>
                <w:u w:val="none"/>
              </w:rPr>
              <w:t xml:space="preserve">  David Ni</w:t>
            </w: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val="0"/>
                <w:i w:val="0"/>
                <w:color w:val="000000"/>
                <w:sz w:val="20"/>
                <w:u w:val="none"/>
              </w:rPr>
              <w:t xml:space="preserve">  Chief Strategy Officer</w:t>
            </w:r>
          </w:p>
        </w:tc>
      </w:tr>
      <w:tr>
        <w:tblPrEx>
          <w:tblW w:w="10260" w:type="dxa"/>
          <w:tblInd w:w="0" w:type="dxa"/>
          <w:tblLayout w:type="fixed"/>
          <w:tblCellMar>
            <w:left w:w="108" w:type="dxa"/>
            <w:right w:w="108" w:type="dxa"/>
          </w:tblCellMar>
        </w:tblPrEx>
        <w:trPr>
          <w:cantSplit/>
          <w:trHeight w:hRule="exact" w:val="225"/>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20"/>
                <w:u w:val="none"/>
              </w:rPr>
              <w:t xml:space="preserve">  2023 Annual Compensation Mix</w:t>
            </w: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vMerge w:val="restart"/>
            <w:tcBorders>
              <w:top w:val="nil"/>
              <w:left w:val="single" w:sz="12" w:space="0" w:color="4494D1"/>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1080" w:right="0" w:firstLine="0"/>
              <w:jc w:val="left"/>
              <w:outlineLvl w:val="9"/>
              <w:rPr>
                <w:rFonts w:ascii="Arial" w:eastAsia="Arial" w:hAnsi="Arial" w:cs="Arial"/>
                <w:b/>
                <w:i w:val="0"/>
                <w:sz w:val="20"/>
              </w:rPr>
            </w:pPr>
            <w:r>
              <w:pict>
                <v:shape id="_x0000_i1244" type="#_x0000_t75" style="width:567pt;height:318.94pt">
                  <v:imagedata r:id="rId252" o:title=""/>
                  <o:lock v:ext="edit" aspectratio="t"/>
                </v:shape>
              </w:pict>
            </w: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vMerge/>
            <w:tcBorders>
              <w:top w:val="nil"/>
              <w:left w:val="single" w:sz="12" w:space="0" w:color="4494D1"/>
              <w:bottom w:val="nil"/>
              <w:right w:val="nil"/>
            </w:tcBorders>
          </w:tcPr>
          <w:p>
            <w:pPr>
              <w:keepNext/>
              <w:pageBreakBefore w:val="0"/>
            </w:pPr>
          </w:p>
        </w:tc>
      </w:tr>
      <w:tr>
        <w:tblPrEx>
          <w:tblW w:w="10260" w:type="dxa"/>
          <w:tblInd w:w="0" w:type="dxa"/>
          <w:tblLayout w:type="fixed"/>
          <w:tblCellMar>
            <w:left w:w="108" w:type="dxa"/>
            <w:right w:w="108" w:type="dxa"/>
          </w:tblCellMar>
        </w:tblPrEx>
        <w:trPr>
          <w:cantSplit/>
          <w:trHeight w:hRule="exact" w:val="1845"/>
        </w:trPr>
        <w:tc>
          <w:tcPr>
            <w:tcW w:w="150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31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445" w:type="dxa"/>
            <w:vMerge/>
            <w:tcBorders>
              <w:top w:val="nil"/>
              <w:left w:val="single" w:sz="12" w:space="0" w:color="4494D1"/>
              <w:bottom w:val="nil"/>
              <w:right w:val="nil"/>
            </w:tcBorders>
          </w:tcPr>
          <w:p>
            <w:pPr>
              <w:pageBreakBefore w:val="0"/>
            </w:pPr>
          </w:p>
        </w:tc>
      </w:tr>
    </w:tbl>
    <w:p>
      <w:pPr>
        <w:keepNext/>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171449"/>
          <w:sz w:val="24"/>
          <w:u w:val="none"/>
        </w:rPr>
      </w:pPr>
      <w:r>
        <w:rPr>
          <w:rFonts w:ascii="Times New Roman" w:eastAsia="Times New Roman" w:hAnsi="Times New Roman" w:cs="Times New Roman"/>
          <w:b w:val="0"/>
          <w:i w:val="0"/>
          <w:color w:val="FF0090"/>
          <w:sz w:val="20"/>
          <w:u w:val="none"/>
        </w:rPr>
        <w:tab/>
      </w:r>
      <w:r>
        <w:rPr>
          <w:rFonts w:ascii="Times New Roman" w:eastAsia="Times New Roman" w:hAnsi="Times New Roman" w:cs="Times New Roman"/>
          <w:b w:val="0"/>
          <w:i w:val="0"/>
          <w:color w:val="FF0090"/>
          <w:sz w:val="20"/>
          <w:u w:val="none"/>
        </w:rPr>
        <w:tab/>
      </w:r>
      <w:r>
        <w:rPr>
          <w:rFonts w:ascii="Times New Roman" w:eastAsia="Times New Roman" w:hAnsi="Times New Roman" w:cs="Times New Roman"/>
          <w:b w:val="0"/>
          <w:i w:val="0"/>
          <w:color w:val="FF0090"/>
          <w:sz w:val="20"/>
          <w:u w:val="none"/>
        </w:rPr>
        <w:tab/>
      </w:r>
    </w:p>
    <w:p>
      <w:pPr>
        <w:keepNext w:val="0"/>
        <w:keepLines w:val="0"/>
        <w:pageBreakBefore w:val="0"/>
        <w:widowControl/>
        <w:numPr>
          <w:ilvl w:val="0"/>
          <w:numId w:val="0"/>
        </w:numPr>
        <w:spacing w:before="0" w:after="120" w:line="300" w:lineRule="auto"/>
        <w:ind w:left="0" w:right="0" w:firstLine="0"/>
        <w:jc w:val="both"/>
        <w:outlineLvl w:val="3"/>
        <w:rPr>
          <w:rFonts w:ascii="Arial" w:eastAsia="Arial" w:hAnsi="Arial" w:cs="Arial"/>
          <w:b/>
          <w:i w:val="0"/>
          <w:color w:val="4494D1"/>
          <w:sz w:val="20"/>
          <w:u w:val="none"/>
        </w:rPr>
      </w:pPr>
      <w:r>
        <w:rPr>
          <w:rFonts w:ascii="Arial" w:eastAsia="Arial" w:hAnsi="Arial" w:cs="Arial"/>
          <w:b/>
          <w:i w:val="0"/>
          <w:color w:val="4494D1"/>
          <w:sz w:val="20"/>
          <w:u w:val="none"/>
        </w:rPr>
        <w:t>2023 Compensation Elements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171449"/>
          <w:sz w:val="20"/>
          <w:u w:val="none"/>
        </w:rPr>
      </w:pPr>
      <w:r>
        <w:rPr>
          <w:rFonts w:ascii="Arial" w:eastAsia="Arial" w:hAnsi="Arial" w:cs="Arial"/>
          <w:b w:val="0"/>
          <w:i w:val="0"/>
          <w:sz w:val="20"/>
        </w:rPr>
        <w:t>As shown in the table below, for 2023, t</w:t>
      </w:r>
      <w:r>
        <w:rPr>
          <w:rFonts w:ascii="Arial" w:eastAsia="Arial" w:hAnsi="Arial" w:cs="Arial"/>
          <w:b w:val="0"/>
          <w:i w:val="0"/>
          <w:sz w:val="20"/>
        </w:rPr>
        <w:t>he Compensation Committee increased Mr. Ni's annual base salary by 29%</w:t>
      </w:r>
      <w:r>
        <w:rPr>
          <w:rFonts w:ascii="Arial" w:eastAsia="Arial" w:hAnsi="Arial" w:cs="Arial"/>
          <w:b w:val="0"/>
          <w:i w:val="0"/>
          <w:sz w:val="20"/>
        </w:rPr>
        <w:t xml:space="preserve"> during its annual review in recognition of the increased strategic importance to the Company of Mr. Ni's role as Chief Strategy Officer</w:t>
      </w:r>
      <w:r>
        <w:rPr>
          <w:rFonts w:ascii="Arial" w:eastAsia="Arial" w:hAnsi="Arial" w:cs="Arial"/>
          <w:b w:val="0"/>
          <w:i w:val="0"/>
          <w:sz w:val="20"/>
        </w:rPr>
        <w:t xml:space="preserve"> a</w:t>
      </w:r>
      <w:r>
        <w:rPr>
          <w:rFonts w:ascii="Arial" w:eastAsia="Arial" w:hAnsi="Arial" w:cs="Arial"/>
          <w:b w:val="0"/>
          <w:i w:val="0"/>
          <w:sz w:val="20"/>
        </w:rPr>
        <w:t xml:space="preserve">nd in light of competitive </w:t>
      </w:r>
      <w:r>
        <w:rPr>
          <w:rFonts w:ascii="Arial" w:eastAsia="Arial" w:hAnsi="Arial" w:cs="Arial"/>
          <w:b w:val="0"/>
          <w:i w:val="0"/>
          <w:sz w:val="20"/>
        </w:rPr>
        <w:t>c</w:t>
      </w:r>
      <w:r>
        <w:rPr>
          <w:rFonts w:ascii="Arial" w:eastAsia="Arial" w:hAnsi="Arial" w:cs="Arial"/>
          <w:b w:val="0"/>
          <w:i w:val="0"/>
          <w:sz w:val="20"/>
        </w:rPr>
        <w:t>onditions</w:t>
      </w:r>
      <w:r>
        <w:rPr>
          <w:rFonts w:ascii="Arial" w:eastAsia="Arial" w:hAnsi="Arial" w:cs="Arial"/>
          <w:b w:val="0"/>
          <w:i w:val="0"/>
          <w:sz w:val="20"/>
        </w:rPr>
        <w:t xml:space="preserve">. In the role of Chief Strategy Officer, Mr. Ni reports directly to the CEO and has assumed responsibility for executing Company strategic initiatives in addition to leading our M&amp;A function.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171449"/>
          <w:sz w:val="20"/>
          <w:u w:val="none"/>
        </w:rPr>
      </w:pPr>
      <w:r>
        <w:rPr>
          <w:rFonts w:ascii="Arial" w:eastAsia="Arial" w:hAnsi="Arial" w:cs="Arial"/>
          <w:b w:val="0"/>
          <w:i w:val="0"/>
          <w:sz w:val="20"/>
        </w:rPr>
        <w:t>Also sh</w:t>
      </w:r>
      <w:r>
        <w:rPr>
          <w:rFonts w:ascii="Arial" w:eastAsia="Arial" w:hAnsi="Arial" w:cs="Arial"/>
          <w:b w:val="0"/>
          <w:i w:val="0"/>
          <w:sz w:val="20"/>
        </w:rPr>
        <w:t xml:space="preserve">own </w:t>
      </w:r>
      <w:r>
        <w:rPr>
          <w:rFonts w:ascii="Arial" w:eastAsia="Arial" w:hAnsi="Arial" w:cs="Arial"/>
          <w:b w:val="0"/>
          <w:i w:val="0"/>
          <w:sz w:val="20"/>
        </w:rPr>
        <w:t xml:space="preserve">in the table </w:t>
      </w:r>
      <w:r>
        <w:rPr>
          <w:rFonts w:ascii="Arial" w:eastAsia="Arial" w:hAnsi="Arial" w:cs="Arial"/>
          <w:b w:val="0"/>
          <w:i w:val="0"/>
          <w:sz w:val="20"/>
        </w:rPr>
        <w:t xml:space="preserve">below, </w:t>
      </w:r>
      <w:r>
        <w:rPr>
          <w:rFonts w:ascii="Arial" w:eastAsia="Arial" w:hAnsi="Arial" w:cs="Arial"/>
          <w:b w:val="0"/>
          <w:i w:val="0"/>
          <w:sz w:val="20"/>
        </w:rPr>
        <w:t>Mr. Ni received grants of PSUs and RSUs under our annual seni</w:t>
      </w:r>
      <w:r>
        <w:rPr>
          <w:rFonts w:ascii="Arial" w:eastAsia="Arial" w:hAnsi="Arial" w:cs="Arial"/>
          <w:b w:val="0"/>
          <w:i w:val="0"/>
          <w:sz w:val="20"/>
        </w:rPr>
        <w:t xml:space="preserve">or management LTI program in </w:t>
      </w:r>
      <w:r>
        <w:rPr>
          <w:rFonts w:ascii="Arial" w:eastAsia="Arial" w:hAnsi="Arial" w:cs="Arial"/>
          <w:b w:val="0"/>
          <w:i w:val="0"/>
          <w:sz w:val="20"/>
        </w:rPr>
        <w:t xml:space="preserve">in March </w:t>
      </w:r>
      <w:r>
        <w:rPr>
          <w:rFonts w:ascii="Arial" w:eastAsia="Arial" w:hAnsi="Arial" w:cs="Arial"/>
          <w:b w:val="0"/>
          <w:i w:val="0"/>
          <w:sz w:val="20"/>
        </w:rPr>
        <w:t>2023</w:t>
      </w:r>
      <w:r>
        <w:rPr>
          <w:rFonts w:ascii="Arial" w:eastAsia="Arial" w:hAnsi="Arial" w:cs="Arial"/>
          <w:b w:val="0"/>
          <w:i w:val="0"/>
          <w:sz w:val="20"/>
        </w:rPr>
        <w:t xml:space="preserve">. </w:t>
      </w:r>
      <w:r>
        <w:rPr>
          <w:rFonts w:ascii="Arial" w:eastAsia="Arial" w:hAnsi="Arial" w:cs="Arial"/>
          <w:b w:val="0"/>
          <w:i w:val="0"/>
          <w:sz w:val="20"/>
        </w:rPr>
        <w:t xml:space="preserve">These awards comprised 70% PSUs and 30% RSUs.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171449"/>
          <w:sz w:val="20"/>
          <w:u w:val="none"/>
        </w:rPr>
      </w:pPr>
      <w:r>
        <w:rPr>
          <w:rFonts w:ascii="Arial" w:eastAsia="Arial" w:hAnsi="Arial" w:cs="Arial"/>
          <w:b w:val="0"/>
          <w:i w:val="0"/>
          <w:sz w:val="20"/>
        </w:rPr>
        <w:t>I</w:t>
      </w:r>
      <w:r>
        <w:rPr>
          <w:rFonts w:ascii="Arial" w:eastAsia="Arial" w:hAnsi="Arial" w:cs="Arial"/>
          <w:b w:val="0"/>
          <w:i w:val="0"/>
          <w:sz w:val="20"/>
        </w:rPr>
        <w:t xml:space="preserve">n addition to </w:t>
      </w:r>
      <w:r>
        <w:rPr>
          <w:rFonts w:ascii="Arial" w:eastAsia="Arial" w:hAnsi="Arial" w:cs="Arial"/>
          <w:b w:val="0"/>
          <w:i w:val="0"/>
          <w:sz w:val="20"/>
        </w:rPr>
        <w:t>his</w:t>
      </w:r>
      <w:r>
        <w:rPr>
          <w:rFonts w:ascii="Arial" w:eastAsia="Arial" w:hAnsi="Arial" w:cs="Arial"/>
          <w:b w:val="0"/>
          <w:i w:val="0"/>
          <w:sz w:val="20"/>
        </w:rPr>
        <w:t xml:space="preserve"> </w:t>
      </w:r>
      <w:r>
        <w:rPr>
          <w:rFonts w:ascii="Arial" w:eastAsia="Arial" w:hAnsi="Arial" w:cs="Arial"/>
          <w:b w:val="0"/>
          <w:i w:val="0"/>
          <w:sz w:val="20"/>
        </w:rPr>
        <w:t>annual equity award</w:t>
      </w:r>
      <w:r>
        <w:rPr>
          <w:rFonts w:ascii="Arial" w:eastAsia="Arial" w:hAnsi="Arial" w:cs="Arial"/>
          <w:b w:val="0"/>
          <w:i w:val="0"/>
          <w:sz w:val="20"/>
        </w:rPr>
        <w:t xml:space="preserve">, </w:t>
      </w:r>
      <w:r>
        <w:rPr>
          <w:rFonts w:ascii="Arial" w:eastAsia="Arial" w:hAnsi="Arial" w:cs="Arial"/>
          <w:b w:val="0"/>
          <w:i w:val="0"/>
          <w:color w:val="000000"/>
          <w:sz w:val="20"/>
          <w:u w:val="none"/>
        </w:rPr>
        <w:t xml:space="preserve">Mr. Ni received a </w:t>
      </w:r>
      <w:r>
        <w:rPr>
          <w:rFonts w:ascii="Arial" w:eastAsia="Arial" w:hAnsi="Arial" w:cs="Arial"/>
          <w:b w:val="0"/>
          <w:i w:val="0"/>
          <w:color w:val="000000"/>
          <w:sz w:val="20"/>
          <w:u w:val="none"/>
        </w:rPr>
        <w:t>special</w:t>
      </w:r>
      <w:r>
        <w:rPr>
          <w:rFonts w:ascii="Arial" w:eastAsia="Arial" w:hAnsi="Arial" w:cs="Arial"/>
          <w:b w:val="0"/>
          <w:i w:val="0"/>
          <w:color w:val="000000"/>
          <w:sz w:val="20"/>
          <w:u w:val="none"/>
        </w:rPr>
        <w:t xml:space="preserve"> equity award of </w:t>
      </w:r>
      <w:r>
        <w:rPr>
          <w:rFonts w:ascii="Arial" w:eastAsia="Arial" w:hAnsi="Arial" w:cs="Arial"/>
          <w:b w:val="0"/>
          <w:i w:val="0"/>
          <w:color w:val="000000"/>
          <w:sz w:val="20"/>
          <w:u w:val="none"/>
        </w:rPr>
        <w:t>4,488</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RSUs with a grant date fa</w:t>
      </w:r>
      <w:r>
        <w:rPr>
          <w:rFonts w:ascii="Arial" w:eastAsia="Arial" w:hAnsi="Arial" w:cs="Arial"/>
          <w:b w:val="0"/>
          <w:i w:val="0"/>
          <w:color w:val="000000"/>
          <w:sz w:val="20"/>
          <w:u w:val="none"/>
        </w:rPr>
        <w:t>ir</w:t>
      </w:r>
      <w:r>
        <w:rPr>
          <w:rFonts w:ascii="Arial" w:eastAsia="Arial" w:hAnsi="Arial" w:cs="Arial"/>
          <w:b w:val="0"/>
          <w:i w:val="0"/>
          <w:color w:val="000000"/>
          <w:sz w:val="20"/>
          <w:u w:val="none"/>
        </w:rPr>
        <w:t xml:space="preserve"> value of </w:t>
      </w:r>
      <w:r>
        <w:rPr>
          <w:rFonts w:ascii="Arial" w:eastAsia="Arial" w:hAnsi="Arial" w:cs="Arial"/>
          <w:b w:val="0"/>
          <w:i w:val="0"/>
          <w:color w:val="000000"/>
          <w:sz w:val="20"/>
          <w:u w:val="none"/>
        </w:rPr>
        <w:t>$999,926</w:t>
      </w:r>
      <w:r>
        <w:rPr>
          <w:rFonts w:ascii="Arial" w:eastAsia="Arial" w:hAnsi="Arial" w:cs="Arial"/>
          <w:b w:val="0"/>
          <w:i w:val="0"/>
          <w:color w:val="000000"/>
          <w:sz w:val="20"/>
          <w:u w:val="none"/>
        </w:rPr>
        <w:t xml:space="preserve">, awarded on March </w:t>
      </w:r>
      <w:r>
        <w:rPr>
          <w:rFonts w:ascii="Arial" w:eastAsia="Arial" w:hAnsi="Arial" w:cs="Arial"/>
          <w:b w:val="0"/>
          <w:i w:val="0"/>
          <w:color w:val="000000"/>
          <w:sz w:val="20"/>
          <w:u w:val="none"/>
        </w:rPr>
        <w:t>20, 2023,</w:t>
      </w:r>
      <w:r>
        <w:rPr>
          <w:rFonts w:ascii="Arial" w:eastAsia="Arial" w:hAnsi="Arial" w:cs="Arial"/>
          <w:b w:val="0"/>
          <w:i w:val="0"/>
          <w:sz w:val="20"/>
        </w:rPr>
        <w:t xml:space="preserve"> which vest</w:t>
      </w:r>
      <w:r>
        <w:rPr>
          <w:rFonts w:ascii="Arial" w:eastAsia="Arial" w:hAnsi="Arial" w:cs="Arial"/>
          <w:b w:val="0"/>
          <w:i w:val="0"/>
          <w:sz w:val="20"/>
        </w:rPr>
        <w:t xml:space="preserve"> in a lump sum on February 4, 2026</w:t>
      </w:r>
      <w:r>
        <w:rPr>
          <w:rFonts w:ascii="Arial" w:eastAsia="Arial" w:hAnsi="Arial" w:cs="Arial"/>
          <w:b w:val="0"/>
          <w:i w:val="0"/>
          <w:sz w:val="20"/>
        </w:rPr>
        <w:t>.</w:t>
      </w:r>
      <w:r>
        <w:rPr>
          <w:rFonts w:ascii="Arial" w:eastAsia="Arial" w:hAnsi="Arial" w:cs="Arial"/>
          <w:b w:val="0"/>
          <w:i w:val="0"/>
          <w:sz w:val="20"/>
        </w:rPr>
        <w:t xml:space="preserve"> </w:t>
      </w:r>
      <w:r>
        <w:rPr>
          <w:rFonts w:ascii="Arial" w:eastAsia="Arial" w:hAnsi="Arial" w:cs="Arial"/>
          <w:b w:val="0"/>
          <w:i w:val="0"/>
          <w:sz w:val="20"/>
        </w:rPr>
        <w:t>T</w:t>
      </w:r>
      <w:r>
        <w:rPr>
          <w:rFonts w:ascii="Arial" w:eastAsia="Arial" w:hAnsi="Arial" w:cs="Arial"/>
          <w:b w:val="0"/>
          <w:i w:val="0"/>
          <w:sz w:val="20"/>
        </w:rPr>
        <w:t>he</w:t>
      </w:r>
      <w:r>
        <w:rPr>
          <w:rFonts w:ascii="Arial" w:eastAsia="Arial" w:hAnsi="Arial" w:cs="Arial"/>
          <w:b w:val="0"/>
          <w:i w:val="0"/>
          <w:sz w:val="20"/>
        </w:rPr>
        <w:t xml:space="preserve"> C</w:t>
      </w:r>
      <w:r>
        <w:rPr>
          <w:rFonts w:ascii="Arial" w:eastAsia="Arial" w:hAnsi="Arial" w:cs="Arial"/>
          <w:b w:val="0"/>
          <w:i w:val="0"/>
          <w:sz w:val="20"/>
        </w:rPr>
        <w:t>o</w:t>
      </w:r>
      <w:r>
        <w:rPr>
          <w:rFonts w:ascii="Arial" w:eastAsia="Arial" w:hAnsi="Arial" w:cs="Arial"/>
          <w:b w:val="0"/>
          <w:i w:val="0"/>
          <w:sz w:val="20"/>
        </w:rPr>
        <w:t xml:space="preserve">mpensation </w:t>
      </w:r>
      <w:r>
        <w:rPr>
          <w:rFonts w:ascii="Arial" w:eastAsia="Arial" w:hAnsi="Arial" w:cs="Arial"/>
          <w:b w:val="0"/>
          <w:i w:val="0"/>
          <w:sz w:val="20"/>
        </w:rPr>
        <w:t>Committee</w:t>
      </w:r>
      <w:r>
        <w:rPr>
          <w:rFonts w:ascii="Arial" w:eastAsia="Arial" w:hAnsi="Arial" w:cs="Arial"/>
          <w:b w:val="0"/>
          <w:i w:val="0"/>
          <w:sz w:val="20"/>
        </w:rPr>
        <w:t xml:space="preserve"> </w:t>
      </w:r>
      <w:r>
        <w:rPr>
          <w:rFonts w:ascii="Arial" w:eastAsia="Arial" w:hAnsi="Arial" w:cs="Arial"/>
          <w:b w:val="0"/>
          <w:i w:val="0"/>
          <w:sz w:val="20"/>
        </w:rPr>
        <w:t>restructured</w:t>
      </w:r>
      <w:r>
        <w:rPr>
          <w:rFonts w:ascii="Arial" w:eastAsia="Arial" w:hAnsi="Arial" w:cs="Arial"/>
          <w:b w:val="0"/>
          <w:i w:val="0"/>
          <w:sz w:val="20"/>
        </w:rPr>
        <w:t xml:space="preserve"> </w:t>
      </w:r>
      <w:r>
        <w:rPr>
          <w:rFonts w:ascii="Arial" w:eastAsia="Arial" w:hAnsi="Arial" w:cs="Arial"/>
          <w:b w:val="0"/>
          <w:i w:val="0"/>
          <w:sz w:val="20"/>
        </w:rPr>
        <w:t>Mr</w:t>
      </w:r>
      <w:r>
        <w:rPr>
          <w:rFonts w:ascii="Arial" w:eastAsia="Arial" w:hAnsi="Arial" w:cs="Arial"/>
          <w:b w:val="0"/>
          <w:i w:val="0"/>
          <w:sz w:val="20"/>
        </w:rPr>
        <w:t>.</w:t>
      </w:r>
      <w:r>
        <w:rPr>
          <w:rFonts w:ascii="Arial" w:eastAsia="Arial" w:hAnsi="Arial" w:cs="Arial"/>
          <w:b w:val="0"/>
          <w:i w:val="0"/>
          <w:sz w:val="20"/>
        </w:rPr>
        <w:t xml:space="preserve"> Ni</w:t>
      </w:r>
      <w:r>
        <w:rPr>
          <w:rFonts w:ascii="Arial" w:eastAsia="Arial" w:hAnsi="Arial" w:cs="Arial"/>
          <w:b w:val="0"/>
          <w:i w:val="0"/>
          <w:sz w:val="20"/>
        </w:rPr>
        <w:t xml:space="preserve">'s </w:t>
      </w:r>
      <w:r>
        <w:rPr>
          <w:rFonts w:ascii="Arial" w:eastAsia="Arial" w:hAnsi="Arial" w:cs="Arial"/>
          <w:b w:val="0"/>
          <w:i w:val="0"/>
          <w:sz w:val="20"/>
        </w:rPr>
        <w:t>outstanding</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award of </w:t>
      </w:r>
      <w:r>
        <w:rPr>
          <w:rFonts w:ascii="Arial" w:eastAsia="Arial" w:hAnsi="Arial" w:cs="Arial"/>
          <w:b w:val="0"/>
          <w:i w:val="0"/>
          <w:color w:val="000000"/>
          <w:sz w:val="20"/>
          <w:u w:val="none"/>
        </w:rPr>
        <w:t>11,441</w:t>
      </w:r>
      <w:r>
        <w:rPr>
          <w:rFonts w:ascii="Arial" w:eastAsia="Arial" w:hAnsi="Arial" w:cs="Arial"/>
          <w:b w:val="0"/>
          <w:i w:val="0"/>
          <w:color w:val="000000"/>
          <w:sz w:val="20"/>
          <w:u w:val="none"/>
        </w:rPr>
        <w:t xml:space="preserve"> RSUs </w:t>
      </w:r>
      <w:r>
        <w:rPr>
          <w:rFonts w:ascii="Arial" w:eastAsia="Arial" w:hAnsi="Arial" w:cs="Arial"/>
          <w:b w:val="0"/>
          <w:i w:val="0"/>
          <w:color w:val="000000"/>
          <w:sz w:val="20"/>
          <w:u w:val="none"/>
        </w:rPr>
        <w:t xml:space="preserve">to </w:t>
      </w:r>
      <w:r>
        <w:rPr>
          <w:rFonts w:ascii="Arial" w:eastAsia="Arial" w:hAnsi="Arial" w:cs="Arial"/>
          <w:b w:val="0"/>
          <w:i w:val="0"/>
          <w:color w:val="000000"/>
          <w:sz w:val="20"/>
          <w:u w:val="none"/>
        </w:rPr>
        <w:t xml:space="preserve">extend the vesting date </w:t>
      </w:r>
      <w:r>
        <w:rPr>
          <w:rFonts w:ascii="Arial" w:eastAsia="Arial" w:hAnsi="Arial" w:cs="Arial"/>
          <w:b w:val="0"/>
          <w:i w:val="0"/>
          <w:color w:val="000000"/>
          <w:sz w:val="20"/>
          <w:u w:val="none"/>
        </w:rPr>
        <w:t>from February 4, 202</w:t>
      </w:r>
      <w:r>
        <w:rPr>
          <w:rFonts w:ascii="Arial" w:eastAsia="Arial" w:hAnsi="Arial" w:cs="Arial"/>
          <w:b w:val="0"/>
          <w:i w:val="0"/>
          <w:color w:val="000000"/>
          <w:sz w:val="20"/>
          <w:u w:val="none"/>
        </w:rPr>
        <w:t>5</w:t>
      </w:r>
      <w:r>
        <w:rPr>
          <w:rFonts w:ascii="Arial" w:eastAsia="Arial" w:hAnsi="Arial" w:cs="Arial"/>
          <w:b w:val="0"/>
          <w:i w:val="0"/>
          <w:color w:val="000000"/>
          <w:sz w:val="20"/>
          <w:u w:val="none"/>
        </w:rPr>
        <w:t xml:space="preserve"> to February 4, 202</w:t>
      </w:r>
      <w:r>
        <w:rPr>
          <w:rFonts w:ascii="Arial" w:eastAsia="Arial" w:hAnsi="Arial" w:cs="Arial"/>
          <w:b w:val="0"/>
          <w:i w:val="0"/>
          <w:color w:val="000000"/>
          <w:sz w:val="20"/>
          <w:u w:val="none"/>
        </w:rPr>
        <w:t>6.</w:t>
      </w:r>
      <w:r>
        <w:rPr>
          <w:rFonts w:ascii="Arial" w:eastAsia="Arial" w:hAnsi="Arial" w:cs="Arial"/>
          <w:b w:val="0"/>
          <w:i w:val="0"/>
          <w:sz w:val="20"/>
        </w:rPr>
        <w:t xml:space="preserve"> </w:t>
      </w:r>
      <w:r>
        <w:rPr>
          <w:rFonts w:ascii="Arial" w:eastAsia="Arial" w:hAnsi="Arial" w:cs="Arial"/>
          <w:b w:val="0"/>
          <w:i w:val="0"/>
          <w:sz w:val="20"/>
        </w:rPr>
        <w:t>T</w:t>
      </w:r>
      <w:r>
        <w:rPr>
          <w:rFonts w:ascii="Arial" w:eastAsia="Arial" w:hAnsi="Arial" w:cs="Arial"/>
          <w:b w:val="0"/>
          <w:i w:val="0"/>
          <w:color w:val="000000"/>
          <w:sz w:val="20"/>
          <w:u w:val="none"/>
        </w:rPr>
        <w:t>he Compensation Committee implemented this arrangement</w:t>
      </w:r>
      <w:r>
        <w:rPr>
          <w:rFonts w:ascii="Arial" w:eastAsia="Arial" w:hAnsi="Arial" w:cs="Arial"/>
          <w:b w:val="0"/>
          <w:i w:val="0"/>
          <w:color w:val="000000"/>
          <w:sz w:val="20"/>
          <w:u w:val="none"/>
        </w:rPr>
        <w:t xml:space="preserve">, which increases the award, but delays the vesting of the previously granted portion of the </w:t>
      </w:r>
      <w:r>
        <w:rPr>
          <w:rFonts w:ascii="Arial" w:eastAsia="Arial" w:hAnsi="Arial" w:cs="Arial"/>
          <w:b w:val="0"/>
          <w:i w:val="0"/>
          <w:color w:val="000000"/>
          <w:sz w:val="20"/>
          <w:u w:val="none"/>
        </w:rPr>
        <w:t>award,</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as a tool for longer term retention and a</w:t>
      </w:r>
      <w:r>
        <w:rPr>
          <w:rFonts w:ascii="Arial" w:eastAsia="Arial" w:hAnsi="Arial" w:cs="Arial"/>
          <w:b w:val="0"/>
          <w:i w:val="0"/>
          <w:color w:val="000000"/>
          <w:sz w:val="20"/>
          <w:u w:val="none"/>
        </w:rPr>
        <w:t>lignment of interests</w:t>
      </w:r>
      <w:r>
        <w:rPr>
          <w:rFonts w:ascii="Arial" w:eastAsia="Arial" w:hAnsi="Arial" w:cs="Arial"/>
          <w:b w:val="0"/>
          <w:i w:val="0"/>
          <w:color w:val="000000"/>
          <w:sz w:val="20"/>
          <w:u w:val="none"/>
        </w:rPr>
        <w:t>.</w:t>
      </w:r>
      <w:r>
        <w:rPr>
          <w:rFonts w:ascii="Arial" w:eastAsia="Arial" w:hAnsi="Arial" w:cs="Arial"/>
          <w:b w:val="0"/>
          <w:i w:val="0"/>
          <w:sz w:val="20"/>
        </w:rPr>
        <w:t xml:space="preserve"> </w:t>
      </w:r>
      <w:r>
        <w:rPr>
          <w:rFonts w:ascii="Arial" w:eastAsia="Arial" w:hAnsi="Arial" w:cs="Arial"/>
          <w:b w:val="0"/>
          <w:i w:val="0"/>
          <w:sz w:val="20"/>
        </w:rPr>
        <w:t xml:space="preserve">The </w:t>
      </w:r>
      <w:r>
        <w:rPr>
          <w:rFonts w:ascii="Arial" w:eastAsia="Arial" w:hAnsi="Arial" w:cs="Arial"/>
          <w:b w:val="0"/>
          <w:i w:val="0"/>
          <w:sz w:val="20"/>
        </w:rPr>
        <w:t xml:space="preserve">Compensation Committee believes that the </w:t>
      </w:r>
      <w:r>
        <w:rPr>
          <w:rFonts w:ascii="Arial" w:eastAsia="Arial" w:hAnsi="Arial" w:cs="Arial"/>
          <w:b w:val="0"/>
          <w:i w:val="0"/>
          <w:sz w:val="20"/>
        </w:rPr>
        <w:t xml:space="preserve">extension </w:t>
      </w:r>
      <w:r>
        <w:rPr>
          <w:rFonts w:ascii="Arial" w:eastAsia="Arial" w:hAnsi="Arial" w:cs="Arial"/>
          <w:b w:val="0"/>
          <w:i w:val="0"/>
          <w:sz w:val="20"/>
        </w:rPr>
        <w:t xml:space="preserve">and new </w:t>
      </w:r>
      <w:r>
        <w:rPr>
          <w:rFonts w:ascii="Arial" w:eastAsia="Arial" w:hAnsi="Arial" w:cs="Arial"/>
          <w:b w:val="0"/>
          <w:i w:val="0"/>
          <w:sz w:val="20"/>
        </w:rPr>
        <w:t>grant provide</w:t>
      </w:r>
      <w:r>
        <w:rPr>
          <w:rFonts w:ascii="Arial" w:eastAsia="Arial" w:hAnsi="Arial" w:cs="Arial"/>
          <w:b w:val="0"/>
          <w:i w:val="0"/>
          <w:sz w:val="20"/>
        </w:rPr>
        <w:t xml:space="preserve"> strong motivation </w:t>
      </w:r>
      <w:r>
        <w:rPr>
          <w:rFonts w:ascii="Arial" w:eastAsia="Arial" w:hAnsi="Arial" w:cs="Arial"/>
          <w:b w:val="0"/>
          <w:i w:val="0"/>
          <w:sz w:val="20"/>
        </w:rPr>
        <w:t>for Mr. Ni to</w:t>
      </w:r>
      <w:r>
        <w:rPr>
          <w:rFonts w:ascii="Arial" w:eastAsia="Arial" w:hAnsi="Arial" w:cs="Arial"/>
          <w:b w:val="0"/>
          <w:i w:val="0"/>
          <w:sz w:val="20"/>
        </w:rPr>
        <w:t xml:space="preserve"> </w:t>
      </w:r>
      <w:r>
        <w:rPr>
          <w:rFonts w:ascii="Arial" w:eastAsia="Arial" w:hAnsi="Arial" w:cs="Arial"/>
          <w:b w:val="0"/>
          <w:i w:val="0"/>
          <w:sz w:val="20"/>
        </w:rPr>
        <w:t xml:space="preserve">deliver long-term results </w:t>
      </w:r>
      <w:r>
        <w:rPr>
          <w:rFonts w:ascii="Arial" w:eastAsia="Arial" w:hAnsi="Arial" w:cs="Arial"/>
          <w:b w:val="0"/>
          <w:i w:val="0"/>
          <w:sz w:val="20"/>
        </w:rPr>
        <w:t xml:space="preserve">that drive value for shareholders in his </w:t>
      </w:r>
      <w:r>
        <w:rPr>
          <w:rFonts w:ascii="Arial" w:eastAsia="Arial" w:hAnsi="Arial" w:cs="Arial"/>
          <w:b w:val="0"/>
          <w:i w:val="0"/>
          <w:sz w:val="20"/>
        </w:rPr>
        <w:t>critical</w:t>
      </w:r>
      <w:r>
        <w:rPr>
          <w:rFonts w:ascii="Arial" w:eastAsia="Arial" w:hAnsi="Arial" w:cs="Arial"/>
          <w:b w:val="0"/>
          <w:i w:val="0"/>
          <w:sz w:val="20"/>
        </w:rPr>
        <w:t xml:space="preserve"> role of </w:t>
      </w:r>
      <w:r>
        <w:rPr>
          <w:rFonts w:ascii="Arial" w:eastAsia="Arial" w:hAnsi="Arial" w:cs="Arial"/>
          <w:b w:val="0"/>
          <w:i w:val="0"/>
          <w:sz w:val="20"/>
        </w:rPr>
        <w:t xml:space="preserve">executing the </w:t>
      </w:r>
      <w:r>
        <w:rPr>
          <w:rFonts w:ascii="Arial" w:eastAsia="Arial" w:hAnsi="Arial" w:cs="Arial"/>
          <w:b w:val="0"/>
          <w:i w:val="0"/>
          <w:sz w:val="20"/>
        </w:rPr>
        <w:t>Company</w:t>
      </w:r>
      <w:r>
        <w:rPr>
          <w:rFonts w:ascii="Arial" w:eastAsia="Arial" w:hAnsi="Arial" w:cs="Arial"/>
          <w:b w:val="0"/>
          <w:i w:val="0"/>
          <w:sz w:val="20"/>
        </w:rPr>
        <w:t xml:space="preserve">'s </w:t>
      </w:r>
      <w:r>
        <w:rPr>
          <w:rFonts w:ascii="Arial" w:eastAsia="Arial" w:hAnsi="Arial" w:cs="Arial"/>
          <w:b w:val="0"/>
          <w:i w:val="0"/>
          <w:sz w:val="20"/>
        </w:rPr>
        <w:t>acquisition</w:t>
      </w:r>
      <w:r>
        <w:rPr>
          <w:rFonts w:ascii="Arial" w:eastAsia="Arial" w:hAnsi="Arial" w:cs="Arial"/>
          <w:b w:val="0"/>
          <w:i w:val="0"/>
          <w:sz w:val="20"/>
        </w:rPr>
        <w:t xml:space="preserve"> strategy.</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715"/>
        <w:gridCol w:w="3555"/>
        <w:gridCol w:w="1995"/>
        <w:gridCol w:w="199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525"/>
        </w:trPr>
        <w:tc>
          <w:tcPr>
            <w:tcW w:w="271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355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Type of Compensation</w:t>
            </w:r>
          </w:p>
          <w:p>
            <w:pPr>
              <w:pageBreakBefore w:val="0"/>
              <w:numPr>
                <w:ilvl w:val="0"/>
                <w:numId w:val="0"/>
              </w:numPr>
              <w:spacing w:before="0" w:after="30" w:line="240" w:lineRule="auto"/>
              <w:ind w:left="0" w:right="0" w:firstLine="0"/>
              <w:jc w:val="left"/>
              <w:outlineLvl w:val="9"/>
              <w:rPr>
                <w:rFonts w:ascii="Arial" w:eastAsia="Arial" w:hAnsi="Arial" w:cs="Arial"/>
                <w:b/>
                <w:i w:val="0"/>
                <w:sz w:val="6"/>
              </w:rPr>
            </w:pPr>
            <w:r>
              <w:rPr>
                <w:rFonts w:ascii="Arial" w:eastAsia="Arial" w:hAnsi="Arial" w:cs="Arial"/>
                <w:b/>
                <w:i w:val="0"/>
                <w:sz w:val="6"/>
              </w:rPr>
              <w:t xml:space="preserve"> </w:t>
            </w:r>
          </w:p>
        </w:tc>
        <w:tc>
          <w:tcPr>
            <w:tcW w:w="199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2023 Amounts</w:t>
            </w:r>
          </w:p>
          <w:p>
            <w:pPr>
              <w:pageBreakBefore w:val="0"/>
              <w:numPr>
                <w:ilvl w:val="0"/>
                <w:numId w:val="0"/>
              </w:numPr>
              <w:spacing w:before="0" w:after="30" w:line="240" w:lineRule="auto"/>
              <w:ind w:left="0" w:right="0" w:firstLine="0"/>
              <w:jc w:val="left"/>
              <w:outlineLvl w:val="9"/>
              <w:rPr>
                <w:rFonts w:ascii="Arial" w:eastAsia="Arial" w:hAnsi="Arial" w:cs="Arial"/>
                <w:b/>
                <w:i w:val="0"/>
                <w:sz w:val="8"/>
              </w:rPr>
            </w:pPr>
            <w:r>
              <w:rPr>
                <w:rFonts w:ascii="Arial" w:eastAsia="Arial" w:hAnsi="Arial" w:cs="Arial"/>
                <w:b/>
                <w:i w:val="0"/>
                <w:sz w:val="8"/>
              </w:rPr>
              <w:t xml:space="preserve"> </w:t>
            </w:r>
          </w:p>
        </w:tc>
        <w:tc>
          <w:tcPr>
            <w:tcW w:w="199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2022 Amounts</w:t>
            </w:r>
          </w:p>
          <w:p>
            <w:pPr>
              <w:pageBreakBefore w:val="0"/>
              <w:numPr>
                <w:ilvl w:val="0"/>
                <w:numId w:val="0"/>
              </w:numPr>
              <w:spacing w:before="0" w:after="30" w:line="240" w:lineRule="auto"/>
              <w:ind w:left="0" w:right="0" w:firstLine="0"/>
              <w:jc w:val="left"/>
              <w:outlineLvl w:val="9"/>
              <w:rPr>
                <w:rFonts w:ascii="Arial" w:eastAsia="Arial" w:hAnsi="Arial" w:cs="Arial"/>
                <w:b/>
                <w:i w:val="0"/>
                <w:sz w:val="8"/>
              </w:rPr>
            </w:pPr>
            <w:r>
              <w:rPr>
                <w:rFonts w:ascii="Arial" w:eastAsia="Arial" w:hAnsi="Arial" w:cs="Arial"/>
                <w:b/>
                <w:i w:val="0"/>
                <w:sz w:val="8"/>
              </w:rPr>
              <w:t xml:space="preserve"> </w:t>
            </w:r>
          </w:p>
        </w:tc>
      </w:tr>
      <w:tr>
        <w:tblPrEx>
          <w:tblW w:w="10260" w:type="dxa"/>
          <w:tblInd w:w="0" w:type="dxa"/>
          <w:tblLayout w:type="fixed"/>
          <w:tblCellMar>
            <w:left w:w="108" w:type="dxa"/>
            <w:right w:w="108" w:type="dxa"/>
          </w:tblCellMar>
        </w:tblPrEx>
        <w:trPr>
          <w:cantSplit/>
          <w:trHeight w:hRule="exact" w:val="315"/>
        </w:trPr>
        <w:tc>
          <w:tcPr>
            <w:tcW w:w="2715" w:type="dxa"/>
            <w:tcBorders>
              <w:top w:val="single" w:sz="12" w:space="0" w:color="4494D1"/>
              <w:left w:val="nil"/>
              <w:bottom w:val="single" w:sz="8" w:space="0" w:color="B6B6B6"/>
              <w:right w:val="nil"/>
            </w:tcBorders>
            <w:tcMar>
              <w:top w:w="0" w:type="dxa"/>
              <w:left w:w="53" w:type="dxa"/>
              <w:bottom w:w="0" w:type="dxa"/>
              <w:right w:w="53"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Base Salary (from April 1, 2023)</w:t>
            </w:r>
          </w:p>
        </w:tc>
        <w:tc>
          <w:tcPr>
            <w:tcW w:w="3555" w:type="dxa"/>
            <w:tcBorders>
              <w:top w:val="single" w:sz="12" w:space="0" w:color="4494D1"/>
              <w:left w:val="nil"/>
              <w:bottom w:val="single" w:sz="8" w:space="0" w:color="B6B6B6"/>
              <w:right w:val="nil"/>
            </w:tcBorders>
            <w:tcMar>
              <w:top w:w="0" w:type="dxa"/>
              <w:left w:w="53" w:type="dxa"/>
              <w:bottom w:w="0" w:type="dxa"/>
              <w:right w:w="53"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Fixed</w:t>
            </w:r>
          </w:p>
        </w:tc>
        <w:tc>
          <w:tcPr>
            <w:tcW w:w="199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$900,000</w:t>
            </w:r>
          </w:p>
        </w:tc>
        <w:tc>
          <w:tcPr>
            <w:tcW w:w="199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$700,000</w:t>
            </w:r>
          </w:p>
        </w:tc>
      </w:tr>
      <w:tr>
        <w:tblPrEx>
          <w:tblW w:w="10260" w:type="dxa"/>
          <w:tblInd w:w="0" w:type="dxa"/>
          <w:tblLayout w:type="fixed"/>
          <w:tblCellMar>
            <w:left w:w="108" w:type="dxa"/>
            <w:right w:w="108" w:type="dxa"/>
          </w:tblCellMar>
        </w:tblPrEx>
        <w:trPr>
          <w:cantSplit/>
          <w:trHeight w:hRule="exact" w:val="540"/>
        </w:trPr>
        <w:tc>
          <w:tcPr>
            <w:tcW w:w="271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numPr>
                <w:ilvl w:val="0"/>
                <w:numId w:val="0"/>
              </w:numPr>
              <w:spacing w:before="0" w:after="6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Annual Cash </w:t>
            </w:r>
          </w:p>
          <w:p>
            <w:pPr>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Incentive Award (Target)</w:t>
            </w:r>
          </w:p>
        </w:tc>
        <w:tc>
          <w:tcPr>
            <w:tcW w:w="355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line="240" w:lineRule="auto"/>
              <w:jc w:val="left"/>
            </w:pPr>
            <w:r>
              <w:rPr>
                <w:rFonts w:ascii="Arial" w:eastAsia="Arial" w:hAnsi="Arial" w:cs="Arial"/>
                <w:b w:val="0"/>
                <w:i w:val="0"/>
                <w:color w:val="000000"/>
                <w:sz w:val="18"/>
                <w:u w:val="none"/>
              </w:rPr>
              <w:t>Performance-Based</w:t>
            </w:r>
          </w:p>
          <w:p>
            <w:pPr>
              <w:spacing w:after="0" w:line="240" w:lineRule="auto"/>
              <w:jc w:val="left"/>
            </w:pP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$1,350,000</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$1,050,000</w:t>
            </w:r>
          </w:p>
        </w:tc>
      </w:tr>
      <w:tr>
        <w:tblPrEx>
          <w:tblW w:w="10260" w:type="dxa"/>
          <w:tblInd w:w="0" w:type="dxa"/>
          <w:tblLayout w:type="fixed"/>
          <w:tblCellMar>
            <w:left w:w="108" w:type="dxa"/>
            <w:right w:w="108" w:type="dxa"/>
          </w:tblCellMar>
        </w:tblPrEx>
        <w:trPr>
          <w:cantSplit/>
          <w:trHeight w:hRule="exact" w:val="300"/>
        </w:trPr>
        <w:tc>
          <w:tcPr>
            <w:tcW w:w="2715" w:type="dxa"/>
            <w:vMerge w:val="restart"/>
            <w:tcBorders>
              <w:top w:val="nil"/>
              <w:left w:val="nil"/>
              <w:bottom w:val="nil"/>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Annual Equity Award (Grant Date Fair Value)</w:t>
            </w:r>
          </w:p>
        </w:tc>
        <w:tc>
          <w:tcPr>
            <w:tcW w:w="3555" w:type="dxa"/>
            <w:tcBorders>
              <w:top w:val="single" w:sz="8" w:space="0" w:color="B6B6B6"/>
              <w:left w:val="nil"/>
              <w:bottom w:val="single" w:sz="8" w:space="0" w:color="B6B6B6"/>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Performance-Based (Cliff-Vesting PSUs)</w:t>
            </w:r>
            <w:r>
              <w:rPr>
                <w:rFonts w:ascii="Arial" w:eastAsia="Arial" w:hAnsi="Arial" w:cs="Arial"/>
                <w:b w:val="0"/>
                <w:i w:val="0"/>
                <w:sz w:val="18"/>
                <w:vertAlign w:val="superscript"/>
              </w:rPr>
              <w:t>(1)</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$489,937</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$381,377</w:t>
            </w:r>
          </w:p>
        </w:tc>
      </w:tr>
      <w:tr>
        <w:tblPrEx>
          <w:tblW w:w="10260" w:type="dxa"/>
          <w:tblInd w:w="0" w:type="dxa"/>
          <w:tblLayout w:type="fixed"/>
          <w:tblCellMar>
            <w:left w:w="108" w:type="dxa"/>
            <w:right w:w="108" w:type="dxa"/>
          </w:tblCellMar>
        </w:tblPrEx>
        <w:trPr>
          <w:cantSplit/>
          <w:trHeight w:hRule="exact" w:val="315"/>
        </w:trPr>
        <w:tc>
          <w:tcPr>
            <w:tcW w:w="2715" w:type="dxa"/>
            <w:vMerge/>
            <w:tcBorders>
              <w:top w:val="nil"/>
              <w:left w:val="nil"/>
              <w:bottom w:val="single" w:sz="8" w:space="0" w:color="B6B6B6"/>
              <w:right w:val="nil"/>
            </w:tcBorders>
          </w:tcPr>
          <w:p>
            <w:pPr>
              <w:keepNext/>
              <w:pageBreakBefore w:val="0"/>
            </w:pPr>
          </w:p>
        </w:tc>
        <w:tc>
          <w:tcPr>
            <w:tcW w:w="3555" w:type="dxa"/>
            <w:tcBorders>
              <w:top w:val="single" w:sz="8" w:space="0" w:color="B6B6B6"/>
              <w:left w:val="nil"/>
              <w:bottom w:val="single" w:sz="8" w:space="0" w:color="B6B6B6"/>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At-Risk (Tranche-Vesting RSUs)</w:t>
            </w:r>
            <w:r>
              <w:rPr>
                <w:rFonts w:ascii="Arial" w:eastAsia="Arial" w:hAnsi="Arial" w:cs="Arial"/>
                <w:b w:val="0"/>
                <w:i w:val="0"/>
                <w:sz w:val="18"/>
                <w:vertAlign w:val="superscript"/>
              </w:rPr>
              <w:t>(1)</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$210,100</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$163,559</w:t>
            </w:r>
          </w:p>
        </w:tc>
      </w:tr>
      <w:tr>
        <w:tblPrEx>
          <w:tblW w:w="10260" w:type="dxa"/>
          <w:tblInd w:w="0" w:type="dxa"/>
          <w:tblLayout w:type="fixed"/>
          <w:tblCellMar>
            <w:left w:w="108" w:type="dxa"/>
            <w:right w:w="108" w:type="dxa"/>
          </w:tblCellMar>
        </w:tblPrEx>
        <w:trPr>
          <w:cantSplit/>
          <w:trHeight w:hRule="exact" w:val="615"/>
        </w:trPr>
        <w:tc>
          <w:tcPr>
            <w:tcW w:w="2715" w:type="dxa"/>
            <w:tcBorders>
              <w:top w:val="single" w:sz="8" w:space="0" w:color="B6B6B6"/>
              <w:left w:val="nil"/>
              <w:bottom w:val="single" w:sz="8" w:space="0" w:color="B6B6B6"/>
              <w:right w:val="nil"/>
            </w:tcBorders>
            <w:tcMar>
              <w:top w:w="0" w:type="dxa"/>
              <w:left w:w="53" w:type="dxa"/>
              <w:bottom w:w="0" w:type="dxa"/>
              <w:right w:w="53"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Special Equity Award (Annualized Grant Date Fair Value)</w:t>
            </w:r>
          </w:p>
        </w:tc>
        <w:tc>
          <w:tcPr>
            <w:tcW w:w="3555" w:type="dxa"/>
            <w:tcBorders>
              <w:top w:val="single" w:sz="8" w:space="0" w:color="B6B6B6"/>
              <w:left w:val="nil"/>
              <w:bottom w:val="single" w:sz="8" w:space="0" w:color="B6B6B6"/>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At-Risk (Cliff-Vesting RSUs)</w:t>
            </w:r>
            <w:r>
              <w:rPr>
                <w:rFonts w:ascii="Arial" w:eastAsia="Arial" w:hAnsi="Arial" w:cs="Arial"/>
                <w:b w:val="0"/>
                <w:i w:val="0"/>
                <w:sz w:val="18"/>
                <w:vertAlign w:val="superscript"/>
              </w:rPr>
              <w:t>(2)</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$1,083,324</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$750,015</w:t>
            </w:r>
          </w:p>
        </w:tc>
      </w:tr>
      <w:tr>
        <w:tblPrEx>
          <w:tblW w:w="10260" w:type="dxa"/>
          <w:tblInd w:w="0" w:type="dxa"/>
          <w:tblLayout w:type="fixed"/>
          <w:tblCellMar>
            <w:left w:w="108" w:type="dxa"/>
            <w:right w:w="108" w:type="dxa"/>
          </w:tblCellMar>
        </w:tblPrEx>
        <w:trPr>
          <w:cantSplit/>
          <w:trHeight w:hRule="exact" w:val="315"/>
        </w:trPr>
        <w:tc>
          <w:tcPr>
            <w:tcW w:w="2715" w:type="dxa"/>
            <w:tcBorders>
              <w:top w:val="single" w:sz="8" w:space="0" w:color="B6B6B6"/>
              <w:left w:val="nil"/>
              <w:bottom w:val="nil"/>
              <w:right w:val="nil"/>
            </w:tcBorders>
            <w:tcMar>
              <w:top w:w="0" w:type="dxa"/>
              <w:left w:w="53" w:type="dxa"/>
              <w:bottom w:w="0" w:type="dxa"/>
              <w:right w:w="53" w:type="dxa"/>
            </w:tcMar>
            <w:vAlign w:val="bottom"/>
          </w:tcPr>
          <w:p>
            <w:pPr>
              <w:pageBreakBefore w:val="0"/>
              <w:spacing w:before="33" w:after="30" w:line="240" w:lineRule="auto"/>
              <w:jc w:val="left"/>
            </w:pPr>
            <w:r>
              <w:rPr>
                <w:rFonts w:ascii="Arial" w:eastAsia="Arial" w:hAnsi="Arial" w:cs="Arial"/>
                <w:b/>
                <w:i w:val="0"/>
                <w:color w:val="000000"/>
                <w:sz w:val="18"/>
                <w:u w:val="none"/>
              </w:rPr>
              <w:t>Annual Compensation Mix</w:t>
            </w:r>
          </w:p>
        </w:tc>
        <w:tc>
          <w:tcPr>
            <w:tcW w:w="3555" w:type="dxa"/>
            <w:tcBorders>
              <w:top w:val="single" w:sz="8" w:space="0" w:color="B6B6B6"/>
              <w:left w:val="nil"/>
              <w:bottom w:val="nil"/>
              <w:right w:val="nil"/>
            </w:tcBorders>
            <w:tcMar>
              <w:top w:w="0" w:type="dxa"/>
              <w:left w:w="0" w:type="dxa"/>
              <w:bottom w:w="0" w:type="dxa"/>
              <w:right w:w="0" w:type="dxa"/>
            </w:tcMar>
            <w:vAlign w:val="bottom"/>
          </w:tcPr>
          <w:p>
            <w:pPr>
              <w:pageBreakBefore w:val="0"/>
              <w:spacing w:before="0" w:after="0"/>
            </w:pPr>
          </w:p>
        </w:tc>
        <w:tc>
          <w:tcPr>
            <w:tcW w:w="1995" w:type="dxa"/>
            <w:tcBorders>
              <w:top w:val="single" w:sz="8" w:space="0" w:color="B6B6B6"/>
              <w:left w:val="nil"/>
              <w:bottom w:val="nil"/>
              <w:right w:val="nil"/>
            </w:tcBorders>
            <w:tcMar>
              <w:top w:w="0" w:type="dxa"/>
              <w:left w:w="53" w:type="dxa"/>
              <w:bottom w:w="0" w:type="dxa"/>
              <w:right w:w="15" w:type="dxa"/>
            </w:tcMar>
            <w:vAlign w:val="bottom"/>
          </w:tcPr>
          <w:p>
            <w:pPr>
              <w:pageBreakBefore w:val="0"/>
              <w:spacing w:before="33" w:after="30" w:line="240" w:lineRule="auto"/>
              <w:jc w:val="left"/>
            </w:pPr>
            <w:r>
              <w:rPr>
                <w:rFonts w:ascii="Arial" w:eastAsia="Arial" w:hAnsi="Arial" w:cs="Arial"/>
                <w:b/>
                <w:i w:val="0"/>
                <w:color w:val="000000"/>
                <w:sz w:val="18"/>
                <w:u w:val="none"/>
              </w:rPr>
              <w:t>$4,033,361</w:t>
            </w:r>
          </w:p>
        </w:tc>
        <w:tc>
          <w:tcPr>
            <w:tcW w:w="1995" w:type="dxa"/>
            <w:tcBorders>
              <w:top w:val="single" w:sz="8" w:space="0" w:color="B6B6B6"/>
              <w:left w:val="nil"/>
              <w:bottom w:val="nil"/>
              <w:right w:val="nil"/>
            </w:tcBorders>
            <w:tcMar>
              <w:top w:w="0" w:type="dxa"/>
              <w:left w:w="53" w:type="dxa"/>
              <w:bottom w:w="0" w:type="dxa"/>
              <w:right w:w="15" w:type="dxa"/>
            </w:tcMar>
            <w:vAlign w:val="bottom"/>
          </w:tcPr>
          <w:p>
            <w:pPr>
              <w:pageBreakBefore w:val="0"/>
              <w:spacing w:before="33" w:after="30" w:line="240" w:lineRule="auto"/>
              <w:jc w:val="left"/>
            </w:pPr>
            <w:r>
              <w:rPr>
                <w:rFonts w:ascii="Arial" w:eastAsia="Arial" w:hAnsi="Arial" w:cs="Arial"/>
                <w:b/>
                <w:i w:val="0"/>
                <w:color w:val="000000"/>
                <w:sz w:val="18"/>
                <w:u w:val="none"/>
              </w:rPr>
              <w:t>$3,044,951</w:t>
            </w:r>
          </w:p>
        </w:tc>
      </w:tr>
    </w:tbl>
    <w:p>
      <w:pPr>
        <w:keepNext w:val="0"/>
        <w:keepLines w:val="0"/>
        <w:pageBreakBefore w:val="0"/>
        <w:widowControl/>
        <w:numPr>
          <w:ilvl w:val="0"/>
          <w:numId w:val="0"/>
        </w:numPr>
        <w:spacing w:before="120" w:after="60" w:line="288" w:lineRule="auto"/>
        <w:ind w:left="360" w:right="0" w:hanging="360"/>
        <w:jc w:val="left"/>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(1) </w:t>
      </w:r>
      <w:r>
        <w:rPr>
          <w:rFonts w:ascii="Arial" w:eastAsia="Arial" w:hAnsi="Arial" w:cs="Arial"/>
          <w:b w:val="0"/>
          <w:i w:val="0"/>
          <w:color w:val="969698"/>
          <w:sz w:val="16"/>
          <w:u w:val="none"/>
        </w:rPr>
        <w:tab/>
      </w:r>
      <w:r>
        <w:rPr>
          <w:rFonts w:ascii="Arial" w:eastAsia="Arial" w:hAnsi="Arial" w:cs="Arial"/>
          <w:b w:val="0"/>
          <w:i w:val="0"/>
          <w:color w:val="969698"/>
          <w:sz w:val="16"/>
          <w:u w:val="none"/>
        </w:rPr>
        <w:t>M</w:t>
      </w:r>
      <w:r>
        <w:rPr>
          <w:rFonts w:ascii="Arial" w:eastAsia="Arial" w:hAnsi="Arial" w:cs="Arial"/>
          <w:b w:val="0"/>
          <w:i w:val="0"/>
          <w:color w:val="969698"/>
          <w:sz w:val="16"/>
          <w:u w:val="none"/>
        </w:rPr>
        <w:t>r. Ni</w:t>
      </w:r>
      <w:r>
        <w:rPr>
          <w:rFonts w:ascii="Arial" w:eastAsia="Arial" w:hAnsi="Arial" w:cs="Arial"/>
          <w:b w:val="0"/>
          <w:i w:val="0"/>
          <w:color w:val="969698"/>
          <w:sz w:val="16"/>
          <w:u w:val="none"/>
        </w:rPr>
        <w:t xml:space="preserve"> was awarded a target amoun</w:t>
      </w:r>
      <w:r>
        <w:rPr>
          <w:rFonts w:ascii="Arial" w:eastAsia="Arial" w:hAnsi="Arial" w:cs="Arial"/>
          <w:b w:val="0"/>
          <w:i w:val="0"/>
          <w:color w:val="929292"/>
          <w:sz w:val="16"/>
          <w:u w:val="none"/>
        </w:rPr>
        <w:t xml:space="preserve">t of </w:t>
      </w:r>
      <w:r>
        <w:rPr>
          <w:rFonts w:ascii="Arial" w:eastAsia="Arial" w:hAnsi="Arial" w:cs="Arial"/>
          <w:b w:val="0"/>
          <w:i w:val="0"/>
          <w:color w:val="929292"/>
          <w:sz w:val="16"/>
          <w:u w:val="none"/>
        </w:rPr>
        <w:t>2,199</w:t>
      </w:r>
      <w:r>
        <w:rPr>
          <w:rFonts w:ascii="Arial" w:eastAsia="Arial" w:hAnsi="Arial" w:cs="Arial"/>
          <w:b w:val="0"/>
          <w:i w:val="0"/>
          <w:color w:val="929292"/>
          <w:sz w:val="16"/>
          <w:u w:val="none"/>
        </w:rPr>
        <w:t xml:space="preserve"> PSUs, and </w:t>
      </w:r>
      <w:r>
        <w:rPr>
          <w:rFonts w:ascii="Arial" w:eastAsia="Arial" w:hAnsi="Arial" w:cs="Arial"/>
          <w:b w:val="0"/>
          <w:i w:val="0"/>
          <w:color w:val="929292"/>
          <w:sz w:val="16"/>
          <w:u w:val="none"/>
        </w:rPr>
        <w:t>943</w:t>
      </w:r>
      <w:r>
        <w:rPr>
          <w:rFonts w:ascii="Arial" w:eastAsia="Arial" w:hAnsi="Arial" w:cs="Arial"/>
          <w:b w:val="0"/>
          <w:i w:val="0"/>
          <w:color w:val="929292"/>
          <w:sz w:val="16"/>
          <w:u w:val="none"/>
        </w:rPr>
        <w:t xml:space="preserve"> RSUs on March 1, 2023 with the terms and conditions described in the section above entitled "Long-Term Incentive Compensation."</w:t>
      </w: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shd w:val="clear" w:color="auto" w:fill="00FF00"/>
        </w:rPr>
      </w:pPr>
      <w:r>
        <w:rPr>
          <w:rFonts w:ascii="Arial" w:eastAsia="Arial" w:hAnsi="Arial" w:cs="Arial"/>
          <w:b w:val="0"/>
          <w:i w:val="0"/>
          <w:color w:val="969698"/>
          <w:sz w:val="16"/>
          <w:u w:val="none"/>
        </w:rPr>
        <w:t xml:space="preserve">(2) </w:t>
      </w:r>
      <w:r>
        <w:rPr>
          <w:rFonts w:ascii="Arial" w:eastAsia="Arial" w:hAnsi="Arial" w:cs="Arial"/>
          <w:b w:val="0"/>
          <w:i w:val="0"/>
          <w:color w:val="969698"/>
          <w:sz w:val="16"/>
          <w:u w:val="none"/>
        </w:rPr>
        <w:tab/>
      </w:r>
      <w:r>
        <w:rPr>
          <w:rFonts w:ascii="Arial" w:eastAsia="Arial" w:hAnsi="Arial" w:cs="Arial"/>
          <w:b w:val="0"/>
          <w:i w:val="0"/>
          <w:color w:val="969698"/>
          <w:sz w:val="16"/>
          <w:u w:val="none"/>
        </w:rPr>
        <w:t>Special equity awards comprise RSUs that cliff-vest on the third anniversary of the grant date.</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For Mr. </w:t>
      </w:r>
      <w:r>
        <w:rPr>
          <w:rFonts w:ascii="Arial" w:eastAsia="Arial" w:hAnsi="Arial" w:cs="Arial"/>
          <w:b w:val="0"/>
          <w:i w:val="0"/>
          <w:color w:val="969698"/>
          <w:sz w:val="16"/>
          <w:u w:val="none"/>
        </w:rPr>
        <w:t>Ni</w:t>
      </w:r>
      <w:r>
        <w:rPr>
          <w:rFonts w:ascii="Arial" w:eastAsia="Arial" w:hAnsi="Arial" w:cs="Arial"/>
          <w:b w:val="0"/>
          <w:i w:val="0"/>
          <w:color w:val="969698"/>
          <w:sz w:val="16"/>
          <w:u w:val="none"/>
        </w:rPr>
        <w:t xml:space="preserve">, the Special Equity Award </w:t>
      </w:r>
      <w:r>
        <w:rPr>
          <w:rFonts w:ascii="Arial" w:eastAsia="Arial" w:hAnsi="Arial" w:cs="Arial"/>
          <w:b w:val="0"/>
          <w:i w:val="0"/>
          <w:color w:val="969698"/>
          <w:sz w:val="16"/>
          <w:u w:val="none"/>
        </w:rPr>
        <w:t>r</w:t>
      </w:r>
      <w:r>
        <w:rPr>
          <w:rFonts w:ascii="Arial" w:eastAsia="Arial" w:hAnsi="Arial" w:cs="Arial"/>
          <w:b w:val="0"/>
          <w:i w:val="0"/>
          <w:color w:val="969698"/>
          <w:sz w:val="16"/>
          <w:u w:val="none"/>
        </w:rPr>
        <w:t>ow includes</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(i) </w:t>
      </w:r>
      <w:r>
        <w:rPr>
          <w:rFonts w:ascii="Arial" w:eastAsia="Arial" w:hAnsi="Arial" w:cs="Arial"/>
          <w:b w:val="0"/>
          <w:i w:val="0"/>
          <w:color w:val="969698"/>
          <w:sz w:val="16"/>
          <w:u w:val="none"/>
        </w:rPr>
        <w:t>11,441</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RSUs</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granted on F</w:t>
      </w:r>
      <w:r>
        <w:rPr>
          <w:rFonts w:ascii="Arial" w:eastAsia="Arial" w:hAnsi="Arial" w:cs="Arial"/>
          <w:b w:val="0"/>
          <w:i w:val="0"/>
          <w:color w:val="969698"/>
          <w:sz w:val="16"/>
          <w:u w:val="none"/>
        </w:rPr>
        <w:t>ebruary 4, 2</w:t>
      </w:r>
      <w:r>
        <w:rPr>
          <w:rFonts w:ascii="Arial" w:eastAsia="Arial" w:hAnsi="Arial" w:cs="Arial"/>
          <w:b w:val="0"/>
          <w:i w:val="0"/>
          <w:color w:val="969698"/>
          <w:sz w:val="16"/>
          <w:u w:val="none"/>
        </w:rPr>
        <w:t>02</w:t>
      </w:r>
      <w:r>
        <w:rPr>
          <w:rFonts w:ascii="Arial" w:eastAsia="Arial" w:hAnsi="Arial" w:cs="Arial"/>
          <w:b w:val="0"/>
          <w:i w:val="0"/>
          <w:color w:val="969698"/>
          <w:sz w:val="16"/>
          <w:u w:val="none"/>
        </w:rPr>
        <w:t>2</w:t>
      </w:r>
      <w:r>
        <w:rPr>
          <w:rFonts w:ascii="Arial" w:eastAsia="Arial" w:hAnsi="Arial" w:cs="Arial"/>
          <w:b w:val="0"/>
          <w:i w:val="0"/>
          <w:color w:val="969698"/>
          <w:sz w:val="16"/>
          <w:u w:val="none"/>
        </w:rPr>
        <w:t>, which the C</w:t>
      </w:r>
      <w:r>
        <w:rPr>
          <w:rFonts w:ascii="Arial" w:eastAsia="Arial" w:hAnsi="Arial" w:cs="Arial"/>
          <w:b w:val="0"/>
          <w:i w:val="0"/>
          <w:color w:val="969698"/>
          <w:sz w:val="16"/>
          <w:u w:val="none"/>
        </w:rPr>
        <w:t>omp</w:t>
      </w:r>
      <w:r>
        <w:rPr>
          <w:rFonts w:ascii="Arial" w:eastAsia="Arial" w:hAnsi="Arial" w:cs="Arial"/>
          <w:b w:val="0"/>
          <w:i w:val="0"/>
          <w:color w:val="969698"/>
          <w:sz w:val="16"/>
          <w:u w:val="none"/>
        </w:rPr>
        <w:t>ensation Committee restructured to exten</w:t>
      </w:r>
      <w:r>
        <w:rPr>
          <w:rFonts w:ascii="Arial" w:eastAsia="Arial" w:hAnsi="Arial" w:cs="Arial"/>
          <w:b w:val="0"/>
          <w:i w:val="0"/>
          <w:color w:val="969698"/>
          <w:sz w:val="16"/>
          <w:u w:val="none"/>
        </w:rPr>
        <w:t>d</w:t>
      </w:r>
      <w:r>
        <w:rPr>
          <w:rFonts w:ascii="Arial" w:eastAsia="Arial" w:hAnsi="Arial" w:cs="Arial"/>
          <w:b w:val="0"/>
          <w:i w:val="0"/>
          <w:color w:val="969698"/>
          <w:sz w:val="16"/>
          <w:u w:val="none"/>
        </w:rPr>
        <w:t xml:space="preserve"> the vesting date from February 4, 2025 to February 4, 2026, and (ii) </w:t>
      </w:r>
      <w:r>
        <w:rPr>
          <w:rFonts w:ascii="Arial" w:eastAsia="Arial" w:hAnsi="Arial" w:cs="Arial"/>
          <w:b w:val="0"/>
          <w:i w:val="0"/>
          <w:color w:val="969698"/>
          <w:sz w:val="16"/>
          <w:u w:val="none"/>
        </w:rPr>
        <w:t>4,488</w:t>
      </w:r>
      <w:r>
        <w:rPr>
          <w:rFonts w:ascii="Arial" w:eastAsia="Arial" w:hAnsi="Arial" w:cs="Arial"/>
          <w:b w:val="0"/>
          <w:i w:val="0"/>
          <w:color w:val="969698"/>
          <w:sz w:val="16"/>
          <w:u w:val="none"/>
        </w:rPr>
        <w:t xml:space="preserve"> RSUs, granted </w:t>
      </w:r>
      <w:r>
        <w:rPr>
          <w:rFonts w:ascii="Arial" w:eastAsia="Arial" w:hAnsi="Arial" w:cs="Arial"/>
          <w:b w:val="0"/>
          <w:i w:val="0"/>
          <w:color w:val="969698"/>
          <w:sz w:val="16"/>
          <w:u w:val="none"/>
        </w:rPr>
        <w:t>on March 20, 2023, which vest in a lump</w:t>
      </w:r>
      <w:r>
        <w:rPr>
          <w:rFonts w:ascii="Arial" w:eastAsia="Arial" w:hAnsi="Arial" w:cs="Arial"/>
          <w:b w:val="0"/>
          <w:i w:val="0"/>
          <w:color w:val="969698"/>
          <w:sz w:val="16"/>
          <w:u w:val="none"/>
        </w:rPr>
        <w:t xml:space="preserve"> sum on </w:t>
      </w:r>
      <w:r>
        <w:rPr>
          <w:rFonts w:ascii="Arial" w:eastAsia="Arial" w:hAnsi="Arial" w:cs="Arial"/>
          <w:b w:val="0"/>
          <w:i w:val="0"/>
          <w:color w:val="969698"/>
          <w:sz w:val="16"/>
          <w:u w:val="none"/>
        </w:rPr>
        <w:t xml:space="preserve">February </w:t>
      </w:r>
      <w:r>
        <w:rPr>
          <w:rFonts w:ascii="Arial" w:eastAsia="Arial" w:hAnsi="Arial" w:cs="Arial"/>
          <w:b w:val="0"/>
          <w:i w:val="0"/>
          <w:color w:val="969698"/>
          <w:sz w:val="16"/>
          <w:u w:val="none"/>
        </w:rPr>
        <w:t xml:space="preserve">4, 2026. </w:t>
      </w:r>
      <w:r>
        <w:rPr>
          <w:rFonts w:ascii="Arial" w:eastAsia="Arial" w:hAnsi="Arial" w:cs="Arial"/>
          <w:b w:val="0"/>
          <w:i w:val="0"/>
          <w:color w:val="969698"/>
          <w:sz w:val="16"/>
          <w:u w:val="none"/>
        </w:rPr>
        <w:t>Amounts show</w:t>
      </w:r>
      <w:r>
        <w:rPr>
          <w:rFonts w:ascii="Arial" w:eastAsia="Arial" w:hAnsi="Arial" w:cs="Arial"/>
          <w:b w:val="0"/>
          <w:i w:val="0"/>
          <w:color w:val="969698"/>
          <w:sz w:val="16"/>
          <w:u w:val="none"/>
        </w:rPr>
        <w:t xml:space="preserve">n in the table in respect of these awards are annualized by dividing the grant date fair value of each award by three and including such amount in the year of grant and the two subsequent years, except in the case of the special equity award granted to Mr. Ni </w:t>
      </w:r>
      <w:r>
        <w:rPr>
          <w:rFonts w:ascii="Arial" w:eastAsia="Arial" w:hAnsi="Arial" w:cs="Arial"/>
          <w:b w:val="0"/>
          <w:i w:val="0"/>
          <w:color w:val="969698"/>
          <w:sz w:val="16"/>
          <w:u w:val="none"/>
        </w:rPr>
        <w:t xml:space="preserve">on February 4, 2022 </w:t>
      </w:r>
      <w:r>
        <w:rPr>
          <w:rFonts w:ascii="Arial" w:eastAsia="Arial" w:hAnsi="Arial" w:cs="Arial"/>
          <w:b w:val="0"/>
          <w:i w:val="0"/>
          <w:color w:val="969698"/>
          <w:sz w:val="16"/>
          <w:u w:val="none"/>
        </w:rPr>
        <w:t>that was</w:t>
      </w:r>
      <w:r>
        <w:rPr>
          <w:rFonts w:ascii="Arial" w:eastAsia="Arial" w:hAnsi="Arial" w:cs="Arial"/>
          <w:b w:val="0"/>
          <w:i w:val="0"/>
          <w:color w:val="969698"/>
          <w:sz w:val="16"/>
          <w:u w:val="none"/>
        </w:rPr>
        <w:t xml:space="preserve"> restruct</w:t>
      </w:r>
      <w:r>
        <w:rPr>
          <w:rFonts w:ascii="Arial" w:eastAsia="Arial" w:hAnsi="Arial" w:cs="Arial"/>
          <w:b w:val="0"/>
          <w:i w:val="0"/>
          <w:color w:val="969698"/>
          <w:sz w:val="16"/>
          <w:u w:val="none"/>
        </w:rPr>
        <w:t>ured by the Compensation</w:t>
      </w:r>
      <w:r>
        <w:rPr>
          <w:rFonts w:ascii="Arial" w:eastAsia="Arial" w:hAnsi="Arial" w:cs="Arial"/>
          <w:b w:val="0"/>
          <w:i w:val="0"/>
          <w:color w:val="969698"/>
          <w:sz w:val="16"/>
          <w:u w:val="none"/>
        </w:rPr>
        <w:t xml:space="preserve"> Committee, which </w:t>
      </w:r>
      <w:r>
        <w:rPr>
          <w:rFonts w:ascii="Arial" w:eastAsia="Arial" w:hAnsi="Arial" w:cs="Arial"/>
          <w:b w:val="0"/>
          <w:i w:val="0"/>
          <w:color w:val="969698"/>
          <w:sz w:val="16"/>
          <w:u w:val="none"/>
        </w:rPr>
        <w:t>am</w:t>
      </w:r>
      <w:r>
        <w:rPr>
          <w:rFonts w:ascii="Arial" w:eastAsia="Arial" w:hAnsi="Arial" w:cs="Arial"/>
          <w:b w:val="0"/>
          <w:i w:val="0"/>
          <w:color w:val="969698"/>
          <w:sz w:val="16"/>
          <w:u w:val="none"/>
        </w:rPr>
        <w:t xml:space="preserve">ount is </w:t>
      </w:r>
      <w:r>
        <w:rPr>
          <w:rFonts w:ascii="Arial" w:eastAsia="Arial" w:hAnsi="Arial" w:cs="Arial"/>
          <w:b w:val="0"/>
          <w:i w:val="0"/>
          <w:color w:val="969698"/>
          <w:sz w:val="16"/>
          <w:u w:val="none"/>
        </w:rPr>
        <w:t xml:space="preserve">instead </w:t>
      </w:r>
      <w:r>
        <w:rPr>
          <w:rFonts w:ascii="Arial" w:eastAsia="Arial" w:hAnsi="Arial" w:cs="Arial"/>
          <w:b w:val="0"/>
          <w:i w:val="0"/>
          <w:color w:val="969698"/>
          <w:sz w:val="16"/>
          <w:u w:val="none"/>
        </w:rPr>
        <w:t>annualized by dividing the grant date fair valu</w:t>
      </w:r>
      <w:r>
        <w:rPr>
          <w:rFonts w:ascii="Arial" w:eastAsia="Arial" w:hAnsi="Arial" w:cs="Arial"/>
          <w:b w:val="0"/>
          <w:i w:val="0"/>
          <w:color w:val="969698"/>
          <w:sz w:val="16"/>
          <w:u w:val="none"/>
        </w:rPr>
        <w:t xml:space="preserve">e by four and including such amount in the year of grant and the three subsequent years. </w:t>
      </w: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969698"/>
          <w:sz w:val="20"/>
          <w:u w:val="none"/>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969698"/>
          <w:sz w:val="20"/>
          <w:u w:val="none"/>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969698"/>
          <w:sz w:val="20"/>
          <w:u w:val="none"/>
        </w:rPr>
      </w:pPr>
      <w:r>
        <w:rPr>
          <w:rFonts w:ascii="Arial" w:eastAsia="Arial" w:hAnsi="Arial" w:cs="Arial"/>
          <w:b/>
          <w:i w:val="0"/>
          <w:color w:val="4494D1"/>
          <w:sz w:val="20"/>
          <w:u w:val="none"/>
        </w:rPr>
        <w:t>2023 Annual Cash Incentive Award</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969698"/>
          <w:sz w:val="20"/>
          <w:u w:val="none"/>
        </w:rPr>
      </w:pPr>
      <w:r>
        <w:rPr>
          <w:rFonts w:ascii="Arial" w:eastAsia="Arial" w:hAnsi="Arial" w:cs="Arial"/>
          <w:b w:val="0"/>
          <w:i w:val="0"/>
          <w:sz w:val="20"/>
        </w:rPr>
        <w:t xml:space="preserve">Mr. </w:t>
      </w:r>
      <w:r>
        <w:rPr>
          <w:rFonts w:ascii="Arial" w:eastAsia="Arial" w:hAnsi="Arial" w:cs="Arial"/>
          <w:b w:val="0"/>
          <w:i w:val="0"/>
          <w:sz w:val="20"/>
        </w:rPr>
        <w:t>Ni</w:t>
      </w:r>
      <w:r>
        <w:rPr>
          <w:rFonts w:ascii="Arial" w:eastAsia="Arial" w:hAnsi="Arial" w:cs="Arial"/>
          <w:b w:val="0"/>
          <w:i w:val="0"/>
          <w:sz w:val="20"/>
        </w:rPr>
        <w:t xml:space="preserve"> earned an annual incentive payment of </w:t>
      </w:r>
      <w:r>
        <w:rPr>
          <w:rFonts w:ascii="Arial" w:eastAsia="Arial" w:hAnsi="Arial" w:cs="Arial"/>
          <w:b w:val="0"/>
          <w:i w:val="0"/>
          <w:color w:val="000000"/>
          <w:sz w:val="20"/>
          <w:u w:val="none"/>
        </w:rPr>
        <w:t>$1,357,845</w:t>
      </w:r>
      <w:r>
        <w:rPr>
          <w:rFonts w:ascii="Arial" w:eastAsia="Arial" w:hAnsi="Arial" w:cs="Arial"/>
          <w:b w:val="0"/>
          <w:i w:val="0"/>
          <w:sz w:val="20"/>
        </w:rPr>
        <w:t xml:space="preserve">, or </w:t>
      </w:r>
      <w:r>
        <w:rPr>
          <w:rFonts w:ascii="Arial" w:eastAsia="Arial" w:hAnsi="Arial" w:cs="Arial"/>
          <w:b w:val="0"/>
          <w:i w:val="0"/>
          <w:color w:val="000000"/>
          <w:sz w:val="20"/>
          <w:u w:val="none"/>
        </w:rPr>
        <w:t>101%</w:t>
      </w:r>
      <w:r>
        <w:rPr>
          <w:rFonts w:ascii="Arial" w:eastAsia="Arial" w:hAnsi="Arial" w:cs="Arial"/>
          <w:b w:val="0"/>
          <w:i w:val="0"/>
          <w:sz w:val="20"/>
        </w:rPr>
        <w:t xml:space="preserve"> of target, based on the final achievement of the Company's financial performance, corporate objectives, and his pre-established </w:t>
      </w:r>
      <w:r>
        <w:rPr>
          <w:rFonts w:ascii="Arial" w:eastAsia="Arial" w:hAnsi="Arial" w:cs="Arial"/>
          <w:b w:val="0"/>
          <w:i w:val="0"/>
          <w:sz w:val="20"/>
        </w:rPr>
        <w:t xml:space="preserve">individual </w:t>
      </w:r>
      <w:r>
        <w:rPr>
          <w:rFonts w:ascii="Arial" w:eastAsia="Arial" w:hAnsi="Arial" w:cs="Arial"/>
          <w:b w:val="0"/>
          <w:i w:val="0"/>
          <w:sz w:val="20"/>
        </w:rPr>
        <w:t>performance goals, as described below.</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055"/>
        <w:gridCol w:w="3240"/>
        <w:gridCol w:w="1485"/>
        <w:gridCol w:w="1665"/>
        <w:gridCol w:w="181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720"/>
        </w:trPr>
        <w:tc>
          <w:tcPr>
            <w:tcW w:w="205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i w:val="0"/>
                <w:sz w:val="18"/>
              </w:rPr>
            </w:pPr>
            <w:r>
              <w:rPr>
                <w:rFonts w:ascii="Arial" w:eastAsia="Arial" w:hAnsi="Arial" w:cs="Arial"/>
                <w:b/>
                <w:i w:val="0"/>
                <w:sz w:val="18"/>
              </w:rPr>
              <w:t>Bonus Component</w:t>
            </w:r>
            <w:r>
              <w:rPr>
                <w:rFonts w:ascii="Arial" w:eastAsia="Arial" w:hAnsi="Arial" w:cs="Arial"/>
                <w:b/>
                <w:i w:val="0"/>
                <w:sz w:val="18"/>
                <w:vertAlign w:val="superscript"/>
              </w:rPr>
              <w:t>(1)</w:t>
            </w:r>
          </w:p>
        </w:tc>
        <w:tc>
          <w:tcPr>
            <w:tcW w:w="3240"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Performance Criteria</w:t>
            </w:r>
          </w:p>
        </w:tc>
        <w:tc>
          <w:tcPr>
            <w:tcW w:w="148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Component Weighting</w:t>
            </w:r>
          </w:p>
        </w:tc>
        <w:tc>
          <w:tcPr>
            <w:tcW w:w="166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Actual Payout as a Percent of Target</w:t>
            </w:r>
          </w:p>
        </w:tc>
        <w:tc>
          <w:tcPr>
            <w:tcW w:w="181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Award Payout</w:t>
            </w:r>
          </w:p>
        </w:tc>
      </w:tr>
      <w:tr>
        <w:tblPrEx>
          <w:tblW w:w="10260" w:type="dxa"/>
          <w:tblInd w:w="0" w:type="dxa"/>
          <w:tblLayout w:type="fixed"/>
          <w:tblCellMar>
            <w:left w:w="108" w:type="dxa"/>
            <w:right w:w="108" w:type="dxa"/>
          </w:tblCellMar>
        </w:tblPrEx>
        <w:trPr>
          <w:cantSplit/>
          <w:trHeight w:hRule="exact" w:val="345"/>
        </w:trPr>
        <w:tc>
          <w:tcPr>
            <w:tcW w:w="2055" w:type="dxa"/>
            <w:tcBorders>
              <w:top w:val="single" w:sz="12" w:space="0" w:color="4494D1"/>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Financial Component</w:t>
            </w:r>
          </w:p>
        </w:tc>
        <w:tc>
          <w:tcPr>
            <w:tcW w:w="3240" w:type="dxa"/>
            <w:tcBorders>
              <w:top w:val="single" w:sz="12" w:space="0" w:color="4494D1"/>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Adjusted ROE</w:t>
            </w:r>
          </w:p>
        </w:tc>
        <w:tc>
          <w:tcPr>
            <w:tcW w:w="1485" w:type="dxa"/>
            <w:tcBorders>
              <w:top w:val="single" w:sz="12" w:space="0" w:color="4494D1"/>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20%</w:t>
            </w:r>
          </w:p>
        </w:tc>
        <w:tc>
          <w:tcPr>
            <w:tcW w:w="166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105.4%</w:t>
            </w:r>
          </w:p>
        </w:tc>
        <w:tc>
          <w:tcPr>
            <w:tcW w:w="181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$284,595</w:t>
            </w:r>
          </w:p>
        </w:tc>
      </w:tr>
      <w:tr>
        <w:tblPrEx>
          <w:tblW w:w="10260" w:type="dxa"/>
          <w:tblInd w:w="0" w:type="dxa"/>
          <w:tblLayout w:type="fixed"/>
          <w:tblCellMar>
            <w:left w:w="108" w:type="dxa"/>
            <w:right w:w="108" w:type="dxa"/>
          </w:tblCellMar>
        </w:tblPrEx>
        <w:trPr>
          <w:cantSplit/>
          <w:trHeight w:hRule="exact" w:val="315"/>
        </w:trPr>
        <w:tc>
          <w:tcPr>
            <w:tcW w:w="205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Corporate Component</w:t>
            </w:r>
          </w:p>
        </w:tc>
        <w:tc>
          <w:tcPr>
            <w:tcW w:w="3240"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As set out on pg. </w:t>
            </w:r>
            <w:r>
              <w:rPr>
                <w:rFonts w:ascii="Arial" w:eastAsia="Arial" w:hAnsi="Arial" w:cs="Arial"/>
                <w:b w:val="0"/>
                <w:i w:val="0"/>
                <w:color w:val="0000FF"/>
                <w:sz w:val="18"/>
                <w:u w:val="single"/>
              </w:rPr>
              <w:fldChar w:fldCharType="begin"/>
            </w:r>
            <w:r>
              <w:rPr>
                <w:rFonts w:ascii="Arial" w:eastAsia="Arial" w:hAnsi="Arial" w:cs="Arial"/>
                <w:b w:val="0"/>
                <w:i w:val="0"/>
                <w:color w:val="0000FF"/>
                <w:sz w:val="18"/>
                <w:u w:val="single"/>
              </w:rPr>
              <w:instrText xml:space="preserve"> PAGEREF </w:instrText>
            </w:r>
            <w:r>
              <w:rPr>
                <w:rFonts w:ascii="Arial" w:eastAsia="Arial" w:hAnsi="Arial" w:cs="Arial"/>
                <w:b w:val="0"/>
                <w:i w:val="0"/>
                <w:color w:val="0000FF"/>
                <w:sz w:val="18"/>
                <w:u w:val="single"/>
              </w:rPr>
              <w:instrText xml:space="preserve"> </w:instrText>
            </w:r>
            <w:r>
              <w:rPr>
                <w:rFonts w:ascii="Arial" w:eastAsia="Arial" w:hAnsi="Arial" w:cs="Arial"/>
                <w:b w:val="0"/>
                <w:i w:val="0"/>
                <w:color w:val="0000FF"/>
                <w:sz w:val="18"/>
                <w:u w:val="single"/>
              </w:rPr>
              <w:instrText>Section82</w:instrText>
            </w:r>
            <w:r>
              <w:rPr>
                <w:rFonts w:ascii="Arial" w:eastAsia="Arial" w:hAnsi="Arial" w:cs="Arial"/>
                <w:b w:val="0"/>
                <w:i w:val="0"/>
                <w:color w:val="0000FF"/>
                <w:sz w:val="18"/>
                <w:u w:val="single"/>
              </w:rPr>
              <w:instrText xml:space="preserve"> \h</w:instrText>
            </w:r>
            <w:r>
              <w:rPr>
                <w:rFonts w:ascii="Arial" w:eastAsia="Arial" w:hAnsi="Arial" w:cs="Arial"/>
                <w:b w:val="0"/>
                <w:i w:val="0"/>
                <w:color w:val="0000FF"/>
                <w:sz w:val="18"/>
                <w:u w:val="single"/>
              </w:rPr>
              <w:fldChar w:fldCharType="separate"/>
            </w:r>
            <w:r>
              <w:rPr>
                <w:rFonts w:ascii="Arial" w:eastAsia="Arial" w:hAnsi="Arial" w:cs="Arial"/>
                <w:b w:val="0"/>
                <w:i w:val="0"/>
                <w:color w:val="0000FF"/>
                <w:sz w:val="18"/>
                <w:u w:val="single"/>
              </w:rPr>
              <w:t>53</w:t>
            </w:r>
            <w:r>
              <w:rPr>
                <w:rFonts w:ascii="Arial" w:eastAsia="Arial" w:hAnsi="Arial" w:cs="Arial"/>
                <w:b w:val="0"/>
                <w:i w:val="0"/>
                <w:color w:val="0000FF"/>
                <w:sz w:val="18"/>
                <w:u w:val="single"/>
              </w:rPr>
              <w:fldChar w:fldCharType="end"/>
            </w:r>
          </w:p>
        </w:tc>
        <w:tc>
          <w:tcPr>
            <w:tcW w:w="148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50%</w:t>
            </w:r>
          </w:p>
        </w:tc>
        <w:tc>
          <w:tcPr>
            <w:tcW w:w="166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100.0%</w:t>
            </w:r>
          </w:p>
        </w:tc>
        <w:tc>
          <w:tcPr>
            <w:tcW w:w="181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$675,000</w:t>
            </w:r>
          </w:p>
        </w:tc>
      </w:tr>
      <w:tr>
        <w:tblPrEx>
          <w:tblW w:w="10260" w:type="dxa"/>
          <w:tblInd w:w="0" w:type="dxa"/>
          <w:tblLayout w:type="fixed"/>
          <w:tblCellMar>
            <w:left w:w="108" w:type="dxa"/>
            <w:right w:w="108" w:type="dxa"/>
          </w:tblCellMar>
        </w:tblPrEx>
        <w:trPr>
          <w:cantSplit/>
          <w:trHeight w:hRule="exact" w:val="360"/>
        </w:trPr>
        <w:tc>
          <w:tcPr>
            <w:tcW w:w="205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Individual Component</w:t>
            </w:r>
          </w:p>
        </w:tc>
        <w:tc>
          <w:tcPr>
            <w:tcW w:w="3240"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Individual goals detailed below</w:t>
            </w:r>
          </w:p>
        </w:tc>
        <w:tc>
          <w:tcPr>
            <w:tcW w:w="148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30%</w:t>
            </w:r>
          </w:p>
        </w:tc>
        <w:tc>
          <w:tcPr>
            <w:tcW w:w="166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98.3%</w:t>
            </w:r>
          </w:p>
        </w:tc>
        <w:tc>
          <w:tcPr>
            <w:tcW w:w="181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$398,250</w:t>
            </w:r>
          </w:p>
        </w:tc>
      </w:tr>
      <w:tr>
        <w:tblPrEx>
          <w:tblW w:w="10260" w:type="dxa"/>
          <w:tblInd w:w="0" w:type="dxa"/>
          <w:tblLayout w:type="fixed"/>
          <w:tblCellMar>
            <w:left w:w="108" w:type="dxa"/>
            <w:right w:w="108" w:type="dxa"/>
          </w:tblCellMar>
        </w:tblPrEx>
        <w:trPr>
          <w:cantSplit/>
          <w:trHeight w:hRule="exact" w:val="360"/>
        </w:trPr>
        <w:tc>
          <w:tcPr>
            <w:tcW w:w="205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Committee Discretion</w:t>
            </w:r>
          </w:p>
        </w:tc>
        <w:tc>
          <w:tcPr>
            <w:tcW w:w="3240"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No discretion applied</w:t>
            </w:r>
          </w:p>
        </w:tc>
        <w:tc>
          <w:tcPr>
            <w:tcW w:w="148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N/A</w:t>
            </w:r>
          </w:p>
        </w:tc>
        <w:tc>
          <w:tcPr>
            <w:tcW w:w="166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N/A</w:t>
            </w:r>
          </w:p>
        </w:tc>
        <w:tc>
          <w:tcPr>
            <w:tcW w:w="181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w:t>
            </w:r>
          </w:p>
        </w:tc>
      </w:tr>
      <w:tr>
        <w:tblPrEx>
          <w:tblW w:w="10260" w:type="dxa"/>
          <w:tblInd w:w="0" w:type="dxa"/>
          <w:tblLayout w:type="fixed"/>
          <w:tblCellMar>
            <w:left w:w="108" w:type="dxa"/>
            <w:right w:w="108" w:type="dxa"/>
          </w:tblCellMar>
        </w:tblPrEx>
        <w:trPr>
          <w:cantSplit/>
          <w:trHeight w:hRule="exact" w:val="345"/>
        </w:trPr>
        <w:tc>
          <w:tcPr>
            <w:tcW w:w="2055" w:type="dxa"/>
            <w:tcBorders>
              <w:top w:val="single" w:sz="8" w:space="0" w:color="B6B6B6"/>
              <w:left w:val="nil"/>
              <w:bottom w:val="nil"/>
              <w:right w:val="nil"/>
            </w:tcBorders>
            <w:tcMar>
              <w:top w:w="0" w:type="dxa"/>
              <w:left w:w="53" w:type="dxa"/>
              <w:bottom w:w="0" w:type="dxa"/>
              <w:right w:w="53" w:type="dxa"/>
            </w:tcMar>
            <w:vAlign w:val="center"/>
          </w:tcPr>
          <w:p>
            <w:pPr>
              <w:pageBreakBefore w:val="0"/>
              <w:spacing w:before="0" w:after="0" w:line="240" w:lineRule="auto"/>
              <w:jc w:val="left"/>
            </w:pPr>
            <w:r>
              <w:rPr>
                <w:rFonts w:ascii="Arial" w:eastAsia="Arial" w:hAnsi="Arial" w:cs="Arial"/>
                <w:b/>
                <w:i w:val="0"/>
                <w:color w:val="000000"/>
                <w:sz w:val="18"/>
                <w:u w:val="none"/>
              </w:rPr>
              <w:t>Total</w:t>
            </w:r>
          </w:p>
        </w:tc>
        <w:tc>
          <w:tcPr>
            <w:tcW w:w="3240"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p>
        </w:tc>
        <w:tc>
          <w:tcPr>
            <w:tcW w:w="1485"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100%</w:t>
            </w:r>
          </w:p>
        </w:tc>
        <w:tc>
          <w:tcPr>
            <w:tcW w:w="1665"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101%</w:t>
            </w:r>
          </w:p>
        </w:tc>
        <w:tc>
          <w:tcPr>
            <w:tcW w:w="1815"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$1,357,845</w:t>
            </w:r>
          </w:p>
        </w:tc>
      </w:tr>
    </w:tbl>
    <w:p>
      <w:pPr>
        <w:keepNext w:val="0"/>
        <w:keepLines w:val="0"/>
        <w:pageBreakBefore w:val="0"/>
        <w:widowControl/>
        <w:numPr>
          <w:ilvl w:val="0"/>
          <w:numId w:val="0"/>
        </w:numPr>
        <w:spacing w:before="120" w:after="60" w:line="288" w:lineRule="auto"/>
        <w:ind w:left="360" w:right="0" w:hanging="360"/>
        <w:jc w:val="left"/>
        <w:outlineLvl w:val="9"/>
        <w:rPr>
          <w:rFonts w:ascii="Arial" w:eastAsia="Arial" w:hAnsi="Arial" w:cs="Arial"/>
          <w:b w:val="0"/>
          <w:i w:val="0"/>
          <w:color w:val="969698"/>
          <w:sz w:val="16"/>
          <w:u w:val="none"/>
        </w:rPr>
      </w:pPr>
      <w:r>
        <w:rPr>
          <w:rFonts w:ascii="Times New Roman" w:eastAsia="Times New Roman" w:hAnsi="Times New Roman" w:cs="Times New Roman"/>
          <w:b w:val="0"/>
          <w:i w:val="0"/>
          <w:color w:val="FF0090"/>
          <w:sz w:val="12"/>
          <w:u w:val="none"/>
        </w:rPr>
        <w:t xml:space="preserve"> </w:t>
      </w:r>
      <w:r>
        <w:rPr>
          <w:rFonts w:ascii="Times New Roman" w:eastAsia="Times New Roman" w:hAnsi="Times New Roman" w:cs="Times New Roman"/>
          <w:b w:val="0"/>
          <w:i w:val="0"/>
          <w:color w:val="FF0090"/>
          <w:sz w:val="12"/>
          <w:u w:val="none"/>
        </w:rPr>
        <w:t xml:space="preserve"> </w:t>
      </w:r>
      <w:r>
        <w:rPr>
          <w:rFonts w:ascii="Arial" w:eastAsia="Arial" w:hAnsi="Arial" w:cs="Arial"/>
          <w:b w:val="0"/>
          <w:i w:val="0"/>
          <w:color w:val="969698"/>
          <w:sz w:val="16"/>
          <w:u w:val="none"/>
        </w:rPr>
        <w:t xml:space="preserve">(1) </w:t>
      </w:r>
      <w:r>
        <w:rPr>
          <w:rFonts w:ascii="Arial" w:eastAsia="Arial" w:hAnsi="Arial" w:cs="Arial"/>
          <w:b w:val="0"/>
          <w:i w:val="0"/>
          <w:color w:val="969698"/>
          <w:sz w:val="16"/>
          <w:u w:val="none"/>
        </w:rPr>
        <w:tab/>
      </w:r>
      <w:r>
        <w:rPr>
          <w:rFonts w:ascii="Arial" w:eastAsia="Arial" w:hAnsi="Arial" w:cs="Arial"/>
          <w:b w:val="0"/>
          <w:i w:val="0"/>
          <w:color w:val="969698"/>
          <w:sz w:val="16"/>
          <w:u w:val="none"/>
        </w:rPr>
        <w:t>The financial and corporate component multipliers vary by executive as they are each entitled to earn different percentages of their base salary as a bonus depending on the Company’s financial and corporate component achievement. Therefore, the same levels of financial and corporate component achievement translates into slightly different percentages of earned target bonus award opportunity for each executive.</w:t>
      </w: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rPr>
      </w:pP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325"/>
        <w:gridCol w:w="1035"/>
        <w:gridCol w:w="1275"/>
        <w:gridCol w:w="562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525"/>
        </w:trPr>
        <w:tc>
          <w:tcPr>
            <w:tcW w:w="232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Individual Performance Objective</w:t>
            </w:r>
          </w:p>
          <w:p>
            <w:pPr>
              <w:pageBreakBefore w:val="0"/>
              <w:numPr>
                <w:ilvl w:val="0"/>
                <w:numId w:val="0"/>
              </w:numPr>
              <w:spacing w:before="0" w:after="30" w:line="240" w:lineRule="auto"/>
              <w:ind w:left="0" w:right="0" w:firstLine="0"/>
              <w:jc w:val="left"/>
              <w:outlineLvl w:val="9"/>
              <w:rPr>
                <w:rFonts w:ascii="Arial" w:eastAsia="Arial" w:hAnsi="Arial" w:cs="Arial"/>
                <w:b/>
                <w:i w:val="0"/>
                <w:sz w:val="6"/>
              </w:rPr>
            </w:pPr>
            <w:r>
              <w:rPr>
                <w:rFonts w:ascii="Arial" w:eastAsia="Arial" w:hAnsi="Arial" w:cs="Arial"/>
                <w:b/>
                <w:i w:val="0"/>
                <w:sz w:val="6"/>
              </w:rPr>
              <w:t xml:space="preserve"> </w:t>
            </w:r>
          </w:p>
        </w:tc>
        <w:tc>
          <w:tcPr>
            <w:tcW w:w="103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Weighting</w:t>
            </w:r>
          </w:p>
          <w:p>
            <w:pPr>
              <w:pageBreakBefore w:val="0"/>
              <w:numPr>
                <w:ilvl w:val="0"/>
                <w:numId w:val="0"/>
              </w:numPr>
              <w:spacing w:before="0" w:after="30" w:line="240" w:lineRule="auto"/>
              <w:ind w:left="0" w:right="0" w:firstLine="0"/>
              <w:jc w:val="left"/>
              <w:outlineLvl w:val="9"/>
              <w:rPr>
                <w:rFonts w:ascii="Arial" w:eastAsia="Arial" w:hAnsi="Arial" w:cs="Arial"/>
                <w:b/>
                <w:i w:val="0"/>
                <w:sz w:val="6"/>
              </w:rPr>
            </w:pPr>
            <w:r>
              <w:rPr>
                <w:rFonts w:ascii="Arial" w:eastAsia="Arial" w:hAnsi="Arial" w:cs="Arial"/>
                <w:b/>
                <w:i w:val="0"/>
                <w:sz w:val="6"/>
              </w:rPr>
              <w:t xml:space="preserve"> </w:t>
            </w:r>
          </w:p>
        </w:tc>
        <w:tc>
          <w:tcPr>
            <w:tcW w:w="127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Achievement Level</w:t>
            </w:r>
          </w:p>
          <w:p>
            <w:pPr>
              <w:pageBreakBefore w:val="0"/>
              <w:numPr>
                <w:ilvl w:val="0"/>
                <w:numId w:val="0"/>
              </w:numPr>
              <w:spacing w:before="0" w:after="30" w:line="240" w:lineRule="auto"/>
              <w:ind w:left="0" w:right="0" w:firstLine="0"/>
              <w:jc w:val="left"/>
              <w:outlineLvl w:val="9"/>
              <w:rPr>
                <w:rFonts w:ascii="Arial" w:eastAsia="Arial" w:hAnsi="Arial" w:cs="Arial"/>
                <w:b/>
                <w:i w:val="0"/>
                <w:sz w:val="6"/>
              </w:rPr>
            </w:pPr>
            <w:r>
              <w:rPr>
                <w:rFonts w:ascii="Arial" w:eastAsia="Arial" w:hAnsi="Arial" w:cs="Arial"/>
                <w:b/>
                <w:i w:val="0"/>
                <w:sz w:val="6"/>
              </w:rPr>
              <w:t xml:space="preserve"> </w:t>
            </w:r>
          </w:p>
        </w:tc>
        <w:tc>
          <w:tcPr>
            <w:tcW w:w="562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90"/>
              <w:jc w:val="left"/>
              <w:outlineLvl w:val="9"/>
              <w:rPr>
                <w:rFonts w:ascii="Arial" w:eastAsia="Arial" w:hAnsi="Arial" w:cs="Arial"/>
                <w:b/>
                <w:i w:val="0"/>
                <w:sz w:val="18"/>
              </w:rPr>
            </w:pPr>
            <w:r>
              <w:rPr>
                <w:rFonts w:ascii="Arial" w:eastAsia="Arial" w:hAnsi="Arial" w:cs="Arial"/>
                <w:b/>
                <w:i w:val="0"/>
                <w:sz w:val="18"/>
              </w:rPr>
              <w:t>Description of Achievement</w:t>
            </w:r>
          </w:p>
          <w:p>
            <w:pPr>
              <w:pageBreakBefore w:val="0"/>
              <w:numPr>
                <w:ilvl w:val="0"/>
                <w:numId w:val="0"/>
              </w:numPr>
              <w:spacing w:before="0" w:after="30" w:line="240" w:lineRule="auto"/>
              <w:ind w:left="0" w:right="0" w:firstLine="90"/>
              <w:jc w:val="left"/>
              <w:outlineLvl w:val="9"/>
              <w:rPr>
                <w:rFonts w:ascii="Arial" w:eastAsia="Arial" w:hAnsi="Arial" w:cs="Arial"/>
                <w:b/>
                <w:i w:val="0"/>
                <w:sz w:val="6"/>
              </w:rPr>
            </w:pPr>
            <w:r>
              <w:rPr>
                <w:rFonts w:ascii="Arial" w:eastAsia="Arial" w:hAnsi="Arial" w:cs="Arial"/>
                <w:b/>
                <w:i w:val="0"/>
                <w:sz w:val="6"/>
              </w:rPr>
              <w:t xml:space="preserve"> </w:t>
            </w:r>
          </w:p>
        </w:tc>
      </w:tr>
      <w:tr>
        <w:tblPrEx>
          <w:tblW w:w="10260" w:type="dxa"/>
          <w:tblInd w:w="0" w:type="dxa"/>
          <w:tblLayout w:type="fixed"/>
          <w:tblCellMar>
            <w:left w:w="108" w:type="dxa"/>
            <w:right w:w="108" w:type="dxa"/>
          </w:tblCellMar>
        </w:tblPrEx>
        <w:trPr>
          <w:cantSplit/>
          <w:trHeight w:hRule="exact" w:val="1245"/>
        </w:trPr>
        <w:tc>
          <w:tcPr>
            <w:tcW w:w="232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2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Evaluate, manage</w:t>
            </w:r>
            <w:r>
              <w:rPr>
                <w:rFonts w:ascii="Arial" w:eastAsia="Arial" w:hAnsi="Arial" w:cs="Arial"/>
                <w:b w:val="0"/>
                <w:i w:val="0"/>
                <w:sz w:val="18"/>
              </w:rPr>
              <w:t>,</w:t>
            </w:r>
            <w:r>
              <w:rPr>
                <w:rFonts w:ascii="Arial" w:eastAsia="Arial" w:hAnsi="Arial" w:cs="Arial"/>
                <w:b w:val="0"/>
                <w:i w:val="0"/>
                <w:sz w:val="18"/>
              </w:rPr>
              <w:t xml:space="preserve"> and </w:t>
            </w:r>
            <w:r>
              <w:rPr>
                <w:rFonts w:ascii="Arial" w:eastAsia="Arial" w:hAnsi="Arial" w:cs="Arial"/>
                <w:b w:val="0"/>
                <w:i w:val="0"/>
                <w:sz w:val="18"/>
              </w:rPr>
              <w:t>e</w:t>
            </w:r>
            <w:r>
              <w:rPr>
                <w:rFonts w:ascii="Arial" w:eastAsia="Arial" w:hAnsi="Arial" w:cs="Arial"/>
                <w:b w:val="0"/>
                <w:i w:val="0"/>
                <w:sz w:val="18"/>
              </w:rPr>
              <w:t xml:space="preserve">xecute </w:t>
            </w:r>
            <w:r>
              <w:rPr>
                <w:rFonts w:ascii="Arial" w:eastAsia="Arial" w:hAnsi="Arial" w:cs="Arial"/>
                <w:b w:val="0"/>
                <w:i w:val="0"/>
                <w:sz w:val="18"/>
              </w:rPr>
              <w:t>r</w:t>
            </w:r>
            <w:r>
              <w:rPr>
                <w:rFonts w:ascii="Arial" w:eastAsia="Arial" w:hAnsi="Arial" w:cs="Arial"/>
                <w:b w:val="0"/>
                <w:i w:val="0"/>
                <w:sz w:val="18"/>
              </w:rPr>
              <w:t xml:space="preserve">un-off </w:t>
            </w:r>
            <w:r>
              <w:rPr>
                <w:rFonts w:ascii="Arial" w:eastAsia="Arial" w:hAnsi="Arial" w:cs="Arial"/>
                <w:b w:val="0"/>
                <w:i w:val="0"/>
                <w:sz w:val="18"/>
              </w:rPr>
              <w:t>a</w:t>
            </w:r>
            <w:r>
              <w:rPr>
                <w:rFonts w:ascii="Arial" w:eastAsia="Arial" w:hAnsi="Arial" w:cs="Arial"/>
                <w:b w:val="0"/>
                <w:i w:val="0"/>
                <w:sz w:val="18"/>
              </w:rPr>
              <w:t>cquisition</w:t>
            </w:r>
            <w:r>
              <w:rPr>
                <w:rFonts w:ascii="Arial" w:eastAsia="Arial" w:hAnsi="Arial" w:cs="Arial"/>
                <w:b w:val="0"/>
                <w:i w:val="0"/>
                <w:sz w:val="18"/>
              </w:rPr>
              <w:t xml:space="preserve">s that </w:t>
            </w:r>
            <w:r>
              <w:rPr>
                <w:rFonts w:ascii="Arial" w:eastAsia="Arial" w:hAnsi="Arial" w:cs="Arial"/>
                <w:b w:val="0"/>
                <w:i w:val="0"/>
                <w:sz w:val="18"/>
              </w:rPr>
              <w:t xml:space="preserve">meet </w:t>
            </w:r>
            <w:r>
              <w:rPr>
                <w:rFonts w:ascii="Arial" w:eastAsia="Arial" w:hAnsi="Arial" w:cs="Arial"/>
                <w:b w:val="0"/>
                <w:i w:val="0"/>
                <w:sz w:val="18"/>
              </w:rPr>
              <w:t xml:space="preserve">or exceed </w:t>
            </w:r>
            <w:r>
              <w:rPr>
                <w:rFonts w:ascii="Arial" w:eastAsia="Arial" w:hAnsi="Arial" w:cs="Arial"/>
                <w:b w:val="0"/>
                <w:i w:val="0"/>
                <w:sz w:val="18"/>
              </w:rPr>
              <w:t>expected return projections</w:t>
            </w:r>
          </w:p>
        </w:tc>
        <w:tc>
          <w:tcPr>
            <w:tcW w:w="103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23" w:after="30" w:line="288" w:lineRule="auto"/>
              <w:jc w:val="left"/>
            </w:pPr>
            <w:r>
              <w:rPr>
                <w:rFonts w:ascii="Arial" w:eastAsia="Arial" w:hAnsi="Arial" w:cs="Arial"/>
                <w:b w:val="0"/>
                <w:i w:val="0"/>
                <w:color w:val="000000"/>
                <w:sz w:val="18"/>
                <w:u w:val="none"/>
              </w:rPr>
              <w:t>55%</w:t>
            </w:r>
          </w:p>
        </w:tc>
        <w:tc>
          <w:tcPr>
            <w:tcW w:w="127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23" w:after="30" w:line="288" w:lineRule="auto"/>
              <w:jc w:val="left"/>
            </w:pPr>
            <w:r>
              <w:rPr>
                <w:rFonts w:ascii="Arial" w:eastAsia="Arial" w:hAnsi="Arial" w:cs="Arial"/>
                <w:b w:val="0"/>
                <w:i w:val="0"/>
                <w:color w:val="000000"/>
                <w:sz w:val="18"/>
                <w:u w:val="none"/>
              </w:rPr>
              <w:t>Target</w:t>
            </w:r>
          </w:p>
        </w:tc>
        <w:tc>
          <w:tcPr>
            <w:tcW w:w="562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23" w:after="0" w:line="240" w:lineRule="auto"/>
              <w:ind w:left="0" w:right="0" w:firstLine="0"/>
              <w:jc w:val="left"/>
              <w:outlineLvl w:val="9"/>
              <w:rPr>
                <w:rFonts w:ascii="Arial" w:eastAsia="Arial" w:hAnsi="Arial" w:cs="Arial"/>
                <w:b w:val="0"/>
                <w:i w:val="0"/>
                <w:color w:val="4494D1"/>
                <w:sz w:val="6"/>
                <w:u w:val="none"/>
              </w:rPr>
            </w:pPr>
          </w:p>
          <w:p>
            <w:pPr>
              <w:pageBreakBefore w:val="0"/>
              <w:numPr>
                <w:ilvl w:val="0"/>
                <w:numId w:val="286"/>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O</w:t>
            </w:r>
            <w:r>
              <w:rPr>
                <w:rFonts w:ascii="Arial" w:eastAsia="Arial" w:hAnsi="Arial" w:cs="Arial"/>
                <w:b w:val="0"/>
                <w:i w:val="0"/>
                <w:sz w:val="18"/>
              </w:rPr>
              <w:t xml:space="preserve">versaw analysis </w:t>
            </w:r>
            <w:r>
              <w:rPr>
                <w:rFonts w:ascii="Arial" w:eastAsia="Arial" w:hAnsi="Arial" w:cs="Arial"/>
                <w:b w:val="0"/>
                <w:i w:val="0"/>
                <w:sz w:val="18"/>
              </w:rPr>
              <w:t xml:space="preserve">of strong </w:t>
            </w:r>
            <w:r>
              <w:rPr>
                <w:rFonts w:ascii="Arial" w:eastAsia="Arial" w:hAnsi="Arial" w:cs="Arial"/>
                <w:b w:val="0"/>
                <w:i w:val="0"/>
                <w:sz w:val="18"/>
              </w:rPr>
              <w:t>transaction</w:t>
            </w:r>
            <w:r>
              <w:rPr>
                <w:rFonts w:ascii="Arial" w:eastAsia="Arial" w:hAnsi="Arial" w:cs="Arial"/>
                <w:b w:val="0"/>
                <w:i w:val="0"/>
                <w:sz w:val="18"/>
              </w:rPr>
              <w:t xml:space="preserve"> pipeline </w:t>
            </w:r>
            <w:r>
              <w:rPr>
                <w:rFonts w:ascii="Arial" w:eastAsia="Arial" w:hAnsi="Arial" w:cs="Arial"/>
                <w:b w:val="0"/>
                <w:i w:val="0"/>
                <w:sz w:val="18"/>
              </w:rPr>
              <w:t>completing three transactions</w:t>
            </w:r>
            <w:r>
              <w:rPr>
                <w:rFonts w:ascii="Arial" w:eastAsia="Arial" w:hAnsi="Arial" w:cs="Arial"/>
                <w:b w:val="0"/>
                <w:i w:val="0"/>
                <w:sz w:val="18"/>
              </w:rPr>
              <w:t xml:space="preserve">. </w:t>
            </w:r>
          </w:p>
          <w:p>
            <w:pPr>
              <w:pageBreakBefore w:val="0"/>
              <w:numPr>
                <w:ilvl w:val="0"/>
                <w:numId w:val="287"/>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Advanced</w:t>
            </w:r>
            <w:r>
              <w:rPr>
                <w:rFonts w:ascii="Arial" w:eastAsia="Arial" w:hAnsi="Arial" w:cs="Arial"/>
                <w:b w:val="0"/>
                <w:i w:val="0"/>
                <w:sz w:val="18"/>
              </w:rPr>
              <w:t xml:space="preserve"> </w:t>
            </w:r>
            <w:r>
              <w:rPr>
                <w:rFonts w:ascii="Arial" w:eastAsia="Arial" w:hAnsi="Arial" w:cs="Arial"/>
                <w:b w:val="0"/>
                <w:i w:val="0"/>
                <w:sz w:val="18"/>
              </w:rPr>
              <w:t xml:space="preserve">key </w:t>
            </w:r>
            <w:r>
              <w:rPr>
                <w:rFonts w:ascii="Arial" w:eastAsia="Arial" w:hAnsi="Arial" w:cs="Arial"/>
                <w:b w:val="0"/>
                <w:i w:val="0"/>
                <w:sz w:val="18"/>
              </w:rPr>
              <w:t>strategic</w:t>
            </w:r>
            <w:r>
              <w:rPr>
                <w:rFonts w:ascii="Arial" w:eastAsia="Arial" w:hAnsi="Arial" w:cs="Arial"/>
                <w:b w:val="0"/>
                <w:i w:val="0"/>
                <w:sz w:val="18"/>
              </w:rPr>
              <w:t xml:space="preserve"> transactions </w:t>
            </w:r>
            <w:r>
              <w:rPr>
                <w:rFonts w:ascii="Arial" w:eastAsia="Arial" w:hAnsi="Arial" w:cs="Arial"/>
                <w:b w:val="0"/>
                <w:i w:val="0"/>
                <w:sz w:val="18"/>
              </w:rPr>
              <w:t xml:space="preserve">resulting in </w:t>
            </w:r>
            <w:r>
              <w:rPr>
                <w:rFonts w:ascii="Arial" w:eastAsia="Arial" w:hAnsi="Arial" w:cs="Arial"/>
                <w:b w:val="0"/>
                <w:i w:val="0"/>
                <w:sz w:val="18"/>
              </w:rPr>
              <w:t>two</w:t>
            </w:r>
            <w:r>
              <w:rPr>
                <w:rFonts w:ascii="Arial" w:eastAsia="Arial" w:hAnsi="Arial" w:cs="Arial"/>
                <w:b w:val="0"/>
                <w:i w:val="0"/>
                <w:sz w:val="18"/>
              </w:rPr>
              <w:t xml:space="preserve"> </w:t>
            </w:r>
            <w:r>
              <w:rPr>
                <w:rFonts w:ascii="Arial" w:eastAsia="Arial" w:hAnsi="Arial" w:cs="Arial"/>
                <w:b w:val="0"/>
                <w:i w:val="0"/>
                <w:sz w:val="18"/>
              </w:rPr>
              <w:t>block</w:t>
            </w:r>
            <w:r>
              <w:rPr>
                <w:rFonts w:ascii="Arial" w:eastAsia="Arial" w:hAnsi="Arial" w:cs="Arial"/>
                <w:b w:val="0"/>
                <w:i w:val="0"/>
                <w:sz w:val="18"/>
              </w:rPr>
              <w:t xml:space="preserve"> share repurcha</w:t>
            </w:r>
            <w:r>
              <w:rPr>
                <w:rFonts w:ascii="Arial" w:eastAsia="Arial" w:hAnsi="Arial" w:cs="Arial"/>
                <w:b w:val="0"/>
                <w:i w:val="0"/>
                <w:sz w:val="18"/>
              </w:rPr>
              <w:t xml:space="preserve">ses </w:t>
            </w:r>
            <w:r>
              <w:rPr>
                <w:rFonts w:ascii="Arial" w:eastAsia="Arial" w:hAnsi="Arial" w:cs="Arial"/>
                <w:b w:val="0"/>
                <w:i w:val="0"/>
                <w:sz w:val="18"/>
              </w:rPr>
              <w:t xml:space="preserve">and </w:t>
            </w:r>
            <w:r>
              <w:rPr>
                <w:rFonts w:ascii="Arial" w:eastAsia="Arial" w:hAnsi="Arial" w:cs="Arial"/>
                <w:b w:val="0"/>
                <w:i w:val="0"/>
                <w:sz w:val="18"/>
              </w:rPr>
              <w:t xml:space="preserve">the </w:t>
            </w:r>
            <w:r>
              <w:rPr>
                <w:rFonts w:ascii="Arial" w:eastAsia="Arial" w:hAnsi="Arial" w:cs="Arial"/>
                <w:b w:val="0"/>
                <w:i w:val="0"/>
                <w:sz w:val="18"/>
              </w:rPr>
              <w:t>addition</w:t>
            </w:r>
            <w:r>
              <w:rPr>
                <w:rFonts w:ascii="Arial" w:eastAsia="Arial" w:hAnsi="Arial" w:cs="Arial"/>
                <w:b w:val="0"/>
                <w:i w:val="0"/>
                <w:sz w:val="18"/>
              </w:rPr>
              <w:t xml:space="preserve"> of </w:t>
            </w:r>
            <w:r>
              <w:rPr>
                <w:rFonts w:ascii="Arial" w:eastAsia="Arial" w:hAnsi="Arial" w:cs="Arial"/>
                <w:b w:val="0"/>
                <w:i w:val="0"/>
                <w:sz w:val="18"/>
              </w:rPr>
              <w:t>a new</w:t>
            </w:r>
            <w:r>
              <w:rPr>
                <w:rFonts w:ascii="Arial" w:eastAsia="Arial" w:hAnsi="Arial" w:cs="Arial"/>
                <w:b w:val="0"/>
                <w:i w:val="0"/>
                <w:sz w:val="18"/>
              </w:rPr>
              <w:t xml:space="preserve"> </w:t>
            </w:r>
            <w:r>
              <w:rPr>
                <w:rFonts w:ascii="Arial" w:eastAsia="Arial" w:hAnsi="Arial" w:cs="Arial"/>
                <w:b w:val="0"/>
                <w:i w:val="0"/>
                <w:sz w:val="18"/>
              </w:rPr>
              <w:t>mino</w:t>
            </w:r>
            <w:r>
              <w:rPr>
                <w:rFonts w:ascii="Arial" w:eastAsia="Arial" w:hAnsi="Arial" w:cs="Arial"/>
                <w:b w:val="0"/>
                <w:i w:val="0"/>
                <w:sz w:val="18"/>
              </w:rPr>
              <w:t xml:space="preserve">rity </w:t>
            </w:r>
            <w:r>
              <w:rPr>
                <w:rFonts w:ascii="Arial" w:eastAsia="Arial" w:hAnsi="Arial" w:cs="Arial"/>
                <w:b w:val="0"/>
                <w:i w:val="0"/>
                <w:sz w:val="18"/>
              </w:rPr>
              <w:t>investor.</w:t>
            </w:r>
          </w:p>
          <w:p>
            <w:pPr>
              <w:pageBreakBefore w:val="0"/>
              <w:numPr>
                <w:ilvl w:val="0"/>
                <w:numId w:val="288"/>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 xml:space="preserve">Drove </w:t>
            </w:r>
            <w:r>
              <w:rPr>
                <w:rFonts w:ascii="Arial" w:eastAsia="Arial" w:hAnsi="Arial" w:cs="Arial"/>
                <w:b w:val="0"/>
                <w:i w:val="0"/>
                <w:sz w:val="18"/>
              </w:rPr>
              <w:t xml:space="preserve">monetization of </w:t>
            </w:r>
            <w:r>
              <w:rPr>
                <w:rFonts w:ascii="Arial" w:eastAsia="Arial" w:hAnsi="Arial" w:cs="Arial"/>
                <w:b w:val="0"/>
                <w:i w:val="0"/>
                <w:sz w:val="18"/>
              </w:rPr>
              <w:t>minority</w:t>
            </w:r>
            <w:r>
              <w:rPr>
                <w:rFonts w:ascii="Arial" w:eastAsia="Arial" w:hAnsi="Arial" w:cs="Arial"/>
                <w:b w:val="0"/>
                <w:i w:val="0"/>
                <w:sz w:val="18"/>
              </w:rPr>
              <w:t xml:space="preserve"> </w:t>
            </w:r>
            <w:r>
              <w:rPr>
                <w:rFonts w:ascii="Arial" w:eastAsia="Arial" w:hAnsi="Arial" w:cs="Arial"/>
                <w:b w:val="0"/>
                <w:i w:val="0"/>
                <w:sz w:val="18"/>
              </w:rPr>
              <w:t>investments</w:t>
            </w:r>
            <w:r>
              <w:rPr>
                <w:rFonts w:ascii="Arial" w:eastAsia="Arial" w:hAnsi="Arial" w:cs="Arial"/>
                <w:b w:val="0"/>
                <w:i w:val="0"/>
                <w:sz w:val="18"/>
              </w:rPr>
              <w:t xml:space="preserve"> and completed StarStone/Atrium transaction</w:t>
            </w:r>
            <w:r>
              <w:rPr>
                <w:rFonts w:ascii="Arial" w:eastAsia="Arial" w:hAnsi="Arial" w:cs="Arial"/>
                <w:b w:val="0"/>
                <w:i w:val="0"/>
                <w:sz w:val="18"/>
              </w:rPr>
              <w:t>, resolving put/call rights</w:t>
            </w:r>
            <w:r>
              <w:rPr>
                <w:rFonts w:ascii="Arial" w:eastAsia="Arial" w:hAnsi="Arial" w:cs="Arial"/>
                <w:b w:val="0"/>
                <w:i w:val="0"/>
                <w:sz w:val="18"/>
              </w:rPr>
              <w:t>.</w:t>
            </w:r>
          </w:p>
          <w:p>
            <w:pPr>
              <w:pageBreakBefore w:val="0"/>
              <w:numPr>
                <w:ilvl w:val="0"/>
                <w:numId w:val="0"/>
              </w:numPr>
              <w:spacing w:before="0" w:after="30" w:line="240" w:lineRule="auto"/>
              <w:ind w:left="-450" w:right="0" w:firstLine="180"/>
              <w:jc w:val="left"/>
              <w:outlineLvl w:val="9"/>
              <w:rPr>
                <w:rFonts w:ascii="Arial" w:eastAsia="Arial" w:hAnsi="Arial" w:cs="Arial"/>
                <w:b w:val="0"/>
                <w:i w:val="0"/>
                <w:sz w:val="18"/>
              </w:rPr>
            </w:pPr>
            <w:r>
              <w:rPr>
                <w:rFonts w:ascii="Arial" w:eastAsia="Arial" w:hAnsi="Arial" w:cs="Arial"/>
                <w:b w:val="0"/>
                <w:i w:val="0"/>
                <w:sz w:val="18"/>
              </w:rPr>
              <w:tab/>
            </w:r>
            <w:r>
              <w:rPr>
                <w:rFonts w:ascii="Arial" w:eastAsia="Arial" w:hAnsi="Arial" w:cs="Arial"/>
                <w:b w:val="0"/>
                <w:i w:val="0"/>
                <w:sz w:val="18"/>
              </w:rPr>
              <w:tab/>
            </w:r>
          </w:p>
        </w:tc>
      </w:tr>
      <w:tr>
        <w:tblPrEx>
          <w:tblW w:w="10260" w:type="dxa"/>
          <w:tblInd w:w="0" w:type="dxa"/>
          <w:tblLayout w:type="fixed"/>
          <w:tblCellMar>
            <w:left w:w="108" w:type="dxa"/>
            <w:right w:w="108" w:type="dxa"/>
          </w:tblCellMar>
        </w:tblPrEx>
        <w:trPr>
          <w:cantSplit/>
          <w:trHeight w:hRule="exact" w:val="765"/>
        </w:trPr>
        <w:tc>
          <w:tcPr>
            <w:tcW w:w="23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Develop M&amp;A operating capability</w:t>
            </w:r>
          </w:p>
        </w:tc>
        <w:tc>
          <w:tcPr>
            <w:tcW w:w="103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15%</w:t>
            </w:r>
          </w:p>
        </w:tc>
        <w:tc>
          <w:tcPr>
            <w:tcW w:w="127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85"/>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Led oper</w:t>
            </w:r>
            <w:r>
              <w:rPr>
                <w:rFonts w:ascii="Arial" w:eastAsia="Arial" w:hAnsi="Arial" w:cs="Arial"/>
                <w:b w:val="0"/>
                <w:i w:val="0"/>
                <w:sz w:val="18"/>
              </w:rPr>
              <w:t>ation</w:t>
            </w:r>
            <w:r>
              <w:rPr>
                <w:rFonts w:ascii="Arial" w:eastAsia="Arial" w:hAnsi="Arial" w:cs="Arial"/>
                <w:b w:val="0"/>
                <w:i w:val="0"/>
                <w:sz w:val="18"/>
              </w:rPr>
              <w:t>al improvements in M&amp;A</w:t>
            </w:r>
            <w:r>
              <w:rPr>
                <w:rFonts w:ascii="Arial" w:eastAsia="Arial" w:hAnsi="Arial" w:cs="Arial"/>
                <w:b w:val="0"/>
                <w:i w:val="0"/>
                <w:sz w:val="18"/>
              </w:rPr>
              <w:t xml:space="preserve"> function </w:t>
            </w:r>
            <w:r>
              <w:rPr>
                <w:rFonts w:ascii="Arial" w:eastAsia="Arial" w:hAnsi="Arial" w:cs="Arial"/>
                <w:b w:val="0"/>
                <w:i w:val="0"/>
                <w:sz w:val="18"/>
              </w:rPr>
              <w:t>that increased cross-function</w:t>
            </w:r>
            <w:r>
              <w:rPr>
                <w:rFonts w:ascii="Arial" w:eastAsia="Arial" w:hAnsi="Arial" w:cs="Arial"/>
                <w:b w:val="0"/>
                <w:i w:val="0"/>
                <w:sz w:val="18"/>
              </w:rPr>
              <w:t>al</w:t>
            </w:r>
            <w:r>
              <w:rPr>
                <w:rFonts w:ascii="Arial" w:eastAsia="Arial" w:hAnsi="Arial" w:cs="Arial"/>
                <w:b w:val="0"/>
                <w:i w:val="0"/>
                <w:sz w:val="18"/>
              </w:rPr>
              <w:t xml:space="preserve"> collaboration </w:t>
            </w:r>
            <w:r>
              <w:rPr>
                <w:rFonts w:ascii="Arial" w:eastAsia="Arial" w:hAnsi="Arial" w:cs="Arial"/>
                <w:b w:val="0"/>
                <w:i w:val="0"/>
                <w:sz w:val="18"/>
              </w:rPr>
              <w:t xml:space="preserve">for </w:t>
            </w:r>
            <w:r>
              <w:rPr>
                <w:rFonts w:ascii="Arial" w:eastAsia="Arial" w:hAnsi="Arial" w:cs="Arial"/>
                <w:b w:val="0"/>
                <w:i w:val="0"/>
                <w:sz w:val="18"/>
              </w:rPr>
              <w:t>evaluation</w:t>
            </w:r>
            <w:r>
              <w:rPr>
                <w:rFonts w:ascii="Arial" w:eastAsia="Arial" w:hAnsi="Arial" w:cs="Arial"/>
                <w:b w:val="0"/>
                <w:i w:val="0"/>
                <w:sz w:val="18"/>
              </w:rPr>
              <w:t xml:space="preserve"> of </w:t>
            </w:r>
            <w:r>
              <w:rPr>
                <w:rFonts w:ascii="Arial" w:eastAsia="Arial" w:hAnsi="Arial" w:cs="Arial"/>
                <w:b w:val="0"/>
                <w:i w:val="0"/>
                <w:sz w:val="18"/>
              </w:rPr>
              <w:t>run-off</w:t>
            </w:r>
            <w:r>
              <w:rPr>
                <w:rFonts w:ascii="Arial" w:eastAsia="Arial" w:hAnsi="Arial" w:cs="Arial"/>
                <w:b w:val="0"/>
                <w:i w:val="0"/>
                <w:sz w:val="18"/>
              </w:rPr>
              <w:t xml:space="preserve"> transaction</w:t>
            </w:r>
            <w:r>
              <w:rPr>
                <w:rFonts w:ascii="Arial" w:eastAsia="Arial" w:hAnsi="Arial" w:cs="Arial"/>
                <w:b w:val="0"/>
                <w:i w:val="0"/>
                <w:sz w:val="18"/>
              </w:rPr>
              <w:t>s.</w:t>
            </w:r>
            <w:r>
              <w:rPr>
                <w:rFonts w:ascii="Arial" w:eastAsia="Arial" w:hAnsi="Arial" w:cs="Arial"/>
                <w:b w:val="0"/>
                <w:i w:val="0"/>
                <w:sz w:val="18"/>
              </w:rPr>
              <w:tab/>
            </w:r>
          </w:p>
          <w:p>
            <w:pPr>
              <w:pageBreakBefore w:val="0"/>
              <w:numPr>
                <w:ilvl w:val="0"/>
                <w:numId w:val="0"/>
              </w:numPr>
              <w:spacing w:before="0" w:after="30" w:line="240" w:lineRule="auto"/>
              <w:ind w:left="-450" w:right="0" w:firstLine="180"/>
              <w:jc w:val="left"/>
              <w:outlineLvl w:val="9"/>
              <w:rPr>
                <w:rFonts w:ascii="Arial" w:eastAsia="Arial" w:hAnsi="Arial" w:cs="Arial"/>
                <w:b w:val="0"/>
                <w:i w:val="0"/>
                <w:sz w:val="18"/>
              </w:rPr>
            </w:pPr>
          </w:p>
        </w:tc>
      </w:tr>
      <w:tr>
        <w:tblPrEx>
          <w:tblW w:w="10260" w:type="dxa"/>
          <w:tblInd w:w="0" w:type="dxa"/>
          <w:tblLayout w:type="fixed"/>
          <w:tblCellMar>
            <w:left w:w="108" w:type="dxa"/>
            <w:right w:w="108" w:type="dxa"/>
          </w:tblCellMar>
        </w:tblPrEx>
        <w:trPr>
          <w:cantSplit/>
          <w:trHeight w:hRule="exact" w:val="540"/>
        </w:trPr>
        <w:tc>
          <w:tcPr>
            <w:tcW w:w="23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Build out M&amp;A team expertise and depth</w:t>
            </w:r>
          </w:p>
        </w:tc>
        <w:tc>
          <w:tcPr>
            <w:tcW w:w="103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5%</w:t>
            </w:r>
          </w:p>
        </w:tc>
        <w:tc>
          <w:tcPr>
            <w:tcW w:w="127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Maximum</w:t>
            </w:r>
          </w:p>
        </w:tc>
        <w:tc>
          <w:tcPr>
            <w:tcW w:w="56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84"/>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Embe</w:t>
            </w:r>
            <w:r>
              <w:rPr>
                <w:rFonts w:ascii="Arial" w:eastAsia="Arial" w:hAnsi="Arial" w:cs="Arial"/>
                <w:b w:val="0"/>
                <w:i w:val="0"/>
                <w:sz w:val="18"/>
              </w:rPr>
              <w:t xml:space="preserve">dded new EVP of M&amp;A </w:t>
            </w:r>
            <w:r>
              <w:rPr>
                <w:rFonts w:ascii="Arial" w:eastAsia="Arial" w:hAnsi="Arial" w:cs="Arial"/>
                <w:b w:val="0"/>
                <w:i w:val="0"/>
                <w:sz w:val="18"/>
              </w:rPr>
              <w:t>serving as team lead</w:t>
            </w:r>
            <w:r>
              <w:rPr>
                <w:rFonts w:ascii="Arial" w:eastAsia="Arial" w:hAnsi="Arial" w:cs="Arial"/>
                <w:b w:val="0"/>
                <w:i w:val="0"/>
                <w:sz w:val="18"/>
              </w:rPr>
              <w:t xml:space="preserve"> and </w:t>
            </w:r>
            <w:r>
              <w:rPr>
                <w:rFonts w:ascii="Arial" w:eastAsia="Arial" w:hAnsi="Arial" w:cs="Arial"/>
                <w:b w:val="0"/>
                <w:i w:val="0"/>
                <w:sz w:val="18"/>
              </w:rPr>
              <w:t>s</w:t>
            </w:r>
            <w:r>
              <w:rPr>
                <w:rFonts w:ascii="Arial" w:eastAsia="Arial" w:hAnsi="Arial" w:cs="Arial"/>
                <w:b w:val="0"/>
                <w:i w:val="0"/>
                <w:sz w:val="18"/>
              </w:rPr>
              <w:t xml:space="preserve">trengthened M&amp;A </w:t>
            </w:r>
            <w:r>
              <w:rPr>
                <w:rFonts w:ascii="Arial" w:eastAsia="Arial" w:hAnsi="Arial" w:cs="Arial"/>
                <w:b w:val="0"/>
                <w:i w:val="0"/>
                <w:sz w:val="18"/>
              </w:rPr>
              <w:t>capabilities</w:t>
            </w:r>
            <w:r>
              <w:rPr>
                <w:rFonts w:ascii="Arial" w:eastAsia="Arial" w:hAnsi="Arial" w:cs="Arial"/>
                <w:b w:val="0"/>
                <w:i w:val="0"/>
                <w:sz w:val="18"/>
              </w:rPr>
              <w:t>.</w:t>
            </w:r>
          </w:p>
        </w:tc>
      </w:tr>
      <w:tr>
        <w:tblPrEx>
          <w:tblW w:w="10260" w:type="dxa"/>
          <w:tblInd w:w="0" w:type="dxa"/>
          <w:tblLayout w:type="fixed"/>
          <w:tblCellMar>
            <w:left w:w="108" w:type="dxa"/>
            <w:right w:w="108" w:type="dxa"/>
          </w:tblCellMar>
        </w:tblPrEx>
        <w:trPr>
          <w:cantSplit/>
          <w:trHeight w:hRule="exact" w:val="645"/>
        </w:trPr>
        <w:tc>
          <w:tcPr>
            <w:tcW w:w="23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Execute and manage process enhancements within M&amp;A function</w:t>
            </w:r>
          </w:p>
        </w:tc>
        <w:tc>
          <w:tcPr>
            <w:tcW w:w="103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5%</w:t>
            </w:r>
          </w:p>
        </w:tc>
        <w:tc>
          <w:tcPr>
            <w:tcW w:w="127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83"/>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Executed a</w:t>
            </w:r>
            <w:r>
              <w:rPr>
                <w:rFonts w:ascii="Arial" w:eastAsia="Arial" w:hAnsi="Arial" w:cs="Arial"/>
                <w:b w:val="0"/>
                <w:i w:val="0"/>
                <w:sz w:val="18"/>
              </w:rPr>
              <w:t xml:space="preserve">nd managed </w:t>
            </w:r>
            <w:r>
              <w:rPr>
                <w:rFonts w:ascii="Arial" w:eastAsia="Arial" w:hAnsi="Arial" w:cs="Arial"/>
                <w:b w:val="0"/>
                <w:i w:val="0"/>
                <w:sz w:val="18"/>
              </w:rPr>
              <w:t>the</w:t>
            </w:r>
            <w:r>
              <w:rPr>
                <w:rFonts w:ascii="Arial" w:eastAsia="Arial" w:hAnsi="Arial" w:cs="Arial"/>
                <w:b w:val="0"/>
                <w:i w:val="0"/>
                <w:sz w:val="18"/>
              </w:rPr>
              <w:t xml:space="preserve"> </w:t>
            </w:r>
            <w:r>
              <w:rPr>
                <w:rFonts w:ascii="Arial" w:eastAsia="Arial" w:hAnsi="Arial" w:cs="Arial"/>
                <w:b w:val="0"/>
                <w:i w:val="0"/>
                <w:sz w:val="18"/>
              </w:rPr>
              <w:t>develop</w:t>
            </w:r>
            <w:r>
              <w:rPr>
                <w:rFonts w:ascii="Arial" w:eastAsia="Arial" w:hAnsi="Arial" w:cs="Arial"/>
                <w:b w:val="0"/>
                <w:i w:val="0"/>
                <w:sz w:val="18"/>
              </w:rPr>
              <w:t xml:space="preserve">ment and implementation </w:t>
            </w:r>
            <w:r>
              <w:rPr>
                <w:rFonts w:ascii="Arial" w:eastAsia="Arial" w:hAnsi="Arial" w:cs="Arial"/>
                <w:b w:val="0"/>
                <w:i w:val="0"/>
                <w:sz w:val="18"/>
              </w:rPr>
              <w:t>of new transaction evaluation metrics</w:t>
            </w:r>
            <w:r>
              <w:rPr>
                <w:rFonts w:ascii="Arial" w:eastAsia="Arial" w:hAnsi="Arial" w:cs="Arial"/>
                <w:b w:val="0"/>
                <w:i w:val="0"/>
                <w:sz w:val="18"/>
              </w:rPr>
              <w:t xml:space="preserve"> and </w:t>
            </w:r>
            <w:r>
              <w:rPr>
                <w:rFonts w:ascii="Arial" w:eastAsia="Arial" w:hAnsi="Arial" w:cs="Arial"/>
                <w:b w:val="0"/>
                <w:i w:val="0"/>
                <w:sz w:val="18"/>
              </w:rPr>
              <w:t>data driven approach</w:t>
            </w:r>
            <w:r>
              <w:rPr>
                <w:rFonts w:ascii="Arial" w:eastAsia="Arial" w:hAnsi="Arial" w:cs="Arial"/>
                <w:b w:val="0"/>
                <w:i w:val="0"/>
                <w:sz w:val="18"/>
              </w:rPr>
              <w:t xml:space="preserve">. </w:t>
            </w:r>
            <w:r>
              <w:rPr>
                <w:rFonts w:ascii="Arial" w:eastAsia="Arial" w:hAnsi="Arial" w:cs="Arial"/>
                <w:b w:val="0"/>
                <w:i w:val="0"/>
                <w:sz w:val="18"/>
              </w:rPr>
              <w:tab/>
            </w:r>
          </w:p>
          <w:p>
            <w:pPr>
              <w:pageBreakBefore w:val="0"/>
              <w:numPr>
                <w:ilvl w:val="0"/>
                <w:numId w:val="0"/>
              </w:numPr>
              <w:spacing w:before="0" w:after="30" w:line="240" w:lineRule="auto"/>
              <w:ind w:left="-450" w:right="0" w:firstLine="180"/>
              <w:jc w:val="left"/>
              <w:outlineLvl w:val="9"/>
              <w:rPr>
                <w:rFonts w:ascii="Arial" w:eastAsia="Arial" w:hAnsi="Arial" w:cs="Arial"/>
                <w:b w:val="0"/>
                <w:i w:val="0"/>
                <w:sz w:val="18"/>
              </w:rPr>
            </w:pPr>
            <w:r>
              <w:rPr>
                <w:rFonts w:ascii="Arial" w:eastAsia="Arial" w:hAnsi="Arial" w:cs="Arial"/>
                <w:b w:val="0"/>
                <w:i w:val="0"/>
                <w:sz w:val="18"/>
              </w:rPr>
              <w:tab/>
            </w:r>
          </w:p>
        </w:tc>
      </w:tr>
      <w:tr>
        <w:tblPrEx>
          <w:tblW w:w="10260" w:type="dxa"/>
          <w:tblInd w:w="0" w:type="dxa"/>
          <w:tblLayout w:type="fixed"/>
          <w:tblCellMar>
            <w:left w:w="108" w:type="dxa"/>
            <w:right w:w="108" w:type="dxa"/>
          </w:tblCellMar>
        </w:tblPrEx>
        <w:trPr>
          <w:cantSplit/>
          <w:trHeight w:hRule="exact" w:val="735"/>
        </w:trPr>
        <w:tc>
          <w:tcPr>
            <w:tcW w:w="23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Implement</w:t>
            </w:r>
            <w:r>
              <w:rPr>
                <w:rFonts w:ascii="Arial" w:eastAsia="Arial" w:hAnsi="Arial" w:cs="Arial"/>
                <w:b w:val="0"/>
                <w:i w:val="0"/>
                <w:sz w:val="18"/>
              </w:rPr>
              <w:t xml:space="preserve"> </w:t>
            </w:r>
            <w:r>
              <w:rPr>
                <w:rFonts w:ascii="Arial" w:eastAsia="Arial" w:hAnsi="Arial" w:cs="Arial"/>
                <w:b w:val="0"/>
                <w:i w:val="0"/>
                <w:sz w:val="18"/>
              </w:rPr>
              <w:t>b</w:t>
            </w:r>
            <w:r>
              <w:rPr>
                <w:rFonts w:ascii="Arial" w:eastAsia="Arial" w:hAnsi="Arial" w:cs="Arial"/>
                <w:b w:val="0"/>
                <w:i w:val="0"/>
                <w:sz w:val="18"/>
              </w:rPr>
              <w:t xml:space="preserve">usiness </w:t>
            </w:r>
            <w:r>
              <w:rPr>
                <w:rFonts w:ascii="Arial" w:eastAsia="Arial" w:hAnsi="Arial" w:cs="Arial"/>
                <w:b w:val="0"/>
                <w:i w:val="0"/>
                <w:sz w:val="18"/>
              </w:rPr>
              <w:t>d</w:t>
            </w:r>
            <w:r>
              <w:rPr>
                <w:rFonts w:ascii="Arial" w:eastAsia="Arial" w:hAnsi="Arial" w:cs="Arial"/>
                <w:b w:val="0"/>
                <w:i w:val="0"/>
                <w:sz w:val="18"/>
              </w:rPr>
              <w:t>evelopment</w:t>
            </w:r>
            <w:r>
              <w:rPr>
                <w:rFonts w:ascii="Arial" w:eastAsia="Arial" w:hAnsi="Arial" w:cs="Arial"/>
                <w:b w:val="0"/>
                <w:i w:val="0"/>
                <w:sz w:val="18"/>
              </w:rPr>
              <w:t xml:space="preserve"> strategy</w:t>
            </w:r>
          </w:p>
        </w:tc>
        <w:tc>
          <w:tcPr>
            <w:tcW w:w="103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5%</w:t>
            </w:r>
          </w:p>
        </w:tc>
        <w:tc>
          <w:tcPr>
            <w:tcW w:w="127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Threshold</w:t>
            </w:r>
          </w:p>
        </w:tc>
        <w:tc>
          <w:tcPr>
            <w:tcW w:w="56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40" w:lineRule="auto"/>
              <w:ind w:left="0" w:right="0" w:firstLine="0"/>
              <w:jc w:val="left"/>
              <w:outlineLvl w:val="9"/>
              <w:rPr>
                <w:rFonts w:ascii="Arial" w:eastAsia="Arial" w:hAnsi="Arial" w:cs="Arial"/>
                <w:b w:val="0"/>
                <w:i w:val="0"/>
                <w:color w:val="4494D1"/>
                <w:sz w:val="6"/>
                <w:u w:val="none"/>
              </w:rPr>
            </w:pPr>
          </w:p>
          <w:p>
            <w:pPr>
              <w:pageBreakBefore w:val="0"/>
              <w:numPr>
                <w:ilvl w:val="0"/>
                <w:numId w:val="282"/>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F</w:t>
            </w:r>
            <w:r>
              <w:rPr>
                <w:rFonts w:ascii="Arial" w:eastAsia="Arial" w:hAnsi="Arial" w:cs="Arial"/>
                <w:b w:val="0"/>
                <w:i w:val="0"/>
                <w:sz w:val="18"/>
              </w:rPr>
              <w:t>ocused</w:t>
            </w:r>
            <w:r>
              <w:rPr>
                <w:rFonts w:ascii="Arial" w:eastAsia="Arial" w:hAnsi="Arial" w:cs="Arial"/>
                <w:b w:val="0"/>
                <w:i w:val="0"/>
                <w:sz w:val="18"/>
              </w:rPr>
              <w:t xml:space="preserve"> sourcing and marketing efforts </w:t>
            </w:r>
            <w:r>
              <w:rPr>
                <w:rFonts w:ascii="Arial" w:eastAsia="Arial" w:hAnsi="Arial" w:cs="Arial"/>
                <w:b w:val="0"/>
                <w:i w:val="0"/>
                <w:sz w:val="18"/>
              </w:rPr>
              <w:t xml:space="preserve">to identify potential </w:t>
            </w:r>
            <w:r>
              <w:rPr>
                <w:rFonts w:ascii="Arial" w:eastAsia="Arial" w:hAnsi="Arial" w:cs="Arial"/>
                <w:b w:val="0"/>
                <w:i w:val="0"/>
                <w:sz w:val="18"/>
              </w:rPr>
              <w:t xml:space="preserve">run-off business </w:t>
            </w:r>
            <w:r>
              <w:rPr>
                <w:rFonts w:ascii="Arial" w:eastAsia="Arial" w:hAnsi="Arial" w:cs="Arial"/>
                <w:b w:val="0"/>
                <w:i w:val="0"/>
                <w:sz w:val="18"/>
              </w:rPr>
              <w:t>aligned with</w:t>
            </w:r>
            <w:r>
              <w:rPr>
                <w:rFonts w:ascii="Arial" w:eastAsia="Arial" w:hAnsi="Arial" w:cs="Arial"/>
                <w:b w:val="0"/>
                <w:i w:val="0"/>
                <w:sz w:val="18"/>
              </w:rPr>
              <w:t xml:space="preserve"> Company's core c</w:t>
            </w:r>
            <w:r>
              <w:rPr>
                <w:rFonts w:ascii="Arial" w:eastAsia="Arial" w:hAnsi="Arial" w:cs="Arial"/>
                <w:b w:val="0"/>
                <w:i w:val="0"/>
                <w:sz w:val="18"/>
              </w:rPr>
              <w:t>laims management competencies</w:t>
            </w:r>
            <w:r>
              <w:rPr>
                <w:rFonts w:ascii="Arial" w:eastAsia="Arial" w:hAnsi="Arial" w:cs="Arial"/>
                <w:b w:val="0"/>
                <w:i w:val="0"/>
                <w:sz w:val="18"/>
              </w:rPr>
              <w:t>.</w:t>
            </w:r>
            <w:r>
              <w:rPr>
                <w:rFonts w:ascii="Arial" w:eastAsia="Arial" w:hAnsi="Arial" w:cs="Arial"/>
                <w:b w:val="0"/>
                <w:i w:val="0"/>
                <w:sz w:val="18"/>
              </w:rPr>
              <w:t xml:space="preserve"> </w:t>
            </w:r>
          </w:p>
        </w:tc>
      </w:tr>
      <w:tr>
        <w:tblPrEx>
          <w:tblW w:w="10260" w:type="dxa"/>
          <w:tblInd w:w="0" w:type="dxa"/>
          <w:tblLayout w:type="fixed"/>
          <w:tblCellMar>
            <w:left w:w="108" w:type="dxa"/>
            <w:right w:w="108" w:type="dxa"/>
          </w:tblCellMar>
        </w:tblPrEx>
        <w:trPr>
          <w:cantSplit/>
          <w:trHeight w:hRule="exact" w:val="1065"/>
        </w:trPr>
        <w:tc>
          <w:tcPr>
            <w:tcW w:w="23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S</w:t>
            </w:r>
            <w:r>
              <w:rPr>
                <w:rFonts w:ascii="Arial" w:eastAsia="Arial" w:hAnsi="Arial" w:cs="Arial"/>
                <w:b w:val="0"/>
                <w:i w:val="0"/>
                <w:sz w:val="18"/>
              </w:rPr>
              <w:t>upport</w:t>
            </w:r>
            <w:r>
              <w:rPr>
                <w:rFonts w:ascii="Arial" w:eastAsia="Arial" w:hAnsi="Arial" w:cs="Arial"/>
                <w:b w:val="0"/>
                <w:i w:val="0"/>
                <w:sz w:val="18"/>
              </w:rPr>
              <w:t xml:space="preserve"> FP&amp;A development </w:t>
            </w:r>
            <w:r>
              <w:rPr>
                <w:rFonts w:ascii="Arial" w:eastAsia="Arial" w:hAnsi="Arial" w:cs="Arial"/>
                <w:b w:val="0"/>
                <w:i w:val="0"/>
                <w:sz w:val="18"/>
              </w:rPr>
              <w:t xml:space="preserve">and implementation of </w:t>
            </w:r>
            <w:r>
              <w:rPr>
                <w:rFonts w:ascii="Arial" w:eastAsia="Arial" w:hAnsi="Arial" w:cs="Arial"/>
                <w:b w:val="0"/>
                <w:i w:val="0"/>
                <w:sz w:val="18"/>
              </w:rPr>
              <w:t>run-off portfolio</w:t>
            </w:r>
            <w:r>
              <w:rPr>
                <w:rFonts w:ascii="Arial" w:eastAsia="Arial" w:hAnsi="Arial" w:cs="Arial"/>
                <w:b w:val="0"/>
                <w:i w:val="0"/>
                <w:sz w:val="18"/>
              </w:rPr>
              <w:t xml:space="preserve"> performance </w:t>
            </w:r>
            <w:r>
              <w:rPr>
                <w:rFonts w:ascii="Arial" w:eastAsia="Arial" w:hAnsi="Arial" w:cs="Arial"/>
                <w:b w:val="0"/>
                <w:i w:val="0"/>
                <w:sz w:val="18"/>
              </w:rPr>
              <w:t>monitoring</w:t>
            </w:r>
            <w:r>
              <w:rPr>
                <w:rFonts w:ascii="Arial" w:eastAsia="Arial" w:hAnsi="Arial" w:cs="Arial"/>
                <w:b w:val="0"/>
                <w:i w:val="0"/>
                <w:sz w:val="18"/>
              </w:rPr>
              <w:t xml:space="preserve"> </w:t>
            </w:r>
            <w:r>
              <w:rPr>
                <w:rFonts w:ascii="Arial" w:eastAsia="Arial" w:hAnsi="Arial" w:cs="Arial"/>
                <w:b w:val="0"/>
                <w:i w:val="0"/>
                <w:sz w:val="18"/>
              </w:rPr>
              <w:t>on</w:t>
            </w:r>
            <w:r>
              <w:rPr>
                <w:rFonts w:ascii="Arial" w:eastAsia="Arial" w:hAnsi="Arial" w:cs="Arial"/>
                <w:b w:val="0"/>
                <w:i w:val="0"/>
                <w:sz w:val="18"/>
              </w:rPr>
              <w:t xml:space="preserve"> a per </w:t>
            </w:r>
            <w:r>
              <w:rPr>
                <w:rFonts w:ascii="Arial" w:eastAsia="Arial" w:hAnsi="Arial" w:cs="Arial"/>
                <w:b w:val="0"/>
                <w:i w:val="0"/>
                <w:sz w:val="18"/>
              </w:rPr>
              <w:t>transaction</w:t>
            </w:r>
            <w:r>
              <w:rPr>
                <w:rFonts w:ascii="Arial" w:eastAsia="Arial" w:hAnsi="Arial" w:cs="Arial"/>
                <w:b w:val="0"/>
                <w:i w:val="0"/>
                <w:sz w:val="18"/>
              </w:rPr>
              <w:t xml:space="preserve"> bas</w:t>
            </w:r>
            <w:r>
              <w:rPr>
                <w:rFonts w:ascii="Arial" w:eastAsia="Arial" w:hAnsi="Arial" w:cs="Arial"/>
                <w:b w:val="0"/>
                <w:i w:val="0"/>
                <w:sz w:val="18"/>
              </w:rPr>
              <w:t>is</w:t>
            </w:r>
          </w:p>
        </w:tc>
        <w:tc>
          <w:tcPr>
            <w:tcW w:w="103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5%</w:t>
            </w:r>
          </w:p>
        </w:tc>
        <w:tc>
          <w:tcPr>
            <w:tcW w:w="127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81"/>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Collaborated</w:t>
            </w:r>
            <w:r>
              <w:rPr>
                <w:rFonts w:ascii="Arial" w:eastAsia="Arial" w:hAnsi="Arial" w:cs="Arial"/>
                <w:b w:val="0"/>
                <w:i w:val="0"/>
                <w:sz w:val="18"/>
              </w:rPr>
              <w:t xml:space="preserve"> with </w:t>
            </w:r>
            <w:r>
              <w:rPr>
                <w:rFonts w:ascii="Arial" w:eastAsia="Arial" w:hAnsi="Arial" w:cs="Arial"/>
                <w:b w:val="0"/>
                <w:i w:val="0"/>
                <w:sz w:val="18"/>
              </w:rPr>
              <w:t xml:space="preserve">FP&amp;A </w:t>
            </w:r>
            <w:r>
              <w:rPr>
                <w:rFonts w:ascii="Arial" w:eastAsia="Arial" w:hAnsi="Arial" w:cs="Arial"/>
                <w:b w:val="0"/>
                <w:i w:val="0"/>
                <w:sz w:val="18"/>
              </w:rPr>
              <w:t>function</w:t>
            </w:r>
            <w:r>
              <w:rPr>
                <w:rFonts w:ascii="Arial" w:eastAsia="Arial" w:hAnsi="Arial" w:cs="Arial"/>
                <w:b w:val="0"/>
                <w:i w:val="0"/>
                <w:sz w:val="18"/>
              </w:rPr>
              <w:t xml:space="preserve"> resulting in delivery of </w:t>
            </w:r>
            <w:r>
              <w:rPr>
                <w:rFonts w:ascii="Arial" w:eastAsia="Arial" w:hAnsi="Arial" w:cs="Arial"/>
                <w:b w:val="0"/>
                <w:i w:val="0"/>
                <w:sz w:val="18"/>
              </w:rPr>
              <w:t xml:space="preserve">run-off </w:t>
            </w:r>
            <w:r>
              <w:rPr>
                <w:rFonts w:ascii="Arial" w:eastAsia="Arial" w:hAnsi="Arial" w:cs="Arial"/>
                <w:b w:val="0"/>
                <w:i w:val="0"/>
                <w:sz w:val="18"/>
              </w:rPr>
              <w:t xml:space="preserve">portfolio </w:t>
            </w:r>
            <w:r>
              <w:rPr>
                <w:rFonts w:ascii="Arial" w:eastAsia="Arial" w:hAnsi="Arial" w:cs="Arial"/>
                <w:b w:val="0"/>
                <w:i w:val="0"/>
                <w:sz w:val="18"/>
              </w:rPr>
              <w:t>performance</w:t>
            </w:r>
            <w:r>
              <w:rPr>
                <w:rFonts w:ascii="Arial" w:eastAsia="Arial" w:hAnsi="Arial" w:cs="Arial"/>
                <w:b w:val="0"/>
                <w:i w:val="0"/>
                <w:sz w:val="18"/>
              </w:rPr>
              <w:t xml:space="preserve"> </w:t>
            </w:r>
            <w:r>
              <w:rPr>
                <w:rFonts w:ascii="Arial" w:eastAsia="Arial" w:hAnsi="Arial" w:cs="Arial"/>
                <w:b w:val="0"/>
                <w:i w:val="0"/>
                <w:sz w:val="18"/>
              </w:rPr>
              <w:t>reporting capability.</w:t>
            </w:r>
          </w:p>
        </w:tc>
      </w:tr>
      <w:tr>
        <w:tblPrEx>
          <w:tblW w:w="10260" w:type="dxa"/>
          <w:tblInd w:w="0" w:type="dxa"/>
          <w:tblLayout w:type="fixed"/>
          <w:tblCellMar>
            <w:left w:w="108" w:type="dxa"/>
            <w:right w:w="108" w:type="dxa"/>
          </w:tblCellMar>
        </w:tblPrEx>
        <w:trPr>
          <w:cantSplit/>
          <w:trHeight w:hRule="exact" w:val="1005"/>
        </w:trPr>
        <w:tc>
          <w:tcPr>
            <w:tcW w:w="23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40" w:lineRule="auto"/>
              <w:jc w:val="left"/>
            </w:pPr>
            <w:r>
              <w:rPr>
                <w:rFonts w:ascii="Arial" w:eastAsia="Arial" w:hAnsi="Arial" w:cs="Arial"/>
                <w:b w:val="0"/>
                <w:i w:val="0"/>
                <w:color w:val="000000"/>
                <w:sz w:val="18"/>
                <w:u w:val="none"/>
              </w:rPr>
              <w:t>Achieve specified people management goals, including group employee engagement score above benchmark</w:t>
            </w:r>
          </w:p>
        </w:tc>
        <w:tc>
          <w:tcPr>
            <w:tcW w:w="103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5%</w:t>
            </w:r>
          </w:p>
        </w:tc>
        <w:tc>
          <w:tcPr>
            <w:tcW w:w="127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80"/>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 xml:space="preserve">Supported achievement of HR strategic initiatives to drive high performance and engagement achieving for the second consecutive year a high engagement index nine percentage points above the industry benchmark, high upper quartile. </w:t>
            </w:r>
          </w:p>
        </w:tc>
      </w:tr>
      <w:tr>
        <w:tblPrEx>
          <w:tblW w:w="10260" w:type="dxa"/>
          <w:tblInd w:w="0" w:type="dxa"/>
          <w:tblLayout w:type="fixed"/>
          <w:tblCellMar>
            <w:left w:w="108" w:type="dxa"/>
            <w:right w:w="108" w:type="dxa"/>
          </w:tblCellMar>
        </w:tblPrEx>
        <w:trPr>
          <w:cantSplit/>
          <w:trHeight w:hRule="exact" w:val="1665"/>
        </w:trPr>
        <w:tc>
          <w:tcPr>
            <w:tcW w:w="23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40" w:lineRule="auto"/>
              <w:jc w:val="left"/>
            </w:pPr>
            <w:r>
              <w:rPr>
                <w:rFonts w:ascii="Arial" w:eastAsia="Arial" w:hAnsi="Arial" w:cs="Arial"/>
                <w:b w:val="0"/>
                <w:i w:val="0"/>
                <w:color w:val="000000"/>
                <w:sz w:val="18"/>
                <w:u w:val="none"/>
              </w:rPr>
              <w:t>Engage and contribute to Group Executive Leadership Program</w:t>
            </w:r>
          </w:p>
        </w:tc>
        <w:tc>
          <w:tcPr>
            <w:tcW w:w="103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5%</w:t>
            </w:r>
          </w:p>
        </w:tc>
        <w:tc>
          <w:tcPr>
            <w:tcW w:w="127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77"/>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 xml:space="preserve">Engaged in the Group Executive Leadership Program to foster collaboration and support strong organizational culture and overall performance. </w:t>
            </w:r>
          </w:p>
          <w:p>
            <w:pPr>
              <w:pageBreakBefore w:val="0"/>
              <w:numPr>
                <w:ilvl w:val="0"/>
                <w:numId w:val="278"/>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The team’s aggregated results were ahead of benchmarks on all  of the leadership capabilities identified as core to high performing executive teams.</w:t>
            </w:r>
          </w:p>
          <w:p>
            <w:pPr>
              <w:pageBreakBefore w:val="0"/>
              <w:numPr>
                <w:ilvl w:val="0"/>
                <w:numId w:val="279"/>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Program laid the foundation for executive team's comprehensive strategy review completed at the end of 2023.</w:t>
            </w:r>
          </w:p>
        </w:tc>
      </w:tr>
      <w:tr>
        <w:tblPrEx>
          <w:tblW w:w="10260" w:type="dxa"/>
          <w:tblInd w:w="0" w:type="dxa"/>
          <w:tblLayout w:type="fixed"/>
          <w:tblCellMar>
            <w:left w:w="108" w:type="dxa"/>
            <w:right w:w="108" w:type="dxa"/>
          </w:tblCellMar>
        </w:tblPrEx>
        <w:trPr>
          <w:cantSplit/>
          <w:trHeight w:hRule="exact" w:val="405"/>
        </w:trPr>
        <w:tc>
          <w:tcPr>
            <w:tcW w:w="10260" w:type="dxa"/>
            <w:gridSpan w:val="4"/>
            <w:tcBorders>
              <w:top w:val="nil"/>
              <w:left w:val="nil"/>
              <w:bottom w:val="nil"/>
              <w:right w:val="nil"/>
            </w:tcBorders>
            <w:shd w:val="clear" w:color="auto" w:fill="FFFFFF"/>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sz w:val="18"/>
              </w:rPr>
            </w:pPr>
            <w:r>
              <w:rPr>
                <w:rFonts w:ascii="Arial" w:eastAsia="Arial" w:hAnsi="Arial" w:cs="Arial"/>
                <w:b/>
                <w:i w:val="0"/>
                <w:sz w:val="18"/>
              </w:rPr>
              <w:t xml:space="preserve">Percentage of Target Individual Performance Objective Achieved: </w:t>
            </w:r>
            <w:r>
              <w:rPr>
                <w:rFonts w:ascii="Arial" w:eastAsia="Arial" w:hAnsi="Arial" w:cs="Arial"/>
                <w:b/>
                <w:i w:val="0"/>
                <w:color w:val="000000"/>
                <w:sz w:val="18"/>
                <w:u w:val="none"/>
              </w:rPr>
              <w:t>98.3%</w:t>
            </w:r>
          </w:p>
        </w:tc>
      </w:tr>
    </w:tbl>
    <w:p>
      <w:pPr>
        <w:keepNext w:val="0"/>
        <w:keepLines w:val="0"/>
        <w:pageBreakBefore w:val="0"/>
        <w:widowControl/>
        <w:numPr>
          <w:ilvl w:val="0"/>
          <w:numId w:val="0"/>
        </w:numPr>
        <w:spacing w:before="12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i w:val="0"/>
          <w:color w:val="4494D1"/>
          <w:sz w:val="20"/>
          <w:u w:val="none"/>
        </w:rPr>
      </w:pPr>
      <w:r>
        <w:rPr>
          <w:rFonts w:ascii="Arial" w:eastAsia="Arial" w:hAnsi="Arial" w:cs="Arial"/>
          <w:b/>
          <w:i w:val="0"/>
          <w:color w:val="4494D1"/>
          <w:sz w:val="20"/>
          <w:u w:val="none"/>
        </w:rPr>
        <w:t>Settlement of Performance-Based Equity Awards</w:t>
      </w:r>
    </w:p>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color w:val="000000"/>
          <w:sz w:val="20"/>
          <w:u w:val="none"/>
          <w:shd w:val="clear" w:color="auto" w:fill="FFFF00"/>
        </w:rPr>
      </w:pPr>
      <w:r>
        <w:rPr>
          <w:rFonts w:ascii="Arial" w:eastAsia="Arial" w:hAnsi="Arial" w:cs="Arial"/>
          <w:b w:val="0"/>
          <w:i w:val="0"/>
          <w:sz w:val="20"/>
        </w:rPr>
        <w:t xml:space="preserve">The table below sets forth the number of </w:t>
      </w:r>
      <w:r>
        <w:rPr>
          <w:rFonts w:ascii="Arial" w:eastAsia="Arial" w:hAnsi="Arial" w:cs="Arial"/>
          <w:b w:val="0"/>
          <w:i w:val="0"/>
          <w:sz w:val="20"/>
        </w:rPr>
        <w:t>ordinary shares</w:t>
      </w:r>
      <w:r>
        <w:rPr>
          <w:rFonts w:ascii="Arial" w:eastAsia="Arial" w:hAnsi="Arial" w:cs="Arial"/>
          <w:b w:val="0"/>
          <w:i w:val="0"/>
          <w:sz w:val="20"/>
        </w:rPr>
        <w:t xml:space="preserve"> </w:t>
      </w:r>
      <w:r>
        <w:rPr>
          <w:rFonts w:ascii="Arial" w:eastAsia="Arial" w:hAnsi="Arial" w:cs="Arial"/>
          <w:b w:val="0"/>
          <w:i w:val="0"/>
          <w:sz w:val="20"/>
        </w:rPr>
        <w:t>that Mr. Ni earn</w:t>
      </w:r>
      <w:r>
        <w:rPr>
          <w:rFonts w:ascii="Arial" w:eastAsia="Arial" w:hAnsi="Arial" w:cs="Arial"/>
          <w:b w:val="0"/>
          <w:i w:val="0"/>
          <w:sz w:val="20"/>
        </w:rPr>
        <w:t>ed as a</w:t>
      </w:r>
      <w:r>
        <w:rPr>
          <w:rFonts w:ascii="Arial" w:eastAsia="Arial" w:hAnsi="Arial" w:cs="Arial"/>
          <w:b w:val="0"/>
          <w:i w:val="0"/>
          <w:sz w:val="20"/>
        </w:rPr>
        <w:t xml:space="preserve"> result of the settlement of</w:t>
      </w:r>
      <w:r>
        <w:rPr>
          <w:rFonts w:ascii="Arial" w:eastAsia="Arial" w:hAnsi="Arial" w:cs="Arial"/>
          <w:b w:val="0"/>
          <w:i w:val="0"/>
          <w:sz w:val="20"/>
        </w:rPr>
        <w:t xml:space="preserve"> PSU awards w</w:t>
      </w:r>
      <w:r>
        <w:rPr>
          <w:rFonts w:ascii="Arial" w:eastAsia="Arial" w:hAnsi="Arial" w:cs="Arial"/>
          <w:b w:val="0"/>
          <w:i w:val="0"/>
          <w:sz w:val="20"/>
        </w:rPr>
        <w:t>ith a</w:t>
      </w:r>
      <w:r>
        <w:rPr>
          <w:rFonts w:ascii="Arial" w:eastAsia="Arial" w:hAnsi="Arial" w:cs="Arial"/>
          <w:b w:val="0"/>
          <w:i w:val="0"/>
          <w:sz w:val="20"/>
        </w:rPr>
        <w:t xml:space="preserve"> </w:t>
      </w:r>
      <w:r>
        <w:rPr>
          <w:rFonts w:ascii="Arial" w:eastAsia="Arial" w:hAnsi="Arial" w:cs="Arial"/>
          <w:b w:val="0"/>
          <w:i w:val="0"/>
          <w:sz w:val="20"/>
        </w:rPr>
        <w:t>per</w:t>
      </w:r>
      <w:r>
        <w:rPr>
          <w:rFonts w:ascii="Arial" w:eastAsia="Arial" w:hAnsi="Arial" w:cs="Arial"/>
          <w:b w:val="0"/>
          <w:i w:val="0"/>
          <w:sz w:val="20"/>
        </w:rPr>
        <w:t>for</w:t>
      </w:r>
      <w:r>
        <w:rPr>
          <w:rFonts w:ascii="Arial" w:eastAsia="Arial" w:hAnsi="Arial" w:cs="Arial"/>
          <w:b w:val="0"/>
          <w:i w:val="0"/>
          <w:sz w:val="20"/>
        </w:rPr>
        <w:t xml:space="preserve">mance period </w:t>
      </w:r>
      <w:r>
        <w:rPr>
          <w:rFonts w:ascii="Arial" w:eastAsia="Arial" w:hAnsi="Arial" w:cs="Arial"/>
          <w:b w:val="0"/>
          <w:i w:val="0"/>
          <w:sz w:val="20"/>
        </w:rPr>
        <w:t xml:space="preserve">that </w:t>
      </w:r>
      <w:r>
        <w:rPr>
          <w:rFonts w:ascii="Arial" w:eastAsia="Arial" w:hAnsi="Arial" w:cs="Arial"/>
          <w:b w:val="0"/>
          <w:i w:val="0"/>
          <w:sz w:val="20"/>
        </w:rPr>
        <w:t xml:space="preserve">ended </w:t>
      </w:r>
      <w:r>
        <w:rPr>
          <w:rFonts w:ascii="Arial" w:eastAsia="Arial" w:hAnsi="Arial" w:cs="Arial"/>
          <w:b w:val="0"/>
          <w:i w:val="0"/>
          <w:sz w:val="20"/>
        </w:rPr>
        <w:t>on</w:t>
      </w:r>
      <w:r>
        <w:rPr>
          <w:rFonts w:ascii="Arial" w:eastAsia="Arial" w:hAnsi="Arial" w:cs="Arial"/>
          <w:b w:val="0"/>
          <w:i w:val="0"/>
          <w:sz w:val="20"/>
        </w:rPr>
        <w:t xml:space="preserve"> December 31, 2023</w:t>
      </w:r>
      <w:r>
        <w:rPr>
          <w:rFonts w:ascii="Arial" w:eastAsia="Arial" w:hAnsi="Arial" w:cs="Arial"/>
          <w:b w:val="0"/>
          <w:i w:val="0"/>
          <w:sz w:val="20"/>
        </w:rPr>
        <w:t xml:space="preserve">, which were based on </w:t>
      </w:r>
      <w:r>
        <w:rPr>
          <w:rFonts w:ascii="Arial" w:eastAsia="Arial" w:hAnsi="Arial" w:cs="Arial"/>
          <w:b w:val="0"/>
          <w:i w:val="0"/>
          <w:sz w:val="20"/>
        </w:rPr>
        <w:t xml:space="preserve">the Company's achievement of </w:t>
      </w:r>
      <w:r>
        <w:rPr>
          <w:rFonts w:ascii="Arial" w:eastAsia="Arial" w:hAnsi="Arial" w:cs="Arial"/>
          <w:b w:val="0"/>
          <w:i w:val="0"/>
          <w:sz w:val="20"/>
        </w:rPr>
        <w:t>Operating Income</w:t>
      </w:r>
      <w:r>
        <w:rPr>
          <w:rFonts w:ascii="Arial" w:eastAsia="Arial" w:hAnsi="Arial" w:cs="Arial"/>
          <w:b w:val="0"/>
          <w:i w:val="0"/>
          <w:sz w:val="20"/>
        </w:rPr>
        <w:t xml:space="preserve"> ROE and </w:t>
      </w:r>
      <w:r>
        <w:rPr>
          <w:rFonts w:ascii="Arial" w:eastAsia="Arial" w:hAnsi="Arial" w:cs="Arial"/>
          <w:b w:val="0"/>
          <w:i w:val="0"/>
          <w:sz w:val="20"/>
        </w:rPr>
        <w:t>FD</w:t>
      </w:r>
      <w:r>
        <w:rPr>
          <w:rFonts w:ascii="Arial" w:eastAsia="Arial" w:hAnsi="Arial" w:cs="Arial"/>
          <w:b w:val="0"/>
          <w:i w:val="0"/>
          <w:sz w:val="20"/>
        </w:rPr>
        <w:t xml:space="preserve">BVPS. </w:t>
      </w:r>
    </w:p>
    <w:tbl>
      <w:tblPr>
        <w:tblW w:w="99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085"/>
        <w:gridCol w:w="2805"/>
        <w:gridCol w:w="2700"/>
        <w:gridCol w:w="2400"/>
      </w:tblGrid>
      <w:tr>
        <w:tblPrEx>
          <w:tblW w:w="99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35"/>
        </w:trPr>
        <w:tc>
          <w:tcPr>
            <w:tcW w:w="208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Financial Metric</w:t>
            </w:r>
          </w:p>
        </w:tc>
        <w:tc>
          <w:tcPr>
            <w:tcW w:w="280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Target PSUs Awarded in 2021</w:t>
            </w:r>
          </w:p>
        </w:tc>
        <w:tc>
          <w:tcPr>
            <w:tcW w:w="2700"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Actual Performance as a Percent of Target</w:t>
            </w:r>
          </w:p>
        </w:tc>
        <w:tc>
          <w:tcPr>
            <w:tcW w:w="2400"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PSUs Settled as Ordinary Shares</w:t>
            </w:r>
          </w:p>
        </w:tc>
      </w:tr>
      <w:tr>
        <w:tblPrEx>
          <w:tblW w:w="9990" w:type="dxa"/>
          <w:tblInd w:w="0" w:type="dxa"/>
          <w:tblLayout w:type="fixed"/>
          <w:tblCellMar>
            <w:left w:w="108" w:type="dxa"/>
            <w:right w:w="108" w:type="dxa"/>
          </w:tblCellMar>
        </w:tblPrEx>
        <w:trPr>
          <w:cantSplit/>
          <w:trHeight w:hRule="exact" w:val="345"/>
        </w:trPr>
        <w:tc>
          <w:tcPr>
            <w:tcW w:w="2085" w:type="dxa"/>
            <w:tcBorders>
              <w:top w:val="single" w:sz="12" w:space="0" w:color="4494D1"/>
              <w:left w:val="nil"/>
              <w:bottom w:val="single" w:sz="4" w:space="0" w:color="000000"/>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Operating Income ROE</w:t>
            </w:r>
          </w:p>
        </w:tc>
        <w:tc>
          <w:tcPr>
            <w:tcW w:w="2805" w:type="dxa"/>
            <w:tcBorders>
              <w:top w:val="single" w:sz="12" w:space="0" w:color="4494D1"/>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461</w:t>
            </w:r>
          </w:p>
        </w:tc>
        <w:tc>
          <w:tcPr>
            <w:tcW w:w="2700" w:type="dxa"/>
            <w:tcBorders>
              <w:top w:val="single" w:sz="12" w:space="0" w:color="4494D1"/>
              <w:left w:val="nil"/>
              <w:bottom w:val="single" w:sz="4" w:space="0" w:color="000000"/>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65.7%</w:t>
            </w:r>
          </w:p>
        </w:tc>
        <w:tc>
          <w:tcPr>
            <w:tcW w:w="2400" w:type="dxa"/>
            <w:tcBorders>
              <w:top w:val="single" w:sz="12" w:space="0" w:color="4494D1"/>
              <w:left w:val="nil"/>
              <w:bottom w:val="single" w:sz="4" w:space="0" w:color="000000"/>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303</w:t>
            </w:r>
          </w:p>
        </w:tc>
      </w:tr>
      <w:tr>
        <w:tblPrEx>
          <w:tblW w:w="9990" w:type="dxa"/>
          <w:tblInd w:w="0" w:type="dxa"/>
          <w:tblLayout w:type="fixed"/>
          <w:tblCellMar>
            <w:left w:w="108" w:type="dxa"/>
            <w:right w:w="108" w:type="dxa"/>
          </w:tblCellMar>
        </w:tblPrEx>
        <w:trPr>
          <w:cantSplit/>
          <w:trHeight w:hRule="exact" w:val="315"/>
        </w:trPr>
        <w:tc>
          <w:tcPr>
            <w:tcW w:w="2085" w:type="dxa"/>
            <w:tcBorders>
              <w:top w:val="single" w:sz="4" w:space="0" w:color="000000"/>
              <w:left w:val="nil"/>
              <w:bottom w:val="single" w:sz="8" w:space="0" w:color="B6B6B6"/>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FD</w:t>
            </w:r>
            <w:r>
              <w:rPr>
                <w:rFonts w:ascii="Arial" w:eastAsia="Arial" w:hAnsi="Arial" w:cs="Arial"/>
                <w:b w:val="0"/>
                <w:i w:val="0"/>
                <w:sz w:val="18"/>
              </w:rPr>
              <w:t>BVPS</w:t>
            </w:r>
          </w:p>
        </w:tc>
        <w:tc>
          <w:tcPr>
            <w:tcW w:w="280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461</w:t>
            </w:r>
          </w:p>
        </w:tc>
        <w:tc>
          <w:tcPr>
            <w:tcW w:w="2700" w:type="dxa"/>
            <w:tcBorders>
              <w:top w:val="single" w:sz="4" w:space="0" w:color="000000"/>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w:t>
            </w:r>
          </w:p>
        </w:tc>
        <w:tc>
          <w:tcPr>
            <w:tcW w:w="2400" w:type="dxa"/>
            <w:tcBorders>
              <w:top w:val="single" w:sz="4" w:space="0" w:color="000000"/>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w:t>
            </w:r>
          </w:p>
        </w:tc>
      </w:tr>
      <w:tr>
        <w:tblPrEx>
          <w:tblW w:w="9990" w:type="dxa"/>
          <w:tblInd w:w="0" w:type="dxa"/>
          <w:tblLayout w:type="fixed"/>
          <w:tblCellMar>
            <w:left w:w="108" w:type="dxa"/>
            <w:right w:w="108" w:type="dxa"/>
          </w:tblCellMar>
        </w:tblPrEx>
        <w:trPr>
          <w:cantSplit/>
          <w:trHeight w:hRule="exact" w:val="345"/>
        </w:trPr>
        <w:tc>
          <w:tcPr>
            <w:tcW w:w="2085" w:type="dxa"/>
            <w:tcBorders>
              <w:top w:val="single" w:sz="8" w:space="0" w:color="B6B6B6"/>
              <w:left w:val="nil"/>
              <w:bottom w:val="nil"/>
              <w:right w:val="nil"/>
            </w:tcBorders>
            <w:tcMar>
              <w:top w:w="0" w:type="dxa"/>
              <w:left w:w="53" w:type="dxa"/>
              <w:bottom w:w="0" w:type="dxa"/>
              <w:right w:w="53" w:type="dxa"/>
            </w:tcMar>
            <w:vAlign w:val="center"/>
          </w:tcPr>
          <w:p>
            <w:pPr>
              <w:pageBreakBefore w:val="0"/>
              <w:spacing w:before="0" w:after="0" w:line="240" w:lineRule="auto"/>
              <w:jc w:val="left"/>
            </w:pPr>
            <w:r>
              <w:rPr>
                <w:rFonts w:ascii="Arial" w:eastAsia="Arial" w:hAnsi="Arial" w:cs="Arial"/>
                <w:b/>
                <w:i w:val="0"/>
                <w:color w:val="000000"/>
                <w:sz w:val="18"/>
                <w:u w:val="none"/>
              </w:rPr>
              <w:t>Total</w:t>
            </w:r>
          </w:p>
        </w:tc>
        <w:tc>
          <w:tcPr>
            <w:tcW w:w="2805" w:type="dxa"/>
            <w:tcBorders>
              <w:top w:val="single" w:sz="8" w:space="0" w:color="B6B6B6"/>
              <w:left w:val="nil"/>
              <w:bottom w:val="nil"/>
              <w:right w:val="nil"/>
            </w:tcBorders>
            <w:tcMar>
              <w:top w:w="0" w:type="dxa"/>
              <w:left w:w="53" w:type="dxa"/>
              <w:bottom w:w="0" w:type="dxa"/>
              <w:right w:w="53" w:type="dxa"/>
            </w:tcMar>
            <w:vAlign w:val="center"/>
          </w:tcPr>
          <w:p>
            <w:pPr>
              <w:pageBreakBefore w:val="0"/>
              <w:spacing w:before="0" w:after="0" w:line="240" w:lineRule="auto"/>
              <w:jc w:val="left"/>
            </w:pPr>
            <w:r>
              <w:rPr>
                <w:rFonts w:ascii="Arial" w:eastAsia="Arial" w:hAnsi="Arial" w:cs="Arial"/>
                <w:b/>
                <w:i w:val="0"/>
                <w:color w:val="000000"/>
                <w:sz w:val="18"/>
                <w:u w:val="none"/>
              </w:rPr>
              <w:t>922</w:t>
            </w:r>
          </w:p>
        </w:tc>
        <w:tc>
          <w:tcPr>
            <w:tcW w:w="2700"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33%</w:t>
            </w:r>
          </w:p>
        </w:tc>
        <w:tc>
          <w:tcPr>
            <w:tcW w:w="2400"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303</w:t>
            </w:r>
          </w:p>
        </w:tc>
      </w:tr>
    </w:tbl>
    <w:p>
      <w:pPr>
        <w:keepNext w:val="0"/>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color w:val="FF0090"/>
          <w:sz w:val="2"/>
          <w:u w:val="none"/>
        </w:rPr>
      </w:pPr>
    </w:p>
    <w:p>
      <w:pPr>
        <w:keepNext w:val="0"/>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color w:val="FF0090"/>
          <w:sz w:val="2"/>
          <w:u w:val="none"/>
        </w:rPr>
        <w:sectPr>
          <w:headerReference w:type="default" r:id="rId253"/>
          <w:footerReference w:type="default" r:id="rId254"/>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171449"/>
          <w:sz w:val="24"/>
          <w:u w:val="none"/>
        </w:rPr>
      </w:pPr>
      <w:bookmarkStart w:id="89" w:name="Section92"/>
      <w:bookmarkEnd w:id="89"/>
      <w:r>
        <w:rPr>
          <w:rFonts w:ascii="Arial" w:eastAsia="Arial" w:hAnsi="Arial" w:cs="Arial"/>
          <w:b/>
          <w:i w:val="0"/>
          <w:color w:val="171449"/>
          <w:sz w:val="4"/>
          <w:u w:val="none"/>
        </w:rPr>
        <w:t xml:space="preserve"> </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500"/>
        <w:gridCol w:w="315"/>
        <w:gridCol w:w="844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00"/>
        </w:trPr>
        <w:tc>
          <w:tcPr>
            <w:tcW w:w="1500"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i1245" type="#_x0000_t75" style="width:1in;height:84.26pt">
                  <v:imagedata r:id="rId171" o:title=""/>
                  <o:lock v:ext="edit" aspectratio="t"/>
                </v:shape>
              </w:pict>
            </w:r>
          </w:p>
        </w:tc>
        <w:tc>
          <w:tcPr>
            <w:tcW w:w="315" w:type="dxa"/>
            <w:vMerge w:val="restart"/>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22"/>
                <w:u w:val="none"/>
              </w:rPr>
              <w:t xml:space="preserve">  Paul Brockman</w:t>
            </w: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val="0"/>
                <w:i w:val="0"/>
                <w:color w:val="000000"/>
                <w:sz w:val="20"/>
                <w:u w:val="none"/>
              </w:rPr>
              <w:t xml:space="preserve">  Chief Operating Officer and Interim CEO of Enstar (EU) Limited</w:t>
            </w:r>
          </w:p>
        </w:tc>
      </w:tr>
      <w:tr>
        <w:tblPrEx>
          <w:tblW w:w="10260" w:type="dxa"/>
          <w:tblInd w:w="0" w:type="dxa"/>
          <w:tblLayout w:type="fixed"/>
          <w:tblCellMar>
            <w:left w:w="108" w:type="dxa"/>
            <w:right w:w="108" w:type="dxa"/>
          </w:tblCellMar>
        </w:tblPrEx>
        <w:trPr>
          <w:cantSplit/>
          <w:trHeight w:hRule="exact" w:val="225"/>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20"/>
                <w:u w:val="none"/>
              </w:rPr>
              <w:t xml:space="preserve">  2023 Annual Compensation Mix</w:t>
            </w: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vMerge w:val="restart"/>
            <w:tcBorders>
              <w:top w:val="nil"/>
              <w:left w:val="single" w:sz="12" w:space="0" w:color="4494D1"/>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270" w:right="0" w:hanging="1350"/>
              <w:jc w:val="left"/>
              <w:outlineLvl w:val="9"/>
              <w:rPr>
                <w:rFonts w:ascii="Arial" w:eastAsia="Arial" w:hAnsi="Arial" w:cs="Arial"/>
                <w:b/>
                <w:i w:val="0"/>
                <w:sz w:val="20"/>
              </w:rPr>
            </w:pPr>
            <w:r>
              <w:pict>
                <v:shape id="_x0000_i1246" type="#_x0000_t75" style="width:567pt;height:318.94pt">
                  <v:imagedata r:id="rId255" o:title=""/>
                  <o:lock v:ext="edit" aspectratio="t"/>
                </v:shape>
              </w:pict>
            </w: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vMerge/>
            <w:tcBorders>
              <w:top w:val="nil"/>
              <w:left w:val="single" w:sz="12" w:space="0" w:color="4494D1"/>
              <w:bottom w:val="nil"/>
              <w:right w:val="nil"/>
            </w:tcBorders>
          </w:tcPr>
          <w:p>
            <w:pPr>
              <w:keepNext/>
              <w:pageBreakBefore w:val="0"/>
            </w:pPr>
          </w:p>
        </w:tc>
      </w:tr>
      <w:tr>
        <w:tblPrEx>
          <w:tblW w:w="10260" w:type="dxa"/>
          <w:tblInd w:w="0" w:type="dxa"/>
          <w:tblLayout w:type="fixed"/>
          <w:tblCellMar>
            <w:left w:w="108" w:type="dxa"/>
            <w:right w:w="108" w:type="dxa"/>
          </w:tblCellMar>
        </w:tblPrEx>
        <w:trPr>
          <w:cantSplit/>
          <w:trHeight w:hRule="exact" w:val="1845"/>
        </w:trPr>
        <w:tc>
          <w:tcPr>
            <w:tcW w:w="150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31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445" w:type="dxa"/>
            <w:vMerge/>
            <w:tcBorders>
              <w:top w:val="nil"/>
              <w:left w:val="single" w:sz="12" w:space="0" w:color="4494D1"/>
              <w:bottom w:val="nil"/>
              <w:right w:val="nil"/>
            </w:tcBorders>
          </w:tcPr>
          <w:p>
            <w:pPr>
              <w:pageBreakBefore w:val="0"/>
            </w:pPr>
          </w:p>
        </w:tc>
      </w:tr>
    </w:tbl>
    <w:p>
      <w:pPr>
        <w:keepNext w:val="0"/>
        <w:keepLines w:val="0"/>
        <w:pageBreakBefore w:val="0"/>
        <w:widowControl/>
        <w:numPr>
          <w:ilvl w:val="0"/>
          <w:numId w:val="0"/>
        </w:numPr>
        <w:spacing w:before="60" w:after="120" w:line="300" w:lineRule="auto"/>
        <w:ind w:left="1440" w:right="0" w:firstLine="720"/>
        <w:jc w:val="both"/>
        <w:outlineLvl w:val="9"/>
        <w:rPr>
          <w:rFonts w:ascii="Arial" w:eastAsia="Arial" w:hAnsi="Arial" w:cs="Arial"/>
          <w:b/>
          <w:i w:val="0"/>
          <w:color w:val="4494D1"/>
          <w:sz w:val="20"/>
          <w:u w:val="none"/>
        </w:rPr>
      </w:pPr>
    </w:p>
    <w:p>
      <w:pPr>
        <w:keepNext w:val="0"/>
        <w:keepLines w:val="0"/>
        <w:pageBreakBefore w:val="0"/>
        <w:widowControl/>
        <w:numPr>
          <w:ilvl w:val="0"/>
          <w:numId w:val="0"/>
        </w:numPr>
        <w:spacing w:before="0" w:after="120" w:line="300" w:lineRule="auto"/>
        <w:ind w:left="0" w:right="0" w:firstLine="0"/>
        <w:jc w:val="both"/>
        <w:outlineLvl w:val="3"/>
        <w:rPr>
          <w:rFonts w:ascii="Arial" w:eastAsia="Arial" w:hAnsi="Arial" w:cs="Arial"/>
          <w:b w:val="0"/>
          <w:i w:val="0"/>
          <w:color w:val="4494D1"/>
          <w:sz w:val="20"/>
          <w:u w:val="none"/>
        </w:rPr>
      </w:pPr>
      <w:r>
        <w:rPr>
          <w:rFonts w:ascii="Arial" w:eastAsia="Arial" w:hAnsi="Arial" w:cs="Arial"/>
          <w:b/>
          <w:i w:val="0"/>
          <w:color w:val="4494D1"/>
          <w:sz w:val="20"/>
          <w:u w:val="none"/>
        </w:rPr>
        <w:t>2023 Compensation Elements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4494D1"/>
          <w:sz w:val="20"/>
          <w:u w:val="none"/>
        </w:rPr>
      </w:pPr>
      <w:r>
        <w:rPr>
          <w:rFonts w:ascii="Arial" w:eastAsia="Arial" w:hAnsi="Arial" w:cs="Arial"/>
          <w:b w:val="0"/>
          <w:i w:val="0"/>
          <w:sz w:val="20"/>
        </w:rPr>
        <w:t xml:space="preserve">As shown in the table below, for 2023, the </w:t>
      </w:r>
      <w:r>
        <w:rPr>
          <w:rFonts w:ascii="Arial" w:eastAsia="Arial" w:hAnsi="Arial" w:cs="Arial"/>
          <w:b w:val="0"/>
          <w:i w:val="0"/>
          <w:sz w:val="20"/>
        </w:rPr>
        <w:t xml:space="preserve">Compensation Committee </w:t>
      </w:r>
      <w:r>
        <w:rPr>
          <w:rFonts w:ascii="Arial" w:eastAsia="Arial" w:hAnsi="Arial" w:cs="Arial"/>
          <w:b w:val="0"/>
          <w:i w:val="0"/>
          <w:sz w:val="20"/>
        </w:rPr>
        <w:t xml:space="preserve">increased Mr. Brockman's annual base salary by 11.1% </w:t>
      </w:r>
      <w:r>
        <w:rPr>
          <w:rFonts w:ascii="Arial" w:eastAsia="Arial" w:hAnsi="Arial" w:cs="Arial"/>
          <w:b w:val="0"/>
          <w:i w:val="0"/>
          <w:sz w:val="20"/>
        </w:rPr>
        <w:t>in connection with his promotion to the role of COO</w:t>
      </w:r>
      <w:r>
        <w:rPr>
          <w:rFonts w:ascii="Arial" w:eastAsia="Arial" w:hAnsi="Arial" w:cs="Arial"/>
          <w:b w:val="0"/>
          <w:i w:val="0"/>
          <w:sz w:val="20"/>
        </w:rPr>
        <w:t xml:space="preserve"> </w:t>
      </w:r>
      <w:r>
        <w:rPr>
          <w:rFonts w:ascii="Arial" w:eastAsia="Arial" w:hAnsi="Arial" w:cs="Arial"/>
          <w:b w:val="0"/>
          <w:i w:val="0"/>
          <w:sz w:val="20"/>
        </w:rPr>
        <w:t xml:space="preserve">and </w:t>
      </w:r>
      <w:r>
        <w:rPr>
          <w:rFonts w:ascii="Arial" w:eastAsia="Arial" w:hAnsi="Arial" w:cs="Arial"/>
          <w:b w:val="0"/>
          <w:i w:val="0"/>
          <w:sz w:val="20"/>
        </w:rPr>
        <w:t xml:space="preserve">in light of </w:t>
      </w:r>
      <w:r>
        <w:rPr>
          <w:rFonts w:ascii="Arial" w:eastAsia="Arial" w:hAnsi="Arial" w:cs="Arial"/>
          <w:b w:val="0"/>
          <w:i w:val="0"/>
          <w:sz w:val="20"/>
        </w:rPr>
        <w:t xml:space="preserve">competitive </w:t>
      </w:r>
      <w:r>
        <w:rPr>
          <w:rFonts w:ascii="Arial" w:eastAsia="Arial" w:hAnsi="Arial" w:cs="Arial"/>
          <w:b w:val="0"/>
          <w:i w:val="0"/>
          <w:sz w:val="20"/>
        </w:rPr>
        <w:t>conditions</w:t>
      </w:r>
      <w:r>
        <w:rPr>
          <w:rFonts w:ascii="Arial" w:eastAsia="Arial" w:hAnsi="Arial" w:cs="Arial"/>
          <w:b w:val="0"/>
          <w:i w:val="0"/>
          <w:sz w:val="20"/>
        </w:rPr>
        <w: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000000"/>
          <w:sz w:val="20"/>
          <w:u w:val="none"/>
          <w:shd w:val="clear" w:color="auto" w:fill="00FF00"/>
        </w:rPr>
      </w:pPr>
      <w:r>
        <w:rPr>
          <w:rFonts w:ascii="Arial" w:eastAsia="Arial" w:hAnsi="Arial" w:cs="Arial"/>
          <w:b w:val="0"/>
          <w:i w:val="0"/>
          <w:sz w:val="20"/>
        </w:rPr>
        <w:t>Also shown below</w:t>
      </w:r>
      <w:r>
        <w:rPr>
          <w:rFonts w:ascii="Arial" w:eastAsia="Arial" w:hAnsi="Arial" w:cs="Arial"/>
          <w:b w:val="0"/>
          <w:i w:val="0"/>
          <w:sz w:val="20"/>
        </w:rPr>
        <w:t xml:space="preserve"> in the table below</w:t>
      </w:r>
      <w:r>
        <w:rPr>
          <w:rFonts w:ascii="Arial" w:eastAsia="Arial" w:hAnsi="Arial" w:cs="Arial"/>
          <w:b w:val="0"/>
          <w:i w:val="0"/>
          <w:sz w:val="20"/>
        </w:rPr>
        <w:t xml:space="preserve">, Mr. Brockman received grants of PSUs and RSUs under our annual senior management LTI program in in March 2023. These awards comprised 70% PSUs and 30% RSUs.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4494D1"/>
          <w:sz w:val="20"/>
          <w:u w:val="none"/>
        </w:rPr>
      </w:pPr>
      <w:r>
        <w:rPr>
          <w:rFonts w:ascii="Arial" w:eastAsia="Arial" w:hAnsi="Arial" w:cs="Arial"/>
          <w:b w:val="0"/>
          <w:i w:val="0"/>
          <w:color w:val="000000"/>
          <w:sz w:val="20"/>
          <w:u w:val="none"/>
        </w:rPr>
        <w:t>In a</w:t>
      </w:r>
      <w:r>
        <w:rPr>
          <w:rFonts w:ascii="Arial" w:eastAsia="Arial" w:hAnsi="Arial" w:cs="Arial"/>
          <w:b w:val="0"/>
          <w:i w:val="0"/>
          <w:sz w:val="20"/>
        </w:rPr>
        <w:t xml:space="preserve">ddition to </w:t>
      </w:r>
      <w:r>
        <w:rPr>
          <w:rFonts w:ascii="Arial" w:eastAsia="Arial" w:hAnsi="Arial" w:cs="Arial"/>
          <w:b w:val="0"/>
          <w:i w:val="0"/>
          <w:sz w:val="20"/>
        </w:rPr>
        <w:t>his annual equity award,</w:t>
      </w:r>
      <w:r>
        <w:rPr>
          <w:rFonts w:ascii="Arial" w:eastAsia="Arial" w:hAnsi="Arial" w:cs="Arial"/>
          <w:b w:val="0"/>
          <w:i w:val="0"/>
          <w:sz w:val="20"/>
        </w:rPr>
        <w:t xml:space="preserve"> Mr. </w:t>
      </w:r>
      <w:r>
        <w:rPr>
          <w:rFonts w:ascii="Arial" w:eastAsia="Arial" w:hAnsi="Arial" w:cs="Arial"/>
          <w:b w:val="0"/>
          <w:i w:val="0"/>
          <w:sz w:val="20"/>
        </w:rPr>
        <w:t>B</w:t>
      </w:r>
      <w:r>
        <w:rPr>
          <w:rFonts w:ascii="Arial" w:eastAsia="Arial" w:hAnsi="Arial" w:cs="Arial"/>
          <w:b w:val="0"/>
          <w:i w:val="0"/>
          <w:sz w:val="20"/>
        </w:rPr>
        <w:t>roc</w:t>
      </w:r>
      <w:r>
        <w:rPr>
          <w:rFonts w:ascii="Arial" w:eastAsia="Arial" w:hAnsi="Arial" w:cs="Arial"/>
          <w:b w:val="0"/>
          <w:i w:val="0"/>
          <w:sz w:val="20"/>
        </w:rPr>
        <w:t>k</w:t>
      </w:r>
      <w:r>
        <w:rPr>
          <w:rFonts w:ascii="Arial" w:eastAsia="Arial" w:hAnsi="Arial" w:cs="Arial"/>
          <w:b w:val="0"/>
          <w:i w:val="0"/>
          <w:sz w:val="20"/>
        </w:rPr>
        <w:t>man</w:t>
      </w:r>
      <w:r>
        <w:rPr>
          <w:rFonts w:ascii="Arial" w:eastAsia="Arial" w:hAnsi="Arial" w:cs="Arial"/>
          <w:b w:val="0"/>
          <w:i w:val="0"/>
          <w:sz w:val="20"/>
        </w:rPr>
        <w:t xml:space="preserve"> received a </w:t>
      </w:r>
      <w:r>
        <w:rPr>
          <w:rFonts w:ascii="Arial" w:eastAsia="Arial" w:hAnsi="Arial" w:cs="Arial"/>
          <w:b w:val="0"/>
          <w:i w:val="0"/>
          <w:sz w:val="20"/>
        </w:rPr>
        <w:t>special</w:t>
      </w:r>
      <w:r>
        <w:rPr>
          <w:rFonts w:ascii="Arial" w:eastAsia="Arial" w:hAnsi="Arial" w:cs="Arial"/>
          <w:b w:val="0"/>
          <w:i w:val="0"/>
          <w:sz w:val="20"/>
        </w:rPr>
        <w:t xml:space="preserve"> equity award of </w:t>
      </w:r>
      <w:r>
        <w:rPr>
          <w:rFonts w:ascii="Arial" w:eastAsia="Arial" w:hAnsi="Arial" w:cs="Arial"/>
          <w:b w:val="0"/>
          <w:i w:val="0"/>
          <w:color w:val="000000"/>
          <w:sz w:val="20"/>
          <w:u w:val="none"/>
        </w:rPr>
        <w:t>4,488</w:t>
      </w:r>
      <w:r>
        <w:rPr>
          <w:rFonts w:ascii="Arial" w:eastAsia="Arial" w:hAnsi="Arial" w:cs="Arial"/>
          <w:b w:val="0"/>
          <w:i w:val="0"/>
          <w:sz w:val="20"/>
        </w:rPr>
        <w:t xml:space="preserve"> </w:t>
      </w:r>
      <w:r>
        <w:rPr>
          <w:rFonts w:ascii="Arial" w:eastAsia="Arial" w:hAnsi="Arial" w:cs="Arial"/>
          <w:b w:val="0"/>
          <w:i w:val="0"/>
          <w:sz w:val="20"/>
        </w:rPr>
        <w:t xml:space="preserve">RSUs with a grant date fair value of </w:t>
      </w:r>
      <w:r>
        <w:rPr>
          <w:rFonts w:ascii="Arial" w:eastAsia="Arial" w:hAnsi="Arial" w:cs="Arial"/>
          <w:b w:val="0"/>
          <w:i w:val="0"/>
          <w:color w:val="000000"/>
          <w:sz w:val="20"/>
          <w:u w:val="none"/>
        </w:rPr>
        <w:t>$999,926</w:t>
      </w:r>
      <w:r>
        <w:rPr>
          <w:rFonts w:ascii="Arial" w:eastAsia="Arial" w:hAnsi="Arial" w:cs="Arial"/>
          <w:b w:val="0"/>
          <w:i w:val="0"/>
          <w:sz w:val="20"/>
        </w:rPr>
        <w:t>, awarded on March 20, 2023</w:t>
      </w:r>
      <w:r>
        <w:rPr>
          <w:rFonts w:ascii="Arial" w:eastAsia="Arial" w:hAnsi="Arial" w:cs="Arial"/>
          <w:b w:val="0"/>
          <w:i w:val="0"/>
          <w:sz w:val="20"/>
        </w:rPr>
        <w:t xml:space="preserve"> and scheduled to </w:t>
      </w:r>
      <w:r>
        <w:rPr>
          <w:rFonts w:ascii="Arial" w:eastAsia="Arial" w:hAnsi="Arial" w:cs="Arial"/>
          <w:b w:val="0"/>
          <w:i w:val="0"/>
          <w:sz w:val="20"/>
        </w:rPr>
        <w:t xml:space="preserve">cliff </w:t>
      </w:r>
      <w:r>
        <w:rPr>
          <w:rFonts w:ascii="Arial" w:eastAsia="Arial" w:hAnsi="Arial" w:cs="Arial"/>
          <w:b w:val="0"/>
          <w:i w:val="0"/>
          <w:sz w:val="20"/>
        </w:rPr>
        <w:t>vest</w:t>
      </w:r>
      <w:r>
        <w:rPr>
          <w:rFonts w:ascii="Arial" w:eastAsia="Arial" w:hAnsi="Arial" w:cs="Arial"/>
          <w:b w:val="0"/>
          <w:i w:val="0"/>
          <w:sz w:val="20"/>
        </w:rPr>
        <w:t xml:space="preserve"> on</w:t>
      </w:r>
      <w:r>
        <w:rPr>
          <w:rFonts w:ascii="Arial" w:eastAsia="Arial" w:hAnsi="Arial" w:cs="Arial"/>
          <w:b w:val="0"/>
          <w:i w:val="0"/>
          <w:sz w:val="20"/>
        </w:rPr>
        <w:t xml:space="preserve"> </w:t>
      </w:r>
      <w:r>
        <w:rPr>
          <w:rFonts w:ascii="Arial" w:eastAsia="Arial" w:hAnsi="Arial" w:cs="Arial"/>
          <w:b w:val="0"/>
          <w:i w:val="0"/>
          <w:sz w:val="20"/>
        </w:rPr>
        <w:t>J</w:t>
      </w:r>
      <w:r>
        <w:rPr>
          <w:rFonts w:ascii="Arial" w:eastAsia="Arial" w:hAnsi="Arial" w:cs="Arial"/>
          <w:b w:val="0"/>
          <w:i w:val="0"/>
          <w:sz w:val="20"/>
        </w:rPr>
        <w:t>uly 1</w:t>
      </w:r>
      <w:r>
        <w:rPr>
          <w:rFonts w:ascii="Arial" w:eastAsia="Arial" w:hAnsi="Arial" w:cs="Arial"/>
          <w:b w:val="0"/>
          <w:i w:val="0"/>
          <w:sz w:val="20"/>
        </w:rPr>
        <w:t>, 202</w:t>
      </w:r>
      <w:r>
        <w:rPr>
          <w:rFonts w:ascii="Arial" w:eastAsia="Arial" w:hAnsi="Arial" w:cs="Arial"/>
          <w:b w:val="0"/>
          <w:i w:val="0"/>
          <w:sz w:val="20"/>
        </w:rPr>
        <w:t>5</w:t>
      </w:r>
      <w:r>
        <w:rPr>
          <w:rFonts w:ascii="Arial" w:eastAsia="Arial" w:hAnsi="Arial" w:cs="Arial"/>
          <w:b w:val="0"/>
          <w:i w:val="0"/>
          <w:sz w:val="20"/>
        </w:rPr>
        <w:t>.</w:t>
      </w:r>
      <w:r>
        <w:rPr>
          <w:rFonts w:ascii="Arial" w:eastAsia="Arial" w:hAnsi="Arial" w:cs="Arial"/>
          <w:b w:val="0"/>
          <w:i w:val="0"/>
          <w:sz w:val="20"/>
        </w:rPr>
        <w:t xml:space="preserve"> </w:t>
      </w:r>
      <w:r>
        <w:rPr>
          <w:rFonts w:ascii="Arial" w:eastAsia="Arial" w:hAnsi="Arial" w:cs="Arial"/>
          <w:b w:val="0"/>
          <w:i w:val="0"/>
          <w:sz w:val="20"/>
        </w:rPr>
        <w:t>T</w:t>
      </w:r>
      <w:r>
        <w:rPr>
          <w:rFonts w:ascii="Arial" w:eastAsia="Arial" w:hAnsi="Arial" w:cs="Arial"/>
          <w:b w:val="0"/>
          <w:i w:val="0"/>
          <w:sz w:val="20"/>
        </w:rPr>
        <w:t>he Compensation Committee</w:t>
      </w:r>
      <w:r>
        <w:rPr>
          <w:rFonts w:ascii="Arial" w:eastAsia="Arial" w:hAnsi="Arial" w:cs="Arial"/>
          <w:b w:val="0"/>
          <w:i w:val="0"/>
          <w:sz w:val="20"/>
        </w:rPr>
        <w:t xml:space="preserve"> also</w:t>
      </w:r>
      <w:r>
        <w:rPr>
          <w:rFonts w:ascii="Arial" w:eastAsia="Arial" w:hAnsi="Arial" w:cs="Arial"/>
          <w:b w:val="0"/>
          <w:i w:val="0"/>
          <w:sz w:val="20"/>
        </w:rPr>
        <w:t xml:space="preserve"> restructured </w:t>
      </w:r>
      <w:r>
        <w:rPr>
          <w:rFonts w:ascii="Arial" w:eastAsia="Arial" w:hAnsi="Arial" w:cs="Arial"/>
          <w:b w:val="0"/>
          <w:i w:val="0"/>
          <w:sz w:val="20"/>
        </w:rPr>
        <w:t xml:space="preserve">Mr. Brockman's </w:t>
      </w:r>
      <w:r>
        <w:rPr>
          <w:rFonts w:ascii="Arial" w:eastAsia="Arial" w:hAnsi="Arial" w:cs="Arial"/>
          <w:b w:val="0"/>
          <w:i w:val="0"/>
          <w:color w:val="000000"/>
          <w:sz w:val="20"/>
          <w:u w:val="none"/>
        </w:rPr>
        <w:t xml:space="preserve">existing award of </w:t>
      </w:r>
      <w:r>
        <w:rPr>
          <w:rFonts w:ascii="Arial" w:eastAsia="Arial" w:hAnsi="Arial" w:cs="Arial"/>
          <w:b w:val="0"/>
          <w:i w:val="0"/>
          <w:color w:val="000000"/>
          <w:sz w:val="20"/>
          <w:u w:val="none"/>
        </w:rPr>
        <w:t>8,340</w:t>
      </w:r>
      <w:r>
        <w:rPr>
          <w:rFonts w:ascii="Arial" w:eastAsia="Arial" w:hAnsi="Arial" w:cs="Arial"/>
          <w:b w:val="0"/>
          <w:i w:val="0"/>
          <w:color w:val="000000"/>
          <w:sz w:val="20"/>
          <w:u w:val="none"/>
        </w:rPr>
        <w:t xml:space="preserve"> RSUs </w:t>
      </w:r>
      <w:r>
        <w:rPr>
          <w:rFonts w:ascii="Arial" w:eastAsia="Arial" w:hAnsi="Arial" w:cs="Arial"/>
          <w:b w:val="0"/>
          <w:i w:val="0"/>
          <w:color w:val="000000"/>
          <w:sz w:val="20"/>
          <w:u w:val="none"/>
        </w:rPr>
        <w:t xml:space="preserve">to extend the vesting date </w:t>
      </w:r>
      <w:r>
        <w:rPr>
          <w:rFonts w:ascii="Arial" w:eastAsia="Arial" w:hAnsi="Arial" w:cs="Arial"/>
          <w:b w:val="0"/>
          <w:i w:val="0"/>
          <w:color w:val="000000"/>
          <w:sz w:val="20"/>
          <w:u w:val="none"/>
        </w:rPr>
        <w:t xml:space="preserve">from </w:t>
      </w:r>
      <w:r>
        <w:rPr>
          <w:rFonts w:ascii="Arial" w:eastAsia="Arial" w:hAnsi="Arial" w:cs="Arial"/>
          <w:b w:val="0"/>
          <w:i w:val="0"/>
          <w:color w:val="000000"/>
          <w:sz w:val="20"/>
          <w:u w:val="none"/>
        </w:rPr>
        <w:t>July 1</w:t>
      </w:r>
      <w:r>
        <w:rPr>
          <w:rFonts w:ascii="Arial" w:eastAsia="Arial" w:hAnsi="Arial" w:cs="Arial"/>
          <w:b w:val="0"/>
          <w:i w:val="0"/>
          <w:color w:val="000000"/>
          <w:sz w:val="20"/>
          <w:u w:val="none"/>
        </w:rPr>
        <w:t>, 202</w:t>
      </w:r>
      <w:r>
        <w:rPr>
          <w:rFonts w:ascii="Arial" w:eastAsia="Arial" w:hAnsi="Arial" w:cs="Arial"/>
          <w:b w:val="0"/>
          <w:i w:val="0"/>
          <w:color w:val="000000"/>
          <w:sz w:val="20"/>
          <w:u w:val="none"/>
        </w:rPr>
        <w:t>4</w:t>
      </w:r>
      <w:r>
        <w:rPr>
          <w:rFonts w:ascii="Arial" w:eastAsia="Arial" w:hAnsi="Arial" w:cs="Arial"/>
          <w:b w:val="0"/>
          <w:i w:val="0"/>
          <w:color w:val="000000"/>
          <w:sz w:val="20"/>
          <w:u w:val="none"/>
        </w:rPr>
        <w:t xml:space="preserve"> to </w:t>
      </w:r>
      <w:r>
        <w:rPr>
          <w:rFonts w:ascii="Arial" w:eastAsia="Arial" w:hAnsi="Arial" w:cs="Arial"/>
          <w:b w:val="0"/>
          <w:i w:val="0"/>
          <w:color w:val="000000"/>
          <w:sz w:val="20"/>
          <w:u w:val="none"/>
        </w:rPr>
        <w:t>July 1</w:t>
      </w:r>
      <w:r>
        <w:rPr>
          <w:rFonts w:ascii="Arial" w:eastAsia="Arial" w:hAnsi="Arial" w:cs="Arial"/>
          <w:b w:val="0"/>
          <w:i w:val="0"/>
          <w:color w:val="000000"/>
          <w:sz w:val="20"/>
          <w:u w:val="none"/>
        </w:rPr>
        <w:t>,</w:t>
      </w:r>
      <w:r>
        <w:rPr>
          <w:rFonts w:ascii="Arial" w:eastAsia="Arial" w:hAnsi="Arial" w:cs="Arial"/>
          <w:b w:val="0"/>
          <w:i w:val="0"/>
          <w:color w:val="000000"/>
          <w:sz w:val="20"/>
          <w:u w:val="none"/>
        </w:rPr>
        <w:t xml:space="preserve"> 202</w:t>
      </w:r>
      <w:r>
        <w:rPr>
          <w:rFonts w:ascii="Arial" w:eastAsia="Arial" w:hAnsi="Arial" w:cs="Arial"/>
          <w:b w:val="0"/>
          <w:i w:val="0"/>
          <w:color w:val="000000"/>
          <w:sz w:val="20"/>
          <w:u w:val="none"/>
        </w:rPr>
        <w:t>5</w:t>
      </w:r>
      <w:r>
        <w:rPr>
          <w:rFonts w:ascii="Arial" w:eastAsia="Arial" w:hAnsi="Arial" w:cs="Arial"/>
          <w:b w:val="0"/>
          <w:i w:val="0"/>
          <w:color w:val="000000"/>
          <w:sz w:val="20"/>
          <w:u w:val="none"/>
        </w:rPr>
        <w:t>.</w:t>
      </w:r>
      <w:r>
        <w:rPr>
          <w:rFonts w:ascii="Arial" w:eastAsia="Arial" w:hAnsi="Arial" w:cs="Arial"/>
          <w:b w:val="0"/>
          <w:i w:val="0"/>
          <w:sz w:val="20"/>
        </w:rPr>
        <w:t xml:space="preserve"> </w:t>
      </w:r>
      <w:r>
        <w:rPr>
          <w:rFonts w:ascii="Arial" w:eastAsia="Arial" w:hAnsi="Arial" w:cs="Arial"/>
          <w:b w:val="0"/>
          <w:i w:val="0"/>
          <w:sz w:val="20"/>
        </w:rPr>
        <w:t>The Compensation Committee implemented this arrangement</w:t>
      </w:r>
      <w:r>
        <w:rPr>
          <w:rFonts w:ascii="Arial" w:eastAsia="Arial" w:hAnsi="Arial" w:cs="Arial"/>
          <w:b w:val="0"/>
          <w:i w:val="0"/>
          <w:sz w:val="20"/>
        </w:rPr>
        <w:t xml:space="preserve">, which </w:t>
      </w:r>
      <w:r>
        <w:rPr>
          <w:rFonts w:ascii="Arial" w:eastAsia="Arial" w:hAnsi="Arial" w:cs="Arial"/>
          <w:b w:val="0"/>
          <w:i w:val="0"/>
          <w:sz w:val="20"/>
        </w:rPr>
        <w:t>increases the award</w:t>
      </w:r>
      <w:r>
        <w:rPr>
          <w:rFonts w:ascii="Arial" w:eastAsia="Arial" w:hAnsi="Arial" w:cs="Arial"/>
          <w:b w:val="0"/>
          <w:i w:val="0"/>
          <w:sz w:val="20"/>
        </w:rPr>
        <w:t>,</w:t>
      </w:r>
      <w:r>
        <w:rPr>
          <w:rFonts w:ascii="Arial" w:eastAsia="Arial" w:hAnsi="Arial" w:cs="Arial"/>
          <w:b w:val="0"/>
          <w:i w:val="0"/>
          <w:sz w:val="20"/>
        </w:rPr>
        <w:t xml:space="preserve"> but </w:t>
      </w:r>
      <w:r>
        <w:rPr>
          <w:rFonts w:ascii="Arial" w:eastAsia="Arial" w:hAnsi="Arial" w:cs="Arial"/>
          <w:b w:val="0"/>
          <w:i w:val="0"/>
          <w:sz w:val="20"/>
        </w:rPr>
        <w:t xml:space="preserve">delays the </w:t>
      </w:r>
      <w:r>
        <w:rPr>
          <w:rFonts w:ascii="Arial" w:eastAsia="Arial" w:hAnsi="Arial" w:cs="Arial"/>
          <w:b w:val="0"/>
          <w:i w:val="0"/>
          <w:sz w:val="20"/>
        </w:rPr>
        <w:t>vesting</w:t>
      </w:r>
      <w:r>
        <w:rPr>
          <w:rFonts w:ascii="Arial" w:eastAsia="Arial" w:hAnsi="Arial" w:cs="Arial"/>
          <w:b w:val="0"/>
          <w:i w:val="0"/>
          <w:sz w:val="20"/>
        </w:rPr>
        <w:t xml:space="preserve"> of the previously granted portion of the award, as a tool for long</w:t>
      </w:r>
      <w:r>
        <w:rPr>
          <w:rFonts w:ascii="Arial" w:eastAsia="Arial" w:hAnsi="Arial" w:cs="Arial"/>
          <w:b w:val="0"/>
          <w:i w:val="0"/>
          <w:sz w:val="20"/>
        </w:rPr>
        <w:t>er</w:t>
      </w:r>
      <w:r>
        <w:rPr>
          <w:rFonts w:ascii="Arial" w:eastAsia="Arial" w:hAnsi="Arial" w:cs="Arial"/>
          <w:b w:val="0"/>
          <w:i w:val="0"/>
          <w:sz w:val="20"/>
        </w:rPr>
        <w:t xml:space="preserve"> </w:t>
      </w:r>
      <w:r>
        <w:rPr>
          <w:rFonts w:ascii="Arial" w:eastAsia="Arial" w:hAnsi="Arial" w:cs="Arial"/>
          <w:b w:val="0"/>
          <w:i w:val="0"/>
          <w:sz w:val="20"/>
        </w:rPr>
        <w:t>term</w:t>
      </w:r>
      <w:r>
        <w:rPr>
          <w:rFonts w:ascii="Arial" w:eastAsia="Arial" w:hAnsi="Arial" w:cs="Arial"/>
          <w:b w:val="0"/>
          <w:i w:val="0"/>
          <w:sz w:val="20"/>
        </w:rPr>
        <w:t xml:space="preserve"> </w:t>
      </w:r>
      <w:r>
        <w:rPr>
          <w:rFonts w:ascii="Arial" w:eastAsia="Arial" w:hAnsi="Arial" w:cs="Arial"/>
          <w:b w:val="0"/>
          <w:i w:val="0"/>
          <w:sz w:val="20"/>
        </w:rPr>
        <w:t xml:space="preserve">retention and </w:t>
      </w:r>
      <w:r>
        <w:rPr>
          <w:rFonts w:ascii="Arial" w:eastAsia="Arial" w:hAnsi="Arial" w:cs="Arial"/>
          <w:b w:val="0"/>
          <w:i w:val="0"/>
          <w:sz w:val="20"/>
        </w:rPr>
        <w:t>alignment of interests</w:t>
      </w:r>
      <w:r>
        <w:rPr>
          <w:rFonts w:ascii="Arial" w:eastAsia="Arial" w:hAnsi="Arial" w:cs="Arial"/>
          <w:b w:val="0"/>
          <w:i w:val="0"/>
          <w:sz w:val="20"/>
        </w:rPr>
        <w:t xml:space="preserve">. </w:t>
      </w:r>
      <w:r>
        <w:rPr>
          <w:rFonts w:ascii="Arial" w:eastAsia="Arial" w:hAnsi="Arial" w:cs="Arial"/>
          <w:b w:val="0"/>
          <w:i w:val="0"/>
          <w:sz w:val="20"/>
        </w:rPr>
        <w:t>The restructu</w:t>
      </w:r>
      <w:r>
        <w:rPr>
          <w:rFonts w:ascii="Arial" w:eastAsia="Arial" w:hAnsi="Arial" w:cs="Arial"/>
          <w:b w:val="0"/>
          <w:i w:val="0"/>
          <w:sz w:val="20"/>
        </w:rPr>
        <w:t>red award</w:t>
      </w:r>
      <w:r>
        <w:rPr>
          <w:rFonts w:ascii="Arial" w:eastAsia="Arial" w:hAnsi="Arial" w:cs="Arial"/>
          <w:b w:val="0"/>
          <w:i w:val="0"/>
          <w:sz w:val="20"/>
        </w:rPr>
        <w:t xml:space="preserve"> was related to his promo</w:t>
      </w:r>
      <w:r>
        <w:rPr>
          <w:rFonts w:ascii="Arial" w:eastAsia="Arial" w:hAnsi="Arial" w:cs="Arial"/>
          <w:b w:val="0"/>
          <w:i w:val="0"/>
          <w:sz w:val="20"/>
        </w:rPr>
        <w:t>tion to the critical role of COO, and</w:t>
      </w:r>
      <w:r>
        <w:rPr>
          <w:rFonts w:ascii="Arial" w:eastAsia="Arial" w:hAnsi="Arial" w:cs="Arial"/>
          <w:b w:val="0"/>
          <w:i w:val="0"/>
          <w:sz w:val="20"/>
        </w:rPr>
        <w:t xml:space="preserve"> is intended</w:t>
      </w:r>
      <w:r>
        <w:rPr>
          <w:rFonts w:ascii="Arial" w:eastAsia="Arial" w:hAnsi="Arial" w:cs="Arial"/>
          <w:b w:val="0"/>
          <w:i w:val="0"/>
          <w:sz w:val="20"/>
        </w:rPr>
        <w:t xml:space="preserve"> to continue to motivate</w:t>
      </w:r>
      <w:r>
        <w:rPr>
          <w:rFonts w:ascii="Arial" w:eastAsia="Arial" w:hAnsi="Arial" w:cs="Arial"/>
          <w:b w:val="0"/>
          <w:i w:val="0"/>
          <w:sz w:val="20"/>
        </w:rPr>
        <w:t xml:space="preserve"> Mr. </w:t>
      </w:r>
      <w:r>
        <w:rPr>
          <w:rFonts w:ascii="Arial" w:eastAsia="Arial" w:hAnsi="Arial" w:cs="Arial"/>
          <w:b w:val="0"/>
          <w:i w:val="0"/>
          <w:sz w:val="20"/>
        </w:rPr>
        <w:t>Brockm</w:t>
      </w:r>
      <w:r>
        <w:rPr>
          <w:rFonts w:ascii="Arial" w:eastAsia="Arial" w:hAnsi="Arial" w:cs="Arial"/>
          <w:b w:val="0"/>
          <w:i w:val="0"/>
          <w:sz w:val="20"/>
        </w:rPr>
        <w:t>an</w:t>
      </w:r>
      <w:r>
        <w:rPr>
          <w:rFonts w:ascii="Arial" w:eastAsia="Arial" w:hAnsi="Arial" w:cs="Arial"/>
          <w:b w:val="0"/>
          <w:i w:val="0"/>
          <w:sz w:val="20"/>
        </w:rPr>
        <w:t xml:space="preserve"> </w:t>
      </w:r>
      <w:r>
        <w:rPr>
          <w:rFonts w:ascii="Arial" w:eastAsia="Arial" w:hAnsi="Arial" w:cs="Arial"/>
          <w:b w:val="0"/>
          <w:i w:val="0"/>
          <w:sz w:val="20"/>
        </w:rPr>
        <w:t>through and b</w:t>
      </w:r>
      <w:r>
        <w:rPr>
          <w:rFonts w:ascii="Arial" w:eastAsia="Arial" w:hAnsi="Arial" w:cs="Arial"/>
          <w:b w:val="0"/>
          <w:i w:val="0"/>
          <w:sz w:val="20"/>
        </w:rPr>
        <w:t>eyond the vesting period</w:t>
      </w:r>
      <w:r>
        <w:rPr>
          <w:rFonts w:ascii="Arial" w:eastAsia="Arial" w:hAnsi="Arial" w:cs="Arial"/>
          <w:b w:val="0"/>
          <w:i w:val="0"/>
          <w:sz w:val="20"/>
        </w:rPr>
        <w:t xml:space="preserve">. </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745"/>
        <w:gridCol w:w="3525"/>
        <w:gridCol w:w="1995"/>
        <w:gridCol w:w="199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705"/>
        </w:trPr>
        <w:tc>
          <w:tcPr>
            <w:tcW w:w="274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352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Type of Compensation</w:t>
            </w:r>
          </w:p>
          <w:p>
            <w:pPr>
              <w:pageBreakBefore w:val="0"/>
              <w:numPr>
                <w:ilvl w:val="0"/>
                <w:numId w:val="0"/>
              </w:numPr>
              <w:spacing w:before="0" w:after="30" w:line="240" w:lineRule="auto"/>
              <w:ind w:left="0" w:right="0" w:firstLine="0"/>
              <w:jc w:val="left"/>
              <w:outlineLvl w:val="9"/>
              <w:rPr>
                <w:rFonts w:ascii="Arial" w:eastAsia="Arial" w:hAnsi="Arial" w:cs="Arial"/>
                <w:b/>
                <w:i w:val="0"/>
                <w:sz w:val="6"/>
              </w:rPr>
            </w:pPr>
            <w:r>
              <w:rPr>
                <w:rFonts w:ascii="Arial" w:eastAsia="Arial" w:hAnsi="Arial" w:cs="Arial"/>
                <w:b/>
                <w:i w:val="0"/>
                <w:sz w:val="6"/>
              </w:rPr>
              <w:t xml:space="preserve"> </w:t>
            </w:r>
          </w:p>
        </w:tc>
        <w:tc>
          <w:tcPr>
            <w:tcW w:w="199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2023 Amounts</w:t>
            </w:r>
          </w:p>
          <w:p>
            <w:pPr>
              <w:pageBreakBefore w:val="0"/>
              <w:numPr>
                <w:ilvl w:val="0"/>
                <w:numId w:val="0"/>
              </w:numPr>
              <w:spacing w:before="0" w:after="30" w:line="240" w:lineRule="auto"/>
              <w:ind w:left="0" w:right="0" w:firstLine="0"/>
              <w:jc w:val="left"/>
              <w:outlineLvl w:val="9"/>
              <w:rPr>
                <w:rFonts w:ascii="Arial" w:eastAsia="Arial" w:hAnsi="Arial" w:cs="Arial"/>
                <w:b/>
                <w:i w:val="0"/>
                <w:sz w:val="8"/>
              </w:rPr>
            </w:pPr>
            <w:r>
              <w:rPr>
                <w:rFonts w:ascii="Arial" w:eastAsia="Arial" w:hAnsi="Arial" w:cs="Arial"/>
                <w:b/>
                <w:i w:val="0"/>
                <w:sz w:val="8"/>
              </w:rPr>
              <w:t xml:space="preserve"> </w:t>
            </w:r>
          </w:p>
        </w:tc>
        <w:tc>
          <w:tcPr>
            <w:tcW w:w="199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2022 Amounts</w:t>
            </w:r>
          </w:p>
          <w:p>
            <w:pPr>
              <w:pageBreakBefore w:val="0"/>
              <w:numPr>
                <w:ilvl w:val="0"/>
                <w:numId w:val="0"/>
              </w:numPr>
              <w:spacing w:before="0" w:after="30" w:line="240" w:lineRule="auto"/>
              <w:ind w:left="0" w:right="0" w:firstLine="0"/>
              <w:jc w:val="left"/>
              <w:outlineLvl w:val="9"/>
              <w:rPr>
                <w:rFonts w:ascii="Arial" w:eastAsia="Arial" w:hAnsi="Arial" w:cs="Arial"/>
                <w:b/>
                <w:i w:val="0"/>
                <w:sz w:val="8"/>
              </w:rPr>
            </w:pPr>
            <w:r>
              <w:rPr>
                <w:rFonts w:ascii="Arial" w:eastAsia="Arial" w:hAnsi="Arial" w:cs="Arial"/>
                <w:b/>
                <w:i w:val="0"/>
                <w:sz w:val="8"/>
              </w:rPr>
              <w:t xml:space="preserve"> </w:t>
            </w:r>
          </w:p>
        </w:tc>
      </w:tr>
      <w:tr>
        <w:tblPrEx>
          <w:tblW w:w="10260" w:type="dxa"/>
          <w:tblInd w:w="0" w:type="dxa"/>
          <w:tblLayout w:type="fixed"/>
          <w:tblCellMar>
            <w:left w:w="108" w:type="dxa"/>
            <w:right w:w="108" w:type="dxa"/>
          </w:tblCellMar>
        </w:tblPrEx>
        <w:trPr>
          <w:cantSplit/>
          <w:trHeight w:hRule="exact" w:val="315"/>
        </w:trPr>
        <w:tc>
          <w:tcPr>
            <w:tcW w:w="2745" w:type="dxa"/>
            <w:tcBorders>
              <w:top w:val="single" w:sz="12" w:space="0" w:color="4494D1"/>
              <w:left w:val="nil"/>
              <w:bottom w:val="single" w:sz="8" w:space="0" w:color="B6B6B6"/>
              <w:right w:val="nil"/>
            </w:tcBorders>
            <w:tcMar>
              <w:top w:w="0" w:type="dxa"/>
              <w:left w:w="53" w:type="dxa"/>
              <w:bottom w:w="0" w:type="dxa"/>
              <w:right w:w="53"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Base Salary (from April 1, 2023)</w:t>
            </w:r>
          </w:p>
        </w:tc>
        <w:tc>
          <w:tcPr>
            <w:tcW w:w="3525" w:type="dxa"/>
            <w:tcBorders>
              <w:top w:val="single" w:sz="12" w:space="0" w:color="4494D1"/>
              <w:left w:val="nil"/>
              <w:bottom w:val="single" w:sz="8" w:space="0" w:color="B6B6B6"/>
              <w:right w:val="nil"/>
            </w:tcBorders>
            <w:tcMar>
              <w:top w:w="0" w:type="dxa"/>
              <w:left w:w="53" w:type="dxa"/>
              <w:bottom w:w="0" w:type="dxa"/>
              <w:right w:w="53"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Fixed</w:t>
            </w:r>
          </w:p>
        </w:tc>
        <w:tc>
          <w:tcPr>
            <w:tcW w:w="199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$800,000</w:t>
            </w:r>
          </w:p>
        </w:tc>
        <w:tc>
          <w:tcPr>
            <w:tcW w:w="199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$720,000</w:t>
            </w:r>
          </w:p>
        </w:tc>
      </w:tr>
      <w:tr>
        <w:tblPrEx>
          <w:tblW w:w="10260" w:type="dxa"/>
          <w:tblInd w:w="0" w:type="dxa"/>
          <w:tblLayout w:type="fixed"/>
          <w:tblCellMar>
            <w:left w:w="108" w:type="dxa"/>
            <w:right w:w="108" w:type="dxa"/>
          </w:tblCellMar>
        </w:tblPrEx>
        <w:trPr>
          <w:cantSplit/>
          <w:trHeight w:hRule="exact" w:val="540"/>
        </w:trPr>
        <w:tc>
          <w:tcPr>
            <w:tcW w:w="274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numPr>
                <w:ilvl w:val="0"/>
                <w:numId w:val="0"/>
              </w:numPr>
              <w:spacing w:before="0" w:after="6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Annual Cash </w:t>
            </w:r>
          </w:p>
          <w:p>
            <w:pPr>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Incentive Award (Target)</w:t>
            </w:r>
          </w:p>
        </w:tc>
        <w:tc>
          <w:tcPr>
            <w:tcW w:w="352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line="240" w:lineRule="auto"/>
              <w:jc w:val="left"/>
            </w:pPr>
            <w:r>
              <w:rPr>
                <w:rFonts w:ascii="Arial" w:eastAsia="Arial" w:hAnsi="Arial" w:cs="Arial"/>
                <w:b w:val="0"/>
                <w:i w:val="0"/>
                <w:color w:val="000000"/>
                <w:sz w:val="18"/>
                <w:u w:val="none"/>
              </w:rPr>
              <w:t>Performance-Based</w:t>
            </w:r>
          </w:p>
          <w:p>
            <w:pPr>
              <w:spacing w:after="0" w:line="240" w:lineRule="auto"/>
              <w:jc w:val="left"/>
            </w:pP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$1,000,000</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$900,000</w:t>
            </w:r>
          </w:p>
        </w:tc>
      </w:tr>
      <w:tr>
        <w:tblPrEx>
          <w:tblW w:w="10260" w:type="dxa"/>
          <w:tblInd w:w="0" w:type="dxa"/>
          <w:tblLayout w:type="fixed"/>
          <w:tblCellMar>
            <w:left w:w="108" w:type="dxa"/>
            <w:right w:w="108" w:type="dxa"/>
          </w:tblCellMar>
        </w:tblPrEx>
        <w:trPr>
          <w:cantSplit/>
          <w:trHeight w:hRule="exact" w:val="315"/>
        </w:trPr>
        <w:tc>
          <w:tcPr>
            <w:tcW w:w="2745" w:type="dxa"/>
            <w:vMerge w:val="restart"/>
            <w:tcBorders>
              <w:top w:val="nil"/>
              <w:left w:val="nil"/>
              <w:bottom w:val="nil"/>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Annual Equity Award (Grant Date Fair Value)</w:t>
            </w:r>
          </w:p>
        </w:tc>
        <w:tc>
          <w:tcPr>
            <w:tcW w:w="3525" w:type="dxa"/>
            <w:tcBorders>
              <w:top w:val="single" w:sz="8" w:space="0" w:color="B6B6B6"/>
              <w:left w:val="nil"/>
              <w:bottom w:val="single" w:sz="8" w:space="0" w:color="B6B6B6"/>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Performance-Based (Cliff-Vesting PSUs)</w:t>
            </w:r>
            <w:r>
              <w:rPr>
                <w:rFonts w:ascii="Arial" w:eastAsia="Arial" w:hAnsi="Arial" w:cs="Arial"/>
                <w:b w:val="0"/>
                <w:i w:val="0"/>
                <w:sz w:val="18"/>
                <w:vertAlign w:val="superscript"/>
              </w:rPr>
              <w:t>(1)</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$503,974</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$489,895</w:t>
            </w:r>
          </w:p>
        </w:tc>
      </w:tr>
      <w:tr>
        <w:tblPrEx>
          <w:tblW w:w="10260" w:type="dxa"/>
          <w:tblInd w:w="0" w:type="dxa"/>
          <w:tblLayout w:type="fixed"/>
          <w:tblCellMar>
            <w:left w:w="108" w:type="dxa"/>
            <w:right w:w="108" w:type="dxa"/>
          </w:tblCellMar>
        </w:tblPrEx>
        <w:trPr>
          <w:cantSplit/>
          <w:trHeight w:hRule="exact" w:val="315"/>
        </w:trPr>
        <w:tc>
          <w:tcPr>
            <w:tcW w:w="2745" w:type="dxa"/>
            <w:vMerge/>
            <w:tcBorders>
              <w:top w:val="nil"/>
              <w:left w:val="nil"/>
              <w:bottom w:val="single" w:sz="8" w:space="0" w:color="B6B6B6"/>
              <w:right w:val="nil"/>
            </w:tcBorders>
          </w:tcPr>
          <w:p>
            <w:pPr>
              <w:keepNext/>
              <w:pageBreakBefore w:val="0"/>
            </w:pPr>
          </w:p>
        </w:tc>
        <w:tc>
          <w:tcPr>
            <w:tcW w:w="3525" w:type="dxa"/>
            <w:tcBorders>
              <w:top w:val="single" w:sz="8" w:space="0" w:color="B6B6B6"/>
              <w:left w:val="nil"/>
              <w:bottom w:val="single" w:sz="8" w:space="0" w:color="B6B6B6"/>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At-Risk (Tranche-Vesting RSUs)</w:t>
            </w:r>
            <w:r>
              <w:rPr>
                <w:rFonts w:ascii="Arial" w:eastAsia="Arial" w:hAnsi="Arial" w:cs="Arial"/>
                <w:b w:val="0"/>
                <w:i w:val="0"/>
                <w:sz w:val="18"/>
                <w:vertAlign w:val="superscript"/>
              </w:rPr>
              <w:t>(1)</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$216,116</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$209,992</w:t>
            </w:r>
          </w:p>
        </w:tc>
      </w:tr>
      <w:tr>
        <w:tblPrEx>
          <w:tblW w:w="10260" w:type="dxa"/>
          <w:tblInd w:w="0" w:type="dxa"/>
          <w:tblLayout w:type="fixed"/>
          <w:tblCellMar>
            <w:left w:w="108" w:type="dxa"/>
            <w:right w:w="108" w:type="dxa"/>
          </w:tblCellMar>
        </w:tblPrEx>
        <w:trPr>
          <w:cantSplit/>
          <w:trHeight w:hRule="exact" w:val="615"/>
        </w:trPr>
        <w:tc>
          <w:tcPr>
            <w:tcW w:w="2745" w:type="dxa"/>
            <w:tcBorders>
              <w:top w:val="single" w:sz="8" w:space="0" w:color="B6B6B6"/>
              <w:left w:val="nil"/>
              <w:bottom w:val="single" w:sz="8" w:space="0" w:color="B6B6B6"/>
              <w:right w:val="nil"/>
            </w:tcBorders>
            <w:tcMar>
              <w:top w:w="0" w:type="dxa"/>
              <w:left w:w="53" w:type="dxa"/>
              <w:bottom w:w="0" w:type="dxa"/>
              <w:right w:w="53"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Special Equity Award (Annualized Grant Date Fair Value)</w:t>
            </w:r>
          </w:p>
        </w:tc>
        <w:tc>
          <w:tcPr>
            <w:tcW w:w="3525" w:type="dxa"/>
            <w:tcBorders>
              <w:top w:val="single" w:sz="8" w:space="0" w:color="B6B6B6"/>
              <w:left w:val="nil"/>
              <w:bottom w:val="single" w:sz="8" w:space="0" w:color="B6B6B6"/>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At-Risk (Cliff-Vesting RSUs)</w:t>
            </w:r>
            <w:r>
              <w:rPr>
                <w:rFonts w:ascii="Arial" w:eastAsia="Arial" w:hAnsi="Arial" w:cs="Arial"/>
                <w:b w:val="0"/>
                <w:i w:val="0"/>
                <w:sz w:val="18"/>
                <w:vertAlign w:val="superscript"/>
              </w:rPr>
              <w:t>(2)</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$833,292</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$499,983</w:t>
            </w:r>
          </w:p>
        </w:tc>
      </w:tr>
      <w:tr>
        <w:tblPrEx>
          <w:tblW w:w="10260" w:type="dxa"/>
          <w:tblInd w:w="0" w:type="dxa"/>
          <w:tblLayout w:type="fixed"/>
          <w:tblCellMar>
            <w:left w:w="108" w:type="dxa"/>
            <w:right w:w="108" w:type="dxa"/>
          </w:tblCellMar>
        </w:tblPrEx>
        <w:trPr>
          <w:cantSplit/>
          <w:trHeight w:hRule="exact" w:val="315"/>
        </w:trPr>
        <w:tc>
          <w:tcPr>
            <w:tcW w:w="2745" w:type="dxa"/>
            <w:tcBorders>
              <w:top w:val="single" w:sz="8" w:space="0" w:color="B6B6B6"/>
              <w:left w:val="nil"/>
              <w:bottom w:val="nil"/>
              <w:right w:val="nil"/>
            </w:tcBorders>
            <w:tcMar>
              <w:top w:w="0" w:type="dxa"/>
              <w:left w:w="53" w:type="dxa"/>
              <w:bottom w:w="0" w:type="dxa"/>
              <w:right w:w="53" w:type="dxa"/>
            </w:tcMar>
            <w:vAlign w:val="bottom"/>
          </w:tcPr>
          <w:p>
            <w:pPr>
              <w:pageBreakBefore w:val="0"/>
              <w:spacing w:before="33" w:after="30" w:line="240" w:lineRule="auto"/>
              <w:jc w:val="left"/>
            </w:pPr>
            <w:r>
              <w:rPr>
                <w:rFonts w:ascii="Arial" w:eastAsia="Arial" w:hAnsi="Arial" w:cs="Arial"/>
                <w:b/>
                <w:i w:val="0"/>
                <w:color w:val="000000"/>
                <w:sz w:val="18"/>
                <w:u w:val="none"/>
              </w:rPr>
              <w:t>Annual Compensation Mix</w:t>
            </w:r>
          </w:p>
        </w:tc>
        <w:tc>
          <w:tcPr>
            <w:tcW w:w="3525" w:type="dxa"/>
            <w:tcBorders>
              <w:top w:val="single" w:sz="8" w:space="0" w:color="B6B6B6"/>
              <w:left w:val="nil"/>
              <w:bottom w:val="nil"/>
              <w:right w:val="nil"/>
            </w:tcBorders>
            <w:tcMar>
              <w:top w:w="0" w:type="dxa"/>
              <w:left w:w="0" w:type="dxa"/>
              <w:bottom w:w="0" w:type="dxa"/>
              <w:right w:w="0" w:type="dxa"/>
            </w:tcMar>
            <w:vAlign w:val="bottom"/>
          </w:tcPr>
          <w:p>
            <w:pPr>
              <w:pageBreakBefore w:val="0"/>
              <w:spacing w:before="0" w:after="0"/>
            </w:pPr>
          </w:p>
        </w:tc>
        <w:tc>
          <w:tcPr>
            <w:tcW w:w="1995" w:type="dxa"/>
            <w:tcBorders>
              <w:top w:val="single" w:sz="8" w:space="0" w:color="B6B6B6"/>
              <w:left w:val="nil"/>
              <w:bottom w:val="nil"/>
              <w:right w:val="nil"/>
            </w:tcBorders>
            <w:tcMar>
              <w:top w:w="0" w:type="dxa"/>
              <w:left w:w="53" w:type="dxa"/>
              <w:bottom w:w="0" w:type="dxa"/>
              <w:right w:w="15" w:type="dxa"/>
            </w:tcMar>
            <w:vAlign w:val="bottom"/>
          </w:tcPr>
          <w:p>
            <w:pPr>
              <w:pageBreakBefore w:val="0"/>
              <w:spacing w:before="33" w:after="30" w:line="240" w:lineRule="auto"/>
              <w:jc w:val="left"/>
            </w:pPr>
            <w:r>
              <w:rPr>
                <w:rFonts w:ascii="Arial" w:eastAsia="Arial" w:hAnsi="Arial" w:cs="Arial"/>
                <w:b/>
                <w:i w:val="0"/>
                <w:color w:val="000000"/>
                <w:sz w:val="18"/>
                <w:u w:val="none"/>
              </w:rPr>
              <w:t>$3,353,382</w:t>
            </w:r>
          </w:p>
        </w:tc>
        <w:tc>
          <w:tcPr>
            <w:tcW w:w="1995" w:type="dxa"/>
            <w:tcBorders>
              <w:top w:val="single" w:sz="8" w:space="0" w:color="B6B6B6"/>
              <w:left w:val="nil"/>
              <w:bottom w:val="nil"/>
              <w:right w:val="nil"/>
            </w:tcBorders>
            <w:tcMar>
              <w:top w:w="0" w:type="dxa"/>
              <w:left w:w="53" w:type="dxa"/>
              <w:bottom w:w="0" w:type="dxa"/>
              <w:right w:w="15" w:type="dxa"/>
            </w:tcMar>
            <w:vAlign w:val="bottom"/>
          </w:tcPr>
          <w:p>
            <w:pPr>
              <w:pageBreakBefore w:val="0"/>
              <w:spacing w:before="33" w:after="30" w:line="240" w:lineRule="auto"/>
              <w:jc w:val="left"/>
            </w:pPr>
            <w:r>
              <w:rPr>
                <w:rFonts w:ascii="Arial" w:eastAsia="Arial" w:hAnsi="Arial" w:cs="Arial"/>
                <w:b/>
                <w:i w:val="0"/>
                <w:color w:val="000000"/>
                <w:sz w:val="18"/>
                <w:u w:val="none"/>
              </w:rPr>
              <w:t>$2,819,870</w:t>
            </w:r>
          </w:p>
        </w:tc>
      </w:tr>
    </w:tbl>
    <w:p>
      <w:pPr>
        <w:keepNext w:val="0"/>
        <w:keepLines w:val="0"/>
        <w:pageBreakBefore w:val="0"/>
        <w:widowControl/>
        <w:numPr>
          <w:ilvl w:val="0"/>
          <w:numId w:val="0"/>
        </w:numPr>
        <w:spacing w:before="120" w:after="60" w:line="288" w:lineRule="auto"/>
        <w:ind w:left="360" w:right="0" w:hanging="360"/>
        <w:jc w:val="left"/>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(1) </w:t>
      </w:r>
      <w:r>
        <w:rPr>
          <w:rFonts w:ascii="Arial" w:eastAsia="Arial" w:hAnsi="Arial" w:cs="Arial"/>
          <w:b w:val="0"/>
          <w:i w:val="0"/>
          <w:color w:val="969698"/>
          <w:sz w:val="16"/>
          <w:u w:val="none"/>
        </w:rPr>
        <w:tab/>
      </w:r>
      <w:r>
        <w:rPr>
          <w:rFonts w:ascii="Arial" w:eastAsia="Arial" w:hAnsi="Arial" w:cs="Arial"/>
          <w:b w:val="0"/>
          <w:i w:val="0"/>
          <w:color w:val="969698"/>
          <w:sz w:val="16"/>
          <w:u w:val="none"/>
        </w:rPr>
        <w:t xml:space="preserve">Mr. </w:t>
      </w:r>
      <w:r>
        <w:rPr>
          <w:rFonts w:ascii="Arial" w:eastAsia="Arial" w:hAnsi="Arial" w:cs="Arial"/>
          <w:b w:val="0"/>
          <w:i w:val="0"/>
          <w:color w:val="969698"/>
          <w:sz w:val="16"/>
          <w:u w:val="none"/>
        </w:rPr>
        <w:t>Brock</w:t>
      </w:r>
      <w:r>
        <w:rPr>
          <w:rFonts w:ascii="Arial" w:eastAsia="Arial" w:hAnsi="Arial" w:cs="Arial"/>
          <w:b w:val="0"/>
          <w:i w:val="0"/>
          <w:color w:val="969698"/>
          <w:sz w:val="16"/>
          <w:u w:val="none"/>
        </w:rPr>
        <w:t>man</w:t>
      </w:r>
      <w:r>
        <w:rPr>
          <w:rFonts w:ascii="Arial" w:eastAsia="Arial" w:hAnsi="Arial" w:cs="Arial"/>
          <w:b w:val="0"/>
          <w:i w:val="0"/>
          <w:color w:val="969698"/>
          <w:sz w:val="16"/>
          <w:u w:val="none"/>
        </w:rPr>
        <w:t xml:space="preserve"> was awarded a target amoun</w:t>
      </w:r>
      <w:r>
        <w:rPr>
          <w:rFonts w:ascii="Arial" w:eastAsia="Arial" w:hAnsi="Arial" w:cs="Arial"/>
          <w:b w:val="0"/>
          <w:i w:val="0"/>
          <w:color w:val="929292"/>
          <w:sz w:val="16"/>
          <w:u w:val="none"/>
        </w:rPr>
        <w:t xml:space="preserve">t of </w:t>
      </w:r>
      <w:r>
        <w:rPr>
          <w:rFonts w:ascii="Arial" w:eastAsia="Arial" w:hAnsi="Arial" w:cs="Arial"/>
          <w:b w:val="0"/>
          <w:i w:val="0"/>
          <w:color w:val="929292"/>
          <w:sz w:val="16"/>
          <w:u w:val="none"/>
        </w:rPr>
        <w:t>2,262</w:t>
      </w:r>
      <w:r>
        <w:rPr>
          <w:rFonts w:ascii="Arial" w:eastAsia="Arial" w:hAnsi="Arial" w:cs="Arial"/>
          <w:b w:val="0"/>
          <w:i w:val="0"/>
          <w:color w:val="929292"/>
          <w:sz w:val="16"/>
          <w:u w:val="none"/>
        </w:rPr>
        <w:t xml:space="preserve"> PSUs</w:t>
      </w:r>
      <w:r>
        <w:rPr>
          <w:rFonts w:ascii="Arial" w:eastAsia="Arial" w:hAnsi="Arial" w:cs="Arial"/>
          <w:b w:val="0"/>
          <w:i w:val="0"/>
          <w:color w:val="929292"/>
          <w:sz w:val="16"/>
          <w:u w:val="none"/>
        </w:rPr>
        <w:t xml:space="preserve"> and </w:t>
      </w:r>
      <w:r>
        <w:rPr>
          <w:rFonts w:ascii="Arial" w:eastAsia="Arial" w:hAnsi="Arial" w:cs="Arial"/>
          <w:b w:val="0"/>
          <w:i w:val="0"/>
          <w:color w:val="929292"/>
          <w:sz w:val="16"/>
          <w:u w:val="none"/>
        </w:rPr>
        <w:t>970</w:t>
      </w:r>
      <w:r>
        <w:rPr>
          <w:rFonts w:ascii="Arial" w:eastAsia="Arial" w:hAnsi="Arial" w:cs="Arial"/>
          <w:b w:val="0"/>
          <w:i w:val="0"/>
          <w:color w:val="929292"/>
          <w:sz w:val="16"/>
          <w:u w:val="none"/>
        </w:rPr>
        <w:t xml:space="preserve"> RSUs on March 1, 2023 with the terms and conditions described in the section above entitled "Long-Term Incentive Compensation."</w:t>
      </w: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shd w:val="clear" w:color="auto" w:fill="00FF00"/>
        </w:rPr>
      </w:pPr>
      <w:r>
        <w:rPr>
          <w:rFonts w:ascii="Arial" w:eastAsia="Arial" w:hAnsi="Arial" w:cs="Arial"/>
          <w:b w:val="0"/>
          <w:i w:val="0"/>
          <w:color w:val="969698"/>
          <w:sz w:val="16"/>
          <w:u w:val="none"/>
        </w:rPr>
        <w:t xml:space="preserve">(2) </w:t>
      </w:r>
      <w:r>
        <w:rPr>
          <w:rFonts w:ascii="Arial" w:eastAsia="Arial" w:hAnsi="Arial" w:cs="Arial"/>
          <w:b w:val="0"/>
          <w:i w:val="0"/>
          <w:color w:val="969698"/>
          <w:sz w:val="16"/>
          <w:u w:val="none"/>
        </w:rPr>
        <w:tab/>
      </w:r>
      <w:r>
        <w:rPr>
          <w:rFonts w:ascii="Arial" w:eastAsia="Arial" w:hAnsi="Arial" w:cs="Arial"/>
          <w:b w:val="0"/>
          <w:i w:val="0"/>
          <w:color w:val="969698"/>
          <w:sz w:val="16"/>
          <w:u w:val="none"/>
        </w:rPr>
        <w:t xml:space="preserve">Special equity awards comprise RSUs that cliff-vest on the third anniversary of the grant date. For Mr. </w:t>
      </w:r>
      <w:r>
        <w:rPr>
          <w:rFonts w:ascii="Arial" w:eastAsia="Arial" w:hAnsi="Arial" w:cs="Arial"/>
          <w:b w:val="0"/>
          <w:i w:val="0"/>
          <w:color w:val="969698"/>
          <w:sz w:val="16"/>
          <w:u w:val="none"/>
        </w:rPr>
        <w:t>Brockman</w:t>
      </w:r>
      <w:r>
        <w:rPr>
          <w:rFonts w:ascii="Arial" w:eastAsia="Arial" w:hAnsi="Arial" w:cs="Arial"/>
          <w:b w:val="0"/>
          <w:i w:val="0"/>
          <w:color w:val="969698"/>
          <w:sz w:val="16"/>
          <w:u w:val="none"/>
        </w:rPr>
        <w:t xml:space="preserve">, the Special Equity Award row includes (i) </w:t>
      </w:r>
      <w:r>
        <w:rPr>
          <w:rFonts w:ascii="Arial" w:eastAsia="Arial" w:hAnsi="Arial" w:cs="Arial"/>
          <w:b w:val="0"/>
          <w:i w:val="0"/>
          <w:color w:val="969698"/>
          <w:sz w:val="16"/>
          <w:u w:val="none"/>
        </w:rPr>
        <w:t>8,340</w:t>
      </w:r>
      <w:r>
        <w:rPr>
          <w:rFonts w:ascii="Arial" w:eastAsia="Arial" w:hAnsi="Arial" w:cs="Arial"/>
          <w:b w:val="0"/>
          <w:i w:val="0"/>
          <w:color w:val="969698"/>
          <w:sz w:val="16"/>
          <w:u w:val="none"/>
        </w:rPr>
        <w:t xml:space="preserve"> RSUs, granted on </w:t>
      </w:r>
      <w:r>
        <w:rPr>
          <w:rFonts w:ascii="Arial" w:eastAsia="Arial" w:hAnsi="Arial" w:cs="Arial"/>
          <w:b w:val="0"/>
          <w:i w:val="0"/>
          <w:color w:val="969698"/>
          <w:sz w:val="16"/>
          <w:u w:val="none"/>
        </w:rPr>
        <w:t>Ju</w:t>
      </w:r>
      <w:r>
        <w:rPr>
          <w:rFonts w:ascii="Arial" w:eastAsia="Arial" w:hAnsi="Arial" w:cs="Arial"/>
          <w:b w:val="0"/>
          <w:i w:val="0"/>
          <w:color w:val="969698"/>
          <w:sz w:val="16"/>
          <w:u w:val="none"/>
        </w:rPr>
        <w:t>ly 1, 2021</w:t>
      </w:r>
      <w:r>
        <w:rPr>
          <w:rFonts w:ascii="Arial" w:eastAsia="Arial" w:hAnsi="Arial" w:cs="Arial"/>
          <w:b w:val="0"/>
          <w:i w:val="0"/>
          <w:color w:val="969698"/>
          <w:sz w:val="16"/>
          <w:u w:val="none"/>
        </w:rPr>
        <w:t xml:space="preserve">, which the Compensation Committee restructured to extend the vesting date from </w:t>
      </w:r>
      <w:r>
        <w:rPr>
          <w:rFonts w:ascii="Arial" w:eastAsia="Arial" w:hAnsi="Arial" w:cs="Arial"/>
          <w:b w:val="0"/>
          <w:i w:val="0"/>
          <w:color w:val="969698"/>
          <w:sz w:val="16"/>
          <w:u w:val="none"/>
        </w:rPr>
        <w:t>July 1, 2024</w:t>
      </w:r>
      <w:r>
        <w:rPr>
          <w:rFonts w:ascii="Arial" w:eastAsia="Arial" w:hAnsi="Arial" w:cs="Arial"/>
          <w:b w:val="0"/>
          <w:i w:val="0"/>
          <w:color w:val="969698"/>
          <w:sz w:val="16"/>
          <w:u w:val="none"/>
        </w:rPr>
        <w:t xml:space="preserve"> to </w:t>
      </w:r>
      <w:r>
        <w:rPr>
          <w:rFonts w:ascii="Arial" w:eastAsia="Arial" w:hAnsi="Arial" w:cs="Arial"/>
          <w:b w:val="0"/>
          <w:i w:val="0"/>
          <w:color w:val="969698"/>
          <w:sz w:val="16"/>
          <w:u w:val="none"/>
        </w:rPr>
        <w:t>July 1, 2025</w:t>
      </w:r>
      <w:r>
        <w:rPr>
          <w:rFonts w:ascii="Arial" w:eastAsia="Arial" w:hAnsi="Arial" w:cs="Arial"/>
          <w:b w:val="0"/>
          <w:i w:val="0"/>
          <w:color w:val="969698"/>
          <w:sz w:val="16"/>
          <w:u w:val="none"/>
        </w:rPr>
        <w:t xml:space="preserve">, and (ii) </w:t>
      </w:r>
      <w:r>
        <w:rPr>
          <w:rFonts w:ascii="Arial" w:eastAsia="Arial" w:hAnsi="Arial" w:cs="Arial"/>
          <w:b w:val="0"/>
          <w:i w:val="0"/>
          <w:color w:val="969698"/>
          <w:sz w:val="16"/>
          <w:u w:val="none"/>
        </w:rPr>
        <w:t>4,488</w:t>
      </w:r>
      <w:r>
        <w:rPr>
          <w:rFonts w:ascii="Arial" w:eastAsia="Arial" w:hAnsi="Arial" w:cs="Arial"/>
          <w:b w:val="0"/>
          <w:i w:val="0"/>
          <w:color w:val="969698"/>
          <w:sz w:val="16"/>
          <w:u w:val="none"/>
        </w:rPr>
        <w:t xml:space="preserve"> RSUs, granted on March 20, 2023, which vest in a lump sum on </w:t>
      </w:r>
      <w:r>
        <w:rPr>
          <w:rFonts w:ascii="Arial" w:eastAsia="Arial" w:hAnsi="Arial" w:cs="Arial"/>
          <w:b w:val="0"/>
          <w:i w:val="0"/>
          <w:color w:val="969698"/>
          <w:sz w:val="16"/>
          <w:u w:val="none"/>
        </w:rPr>
        <w:t>July 1, 2025</w:t>
      </w:r>
      <w:r>
        <w:rPr>
          <w:rFonts w:ascii="Arial" w:eastAsia="Arial" w:hAnsi="Arial" w:cs="Arial"/>
          <w:b w:val="0"/>
          <w:i w:val="0"/>
          <w:color w:val="969698"/>
          <w:sz w:val="16"/>
          <w:u w:val="none"/>
        </w:rPr>
        <w:t>. Amounts shown in the table in respect of these awards are annualized by dividing the grant date fair value of each award by three and including such amount in the year of grant and the two subsequent years, except in the case of the special equity award granted to Mr.</w:t>
      </w:r>
      <w:r>
        <w:rPr>
          <w:rFonts w:ascii="Arial" w:eastAsia="Arial" w:hAnsi="Arial" w:cs="Arial"/>
          <w:b w:val="0"/>
          <w:i w:val="0"/>
          <w:color w:val="969698"/>
          <w:sz w:val="16"/>
          <w:u w:val="none"/>
        </w:rPr>
        <w:t xml:space="preserve"> Brockman</w:t>
      </w:r>
      <w:r>
        <w:rPr>
          <w:rFonts w:ascii="Arial" w:eastAsia="Arial" w:hAnsi="Arial" w:cs="Arial"/>
          <w:b w:val="0"/>
          <w:i w:val="0"/>
          <w:color w:val="969698"/>
          <w:sz w:val="16"/>
          <w:u w:val="none"/>
        </w:rPr>
        <w:t xml:space="preserve"> on </w:t>
      </w:r>
      <w:r>
        <w:rPr>
          <w:rFonts w:ascii="Arial" w:eastAsia="Arial" w:hAnsi="Arial" w:cs="Arial"/>
          <w:b w:val="0"/>
          <w:i w:val="0"/>
          <w:color w:val="969698"/>
          <w:sz w:val="16"/>
          <w:u w:val="none"/>
        </w:rPr>
        <w:t>July 1, 2021</w:t>
      </w:r>
      <w:r>
        <w:rPr>
          <w:rFonts w:ascii="Arial" w:eastAsia="Arial" w:hAnsi="Arial" w:cs="Arial"/>
          <w:b w:val="0"/>
          <w:i w:val="0"/>
          <w:color w:val="969698"/>
          <w:sz w:val="16"/>
          <w:u w:val="none"/>
        </w:rPr>
        <w:t xml:space="preserve"> that was restructured by the Compensation Committee, which amount is instead annualized by dividing the grant date fair value by four and including such amount in the year of grant and the three subsequent years. </w:t>
      </w: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shd w:val="clear" w:color="auto" w:fill="00FF00"/>
        </w:rPr>
      </w:pP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i w:val="0"/>
          <w:color w:val="4494D1"/>
          <w:sz w:val="20"/>
          <w:u w:val="none"/>
        </w:rPr>
      </w:pP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969698"/>
          <w:sz w:val="20"/>
          <w:u w:val="none"/>
        </w:rPr>
      </w:pPr>
      <w:r>
        <w:rPr>
          <w:rFonts w:ascii="Arial" w:eastAsia="Arial" w:hAnsi="Arial" w:cs="Arial"/>
          <w:b/>
          <w:i w:val="0"/>
          <w:color w:val="4494D1"/>
          <w:sz w:val="20"/>
          <w:u w:val="none"/>
        </w:rPr>
        <w:t>2023 Annual Cash Incentive Award</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969698"/>
          <w:sz w:val="20"/>
          <w:u w:val="none"/>
        </w:rPr>
      </w:pPr>
      <w:r>
        <w:rPr>
          <w:rFonts w:ascii="Arial" w:eastAsia="Arial" w:hAnsi="Arial" w:cs="Arial"/>
          <w:b w:val="0"/>
          <w:i w:val="0"/>
          <w:sz w:val="20"/>
        </w:rPr>
        <w:t xml:space="preserve">Mr. </w:t>
      </w:r>
      <w:r>
        <w:rPr>
          <w:rFonts w:ascii="Arial" w:eastAsia="Arial" w:hAnsi="Arial" w:cs="Arial"/>
          <w:b w:val="0"/>
          <w:i w:val="0"/>
          <w:sz w:val="20"/>
        </w:rPr>
        <w:t>Broc</w:t>
      </w:r>
      <w:r>
        <w:rPr>
          <w:rFonts w:ascii="Arial" w:eastAsia="Arial" w:hAnsi="Arial" w:cs="Arial"/>
          <w:b w:val="0"/>
          <w:i w:val="0"/>
          <w:sz w:val="20"/>
        </w:rPr>
        <w:t>kman</w:t>
      </w:r>
      <w:r>
        <w:rPr>
          <w:rFonts w:ascii="Arial" w:eastAsia="Arial" w:hAnsi="Arial" w:cs="Arial"/>
          <w:b w:val="0"/>
          <w:i w:val="0"/>
          <w:sz w:val="20"/>
        </w:rPr>
        <w:t xml:space="preserve"> earned an annual incentive payment of </w:t>
      </w:r>
      <w:r>
        <w:rPr>
          <w:rFonts w:ascii="Arial" w:eastAsia="Arial" w:hAnsi="Arial" w:cs="Arial"/>
          <w:b w:val="0"/>
          <w:i w:val="0"/>
          <w:color w:val="000000"/>
          <w:sz w:val="20"/>
          <w:u w:val="none"/>
        </w:rPr>
        <w:t>$1,041,670</w:t>
      </w:r>
      <w:r>
        <w:rPr>
          <w:rFonts w:ascii="Arial" w:eastAsia="Arial" w:hAnsi="Arial" w:cs="Arial"/>
          <w:b w:val="0"/>
          <w:i w:val="0"/>
          <w:sz w:val="20"/>
        </w:rPr>
        <w:t xml:space="preserve">, or </w:t>
      </w:r>
      <w:r>
        <w:rPr>
          <w:rFonts w:ascii="Arial" w:eastAsia="Arial" w:hAnsi="Arial" w:cs="Arial"/>
          <w:b w:val="0"/>
          <w:i w:val="0"/>
          <w:color w:val="000000"/>
          <w:sz w:val="20"/>
          <w:u w:val="none"/>
        </w:rPr>
        <w:t>105%</w:t>
      </w:r>
      <w:r>
        <w:rPr>
          <w:rFonts w:ascii="Arial" w:eastAsia="Arial" w:hAnsi="Arial" w:cs="Arial"/>
          <w:b w:val="0"/>
          <w:i w:val="0"/>
          <w:sz w:val="20"/>
        </w:rPr>
        <w:t xml:space="preserve"> of target, based on the final achievement of the Company's financial performance, corporate objectives, and his pre-established</w:t>
      </w:r>
      <w:r>
        <w:rPr>
          <w:rFonts w:ascii="Arial" w:eastAsia="Arial" w:hAnsi="Arial" w:cs="Arial"/>
          <w:b w:val="0"/>
          <w:i w:val="0"/>
          <w:sz w:val="20"/>
        </w:rPr>
        <w:t xml:space="preserve"> indi</w:t>
      </w:r>
      <w:r>
        <w:rPr>
          <w:rFonts w:ascii="Arial" w:eastAsia="Arial" w:hAnsi="Arial" w:cs="Arial"/>
          <w:b w:val="0"/>
          <w:i w:val="0"/>
          <w:sz w:val="20"/>
        </w:rPr>
        <w:t>vidual</w:t>
      </w:r>
      <w:r>
        <w:rPr>
          <w:rFonts w:ascii="Arial" w:eastAsia="Arial" w:hAnsi="Arial" w:cs="Arial"/>
          <w:b w:val="0"/>
          <w:i w:val="0"/>
          <w:sz w:val="20"/>
        </w:rPr>
        <w:t xml:space="preserve"> performance goals, as described below.</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i w:val="0"/>
          <w:color w:val="969698"/>
          <w:sz w:val="20"/>
          <w:u w:val="none"/>
        </w:rPr>
      </w:pPr>
      <w:r>
        <w:rPr>
          <w:rFonts w:ascii="Arial" w:eastAsia="Arial" w:hAnsi="Arial" w:cs="Arial"/>
          <w:b w:val="0"/>
          <w:i w:val="0"/>
          <w:sz w:val="20"/>
        </w:rPr>
        <w:t xml:space="preserve">The </w:t>
      </w:r>
      <w:r>
        <w:rPr>
          <w:rFonts w:ascii="Arial" w:eastAsia="Arial" w:hAnsi="Arial" w:cs="Arial"/>
          <w:b w:val="0"/>
          <w:i w:val="0"/>
          <w:sz w:val="20"/>
        </w:rPr>
        <w:t xml:space="preserve">AIP allows for the Compensation </w:t>
      </w:r>
      <w:r>
        <w:rPr>
          <w:rFonts w:ascii="Arial" w:eastAsia="Arial" w:hAnsi="Arial" w:cs="Arial"/>
          <w:b w:val="0"/>
          <w:i w:val="0"/>
          <w:sz w:val="20"/>
        </w:rPr>
        <w:t>Committee</w:t>
      </w:r>
      <w:r>
        <w:rPr>
          <w:rFonts w:ascii="Arial" w:eastAsia="Arial" w:hAnsi="Arial" w:cs="Arial"/>
          <w:b w:val="0"/>
          <w:i w:val="0"/>
          <w:sz w:val="20"/>
        </w:rPr>
        <w:t xml:space="preserve"> t</w:t>
      </w:r>
      <w:r>
        <w:rPr>
          <w:rFonts w:ascii="Arial" w:eastAsia="Arial" w:hAnsi="Arial" w:cs="Arial"/>
          <w:b w:val="0"/>
          <w:i w:val="0"/>
          <w:sz w:val="20"/>
        </w:rPr>
        <w:t xml:space="preserve">o </w:t>
      </w:r>
      <w:r>
        <w:rPr>
          <w:rFonts w:ascii="Arial" w:eastAsia="Arial" w:hAnsi="Arial" w:cs="Arial"/>
          <w:b w:val="0"/>
          <w:i w:val="0"/>
          <w:sz w:val="20"/>
        </w:rPr>
        <w:t>apply</w:t>
      </w:r>
      <w:r>
        <w:rPr>
          <w:rFonts w:ascii="Arial" w:eastAsia="Arial" w:hAnsi="Arial" w:cs="Arial"/>
          <w:b w:val="0"/>
          <w:i w:val="0"/>
          <w:sz w:val="20"/>
        </w:rPr>
        <w:t xml:space="preserve"> </w:t>
      </w:r>
      <w:r>
        <w:rPr>
          <w:rFonts w:ascii="Arial" w:eastAsia="Arial" w:hAnsi="Arial" w:cs="Arial"/>
          <w:b w:val="0"/>
          <w:i w:val="0"/>
          <w:sz w:val="20"/>
        </w:rPr>
        <w:t>a positive or negative discretionary adjustment of up to 10% on the formulaic bonus outcome</w:t>
      </w:r>
      <w:r>
        <w:rPr>
          <w:rFonts w:ascii="Arial" w:eastAsia="Arial" w:hAnsi="Arial" w:cs="Arial"/>
          <w:b w:val="0"/>
          <w:i w:val="0"/>
          <w:sz w:val="20"/>
        </w:rPr>
        <w:t xml:space="preserve"> of </w:t>
      </w:r>
      <w:r>
        <w:rPr>
          <w:rFonts w:ascii="Arial" w:eastAsia="Arial" w:hAnsi="Arial" w:cs="Arial"/>
          <w:b w:val="0"/>
          <w:i w:val="0"/>
          <w:sz w:val="20"/>
        </w:rPr>
        <w:t>an executive</w:t>
      </w:r>
      <w:r>
        <w:rPr>
          <w:rFonts w:ascii="Arial" w:eastAsia="Arial" w:hAnsi="Arial" w:cs="Arial"/>
          <w:b w:val="0"/>
          <w:i w:val="0"/>
          <w:sz w:val="20"/>
        </w:rPr>
        <w:t xml:space="preserve">. </w:t>
      </w:r>
      <w:r>
        <w:rPr>
          <w:rFonts w:ascii="Arial" w:eastAsia="Arial" w:hAnsi="Arial" w:cs="Arial"/>
          <w:b w:val="0"/>
          <w:i w:val="0"/>
          <w:sz w:val="20"/>
        </w:rPr>
        <w:t>For 2023</w:t>
      </w:r>
      <w:r>
        <w:rPr>
          <w:rFonts w:ascii="Arial" w:eastAsia="Arial" w:hAnsi="Arial" w:cs="Arial"/>
          <w:b w:val="0"/>
          <w:i w:val="0"/>
          <w:sz w:val="20"/>
        </w:rPr>
        <w:t xml:space="preserve">, </w:t>
      </w:r>
      <w:r>
        <w:rPr>
          <w:rFonts w:ascii="Arial" w:eastAsia="Arial" w:hAnsi="Arial" w:cs="Arial"/>
          <w:b w:val="0"/>
          <w:i w:val="0"/>
          <w:sz w:val="20"/>
        </w:rPr>
        <w:t>th</w:t>
      </w:r>
      <w:r>
        <w:rPr>
          <w:rFonts w:ascii="Arial" w:eastAsia="Arial" w:hAnsi="Arial" w:cs="Arial"/>
          <w:b w:val="0"/>
          <w:i w:val="0"/>
          <w:sz w:val="20"/>
        </w:rPr>
        <w:t>e</w:t>
      </w:r>
      <w:r>
        <w:rPr>
          <w:rFonts w:ascii="Arial" w:eastAsia="Arial" w:hAnsi="Arial" w:cs="Arial"/>
          <w:b w:val="0"/>
          <w:i w:val="0"/>
          <w:sz w:val="20"/>
        </w:rPr>
        <w:t xml:space="preserve"> Compensation Committee</w:t>
      </w:r>
      <w:r>
        <w:rPr>
          <w:rFonts w:ascii="Arial" w:eastAsia="Arial" w:hAnsi="Arial" w:cs="Arial"/>
          <w:b w:val="0"/>
          <w:i w:val="0"/>
          <w:sz w:val="20"/>
        </w:rPr>
        <w:t xml:space="preserve"> increased Mr. </w:t>
      </w:r>
      <w:r>
        <w:rPr>
          <w:rFonts w:ascii="Arial" w:eastAsia="Arial" w:hAnsi="Arial" w:cs="Arial"/>
          <w:b w:val="0"/>
          <w:i w:val="0"/>
          <w:sz w:val="20"/>
        </w:rPr>
        <w:t>Brockman's final 202</w:t>
      </w:r>
      <w:r>
        <w:rPr>
          <w:rFonts w:ascii="Arial" w:eastAsia="Arial" w:hAnsi="Arial" w:cs="Arial"/>
          <w:b w:val="0"/>
          <w:i w:val="0"/>
          <w:sz w:val="20"/>
        </w:rPr>
        <w:t xml:space="preserve">3 award payout by </w:t>
      </w:r>
      <w:r>
        <w:rPr>
          <w:rFonts w:ascii="Arial" w:eastAsia="Arial" w:hAnsi="Arial" w:cs="Arial"/>
          <w:b w:val="0"/>
          <w:i w:val="0"/>
          <w:color w:val="000000"/>
          <w:sz w:val="20"/>
          <w:u w:val="none"/>
        </w:rPr>
        <w:t>10%</w:t>
      </w:r>
      <w:r>
        <w:rPr>
          <w:rFonts w:ascii="Arial" w:eastAsia="Arial" w:hAnsi="Arial" w:cs="Arial"/>
          <w:b w:val="0"/>
          <w:i w:val="0"/>
          <w:sz w:val="20"/>
        </w:rPr>
        <w:t xml:space="preserve"> </w:t>
      </w:r>
      <w:r>
        <w:rPr>
          <w:rFonts w:ascii="Arial" w:eastAsia="Arial" w:hAnsi="Arial" w:cs="Arial"/>
          <w:b w:val="0"/>
          <w:i w:val="0"/>
          <w:sz w:val="20"/>
        </w:rPr>
        <w:t xml:space="preserve">in </w:t>
      </w:r>
      <w:r>
        <w:rPr>
          <w:rFonts w:ascii="Arial" w:eastAsia="Arial" w:hAnsi="Arial" w:cs="Arial"/>
          <w:b w:val="0"/>
          <w:i w:val="0"/>
          <w:sz w:val="20"/>
        </w:rPr>
        <w:t>recognition</w:t>
      </w:r>
      <w:r>
        <w:rPr>
          <w:rFonts w:ascii="Arial" w:eastAsia="Arial" w:hAnsi="Arial" w:cs="Arial"/>
          <w:b w:val="0"/>
          <w:i w:val="0"/>
          <w:sz w:val="20"/>
        </w:rPr>
        <w:t xml:space="preserve"> of </w:t>
      </w:r>
      <w:r>
        <w:rPr>
          <w:rFonts w:ascii="Arial" w:eastAsia="Arial" w:hAnsi="Arial" w:cs="Arial"/>
          <w:b w:val="0"/>
          <w:i w:val="0"/>
          <w:sz w:val="20"/>
        </w:rPr>
        <w:t>his</w:t>
      </w:r>
      <w:r>
        <w:rPr>
          <w:rFonts w:ascii="Arial" w:eastAsia="Arial" w:hAnsi="Arial" w:cs="Arial"/>
          <w:b w:val="0"/>
          <w:i w:val="0"/>
          <w:sz w:val="20"/>
        </w:rPr>
        <w:t xml:space="preserve"> </w:t>
      </w:r>
      <w:r>
        <w:rPr>
          <w:rFonts w:ascii="Arial" w:eastAsia="Arial" w:hAnsi="Arial" w:cs="Arial"/>
          <w:b w:val="0"/>
          <w:i w:val="0"/>
          <w:sz w:val="20"/>
        </w:rPr>
        <w:t xml:space="preserve">significant </w:t>
      </w:r>
      <w:r>
        <w:rPr>
          <w:rFonts w:ascii="Arial" w:eastAsia="Arial" w:hAnsi="Arial" w:cs="Arial"/>
          <w:b w:val="0"/>
          <w:i w:val="0"/>
          <w:sz w:val="20"/>
        </w:rPr>
        <w:t>contribution</w:t>
      </w:r>
      <w:r>
        <w:rPr>
          <w:rFonts w:ascii="Arial" w:eastAsia="Arial" w:hAnsi="Arial" w:cs="Arial"/>
          <w:b w:val="0"/>
          <w:i w:val="0"/>
          <w:sz w:val="20"/>
        </w:rPr>
        <w:t xml:space="preserve">s </w:t>
      </w:r>
      <w:r>
        <w:rPr>
          <w:rFonts w:ascii="Arial" w:eastAsia="Arial" w:hAnsi="Arial" w:cs="Arial"/>
          <w:b w:val="0"/>
          <w:i w:val="0"/>
          <w:sz w:val="20"/>
        </w:rPr>
        <w:t xml:space="preserve">and </w:t>
      </w:r>
      <w:r>
        <w:rPr>
          <w:rFonts w:ascii="Arial" w:eastAsia="Arial" w:hAnsi="Arial" w:cs="Arial"/>
          <w:b w:val="0"/>
          <w:i w:val="0"/>
          <w:sz w:val="20"/>
        </w:rPr>
        <w:t>outper</w:t>
      </w:r>
      <w:r>
        <w:rPr>
          <w:rFonts w:ascii="Arial" w:eastAsia="Arial" w:hAnsi="Arial" w:cs="Arial"/>
          <w:b w:val="0"/>
          <w:i w:val="0"/>
          <w:sz w:val="20"/>
        </w:rPr>
        <w:t>formance on key operational matters</w:t>
      </w:r>
      <w:r>
        <w:rPr>
          <w:rFonts w:ascii="Arial" w:eastAsia="Arial" w:hAnsi="Arial" w:cs="Arial"/>
          <w:b w:val="0"/>
          <w:i w:val="0"/>
          <w:sz w:val="20"/>
        </w:rPr>
        <w:t>.</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055"/>
        <w:gridCol w:w="3240"/>
        <w:gridCol w:w="1485"/>
        <w:gridCol w:w="1665"/>
        <w:gridCol w:w="181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720"/>
        </w:trPr>
        <w:tc>
          <w:tcPr>
            <w:tcW w:w="205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i w:val="0"/>
                <w:sz w:val="18"/>
              </w:rPr>
            </w:pPr>
            <w:r>
              <w:rPr>
                <w:rFonts w:ascii="Arial" w:eastAsia="Arial" w:hAnsi="Arial" w:cs="Arial"/>
                <w:b/>
                <w:i w:val="0"/>
                <w:sz w:val="18"/>
              </w:rPr>
              <w:t>Bonus Component</w:t>
            </w:r>
            <w:r>
              <w:rPr>
                <w:rFonts w:ascii="Arial" w:eastAsia="Arial" w:hAnsi="Arial" w:cs="Arial"/>
                <w:b/>
                <w:i w:val="0"/>
                <w:sz w:val="18"/>
                <w:vertAlign w:val="superscript"/>
              </w:rPr>
              <w:t>(1)</w:t>
            </w:r>
          </w:p>
        </w:tc>
        <w:tc>
          <w:tcPr>
            <w:tcW w:w="3240"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Performance Criteria</w:t>
            </w:r>
          </w:p>
        </w:tc>
        <w:tc>
          <w:tcPr>
            <w:tcW w:w="148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Component Weighting</w:t>
            </w:r>
          </w:p>
        </w:tc>
        <w:tc>
          <w:tcPr>
            <w:tcW w:w="166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Actual Payout as a Percent of Target</w:t>
            </w:r>
          </w:p>
        </w:tc>
        <w:tc>
          <w:tcPr>
            <w:tcW w:w="181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Award Payout</w:t>
            </w:r>
          </w:p>
        </w:tc>
      </w:tr>
      <w:tr>
        <w:tblPrEx>
          <w:tblW w:w="10260" w:type="dxa"/>
          <w:tblInd w:w="0" w:type="dxa"/>
          <w:tblLayout w:type="fixed"/>
          <w:tblCellMar>
            <w:left w:w="108" w:type="dxa"/>
            <w:right w:w="108" w:type="dxa"/>
          </w:tblCellMar>
        </w:tblPrEx>
        <w:trPr>
          <w:cantSplit/>
          <w:trHeight w:hRule="exact" w:val="345"/>
        </w:trPr>
        <w:tc>
          <w:tcPr>
            <w:tcW w:w="2055" w:type="dxa"/>
            <w:tcBorders>
              <w:top w:val="single" w:sz="12" w:space="0" w:color="4494D1"/>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Financial Component</w:t>
            </w:r>
          </w:p>
        </w:tc>
        <w:tc>
          <w:tcPr>
            <w:tcW w:w="3240" w:type="dxa"/>
            <w:tcBorders>
              <w:top w:val="single" w:sz="12" w:space="0" w:color="4494D1"/>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Adjusted ROE</w:t>
            </w:r>
          </w:p>
        </w:tc>
        <w:tc>
          <w:tcPr>
            <w:tcW w:w="1485" w:type="dxa"/>
            <w:tcBorders>
              <w:top w:val="single" w:sz="12" w:space="0" w:color="4494D1"/>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20%</w:t>
            </w:r>
          </w:p>
        </w:tc>
        <w:tc>
          <w:tcPr>
            <w:tcW w:w="166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106.5%</w:t>
            </w:r>
          </w:p>
        </w:tc>
        <w:tc>
          <w:tcPr>
            <w:tcW w:w="181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$212,973</w:t>
            </w:r>
          </w:p>
        </w:tc>
      </w:tr>
      <w:tr>
        <w:tblPrEx>
          <w:tblW w:w="10260" w:type="dxa"/>
          <w:tblInd w:w="0" w:type="dxa"/>
          <w:tblLayout w:type="fixed"/>
          <w:tblCellMar>
            <w:left w:w="108" w:type="dxa"/>
            <w:right w:w="108" w:type="dxa"/>
          </w:tblCellMar>
        </w:tblPrEx>
        <w:trPr>
          <w:cantSplit/>
          <w:trHeight w:hRule="exact" w:val="315"/>
        </w:trPr>
        <w:tc>
          <w:tcPr>
            <w:tcW w:w="205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Corporate Component</w:t>
            </w:r>
          </w:p>
        </w:tc>
        <w:tc>
          <w:tcPr>
            <w:tcW w:w="3240"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As set out on pg. </w:t>
            </w:r>
            <w:r>
              <w:rPr>
                <w:rFonts w:ascii="Arial" w:eastAsia="Arial" w:hAnsi="Arial" w:cs="Arial"/>
                <w:b w:val="0"/>
                <w:i w:val="0"/>
                <w:color w:val="0000FF"/>
                <w:sz w:val="18"/>
                <w:u w:val="single"/>
              </w:rPr>
              <w:fldChar w:fldCharType="begin"/>
            </w:r>
            <w:r>
              <w:rPr>
                <w:rFonts w:ascii="Arial" w:eastAsia="Arial" w:hAnsi="Arial" w:cs="Arial"/>
                <w:b w:val="0"/>
                <w:i w:val="0"/>
                <w:color w:val="0000FF"/>
                <w:sz w:val="18"/>
                <w:u w:val="single"/>
              </w:rPr>
              <w:instrText xml:space="preserve"> PAGEREF </w:instrText>
            </w:r>
            <w:r>
              <w:rPr>
                <w:rFonts w:ascii="Arial" w:eastAsia="Arial" w:hAnsi="Arial" w:cs="Arial"/>
                <w:b w:val="0"/>
                <w:i w:val="0"/>
                <w:color w:val="0000FF"/>
                <w:sz w:val="18"/>
                <w:u w:val="single"/>
              </w:rPr>
              <w:instrText xml:space="preserve"> </w:instrText>
            </w:r>
            <w:r>
              <w:rPr>
                <w:rFonts w:ascii="Arial" w:eastAsia="Arial" w:hAnsi="Arial" w:cs="Arial"/>
                <w:b w:val="0"/>
                <w:i w:val="0"/>
                <w:color w:val="0000FF"/>
                <w:sz w:val="18"/>
                <w:u w:val="single"/>
              </w:rPr>
              <w:instrText>Section82</w:instrText>
            </w:r>
            <w:r>
              <w:rPr>
                <w:rFonts w:ascii="Arial" w:eastAsia="Arial" w:hAnsi="Arial" w:cs="Arial"/>
                <w:b w:val="0"/>
                <w:i w:val="0"/>
                <w:color w:val="0000FF"/>
                <w:sz w:val="18"/>
                <w:u w:val="single"/>
              </w:rPr>
              <w:instrText xml:space="preserve"> \h</w:instrText>
            </w:r>
            <w:r>
              <w:rPr>
                <w:rFonts w:ascii="Arial" w:eastAsia="Arial" w:hAnsi="Arial" w:cs="Arial"/>
                <w:b w:val="0"/>
                <w:i w:val="0"/>
                <w:color w:val="0000FF"/>
                <w:sz w:val="18"/>
                <w:u w:val="single"/>
              </w:rPr>
              <w:fldChar w:fldCharType="separate"/>
            </w:r>
            <w:r>
              <w:rPr>
                <w:rFonts w:ascii="Arial" w:eastAsia="Arial" w:hAnsi="Arial" w:cs="Arial"/>
                <w:b w:val="0"/>
                <w:i w:val="0"/>
                <w:color w:val="0000FF"/>
                <w:sz w:val="18"/>
                <w:u w:val="single"/>
              </w:rPr>
              <w:t>53</w:t>
            </w:r>
            <w:r>
              <w:rPr>
                <w:rFonts w:ascii="Arial" w:eastAsia="Arial" w:hAnsi="Arial" w:cs="Arial"/>
                <w:b w:val="0"/>
                <w:i w:val="0"/>
                <w:color w:val="0000FF"/>
                <w:sz w:val="18"/>
                <w:u w:val="single"/>
              </w:rPr>
              <w:fldChar w:fldCharType="end"/>
            </w:r>
          </w:p>
        </w:tc>
        <w:tc>
          <w:tcPr>
            <w:tcW w:w="148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50%</w:t>
            </w:r>
          </w:p>
        </w:tc>
        <w:tc>
          <w:tcPr>
            <w:tcW w:w="166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100.0%</w:t>
            </w:r>
          </w:p>
        </w:tc>
        <w:tc>
          <w:tcPr>
            <w:tcW w:w="181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$500,000</w:t>
            </w:r>
          </w:p>
        </w:tc>
      </w:tr>
      <w:tr>
        <w:tblPrEx>
          <w:tblW w:w="10260" w:type="dxa"/>
          <w:tblInd w:w="0" w:type="dxa"/>
          <w:tblLayout w:type="fixed"/>
          <w:tblCellMar>
            <w:left w:w="108" w:type="dxa"/>
            <w:right w:w="108" w:type="dxa"/>
          </w:tblCellMar>
        </w:tblPrEx>
        <w:trPr>
          <w:cantSplit/>
          <w:trHeight w:hRule="exact" w:val="360"/>
        </w:trPr>
        <w:tc>
          <w:tcPr>
            <w:tcW w:w="205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Individual Component</w:t>
            </w:r>
          </w:p>
        </w:tc>
        <w:tc>
          <w:tcPr>
            <w:tcW w:w="3240"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Individual goals detailed below</w:t>
            </w:r>
          </w:p>
        </w:tc>
        <w:tc>
          <w:tcPr>
            <w:tcW w:w="148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30%</w:t>
            </w:r>
          </w:p>
        </w:tc>
        <w:tc>
          <w:tcPr>
            <w:tcW w:w="166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78.0%</w:t>
            </w:r>
          </w:p>
        </w:tc>
        <w:tc>
          <w:tcPr>
            <w:tcW w:w="181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$234,000</w:t>
            </w:r>
          </w:p>
        </w:tc>
      </w:tr>
      <w:tr>
        <w:tblPrEx>
          <w:tblW w:w="10260" w:type="dxa"/>
          <w:tblInd w:w="0" w:type="dxa"/>
          <w:tblLayout w:type="fixed"/>
          <w:tblCellMar>
            <w:left w:w="108" w:type="dxa"/>
            <w:right w:w="108" w:type="dxa"/>
          </w:tblCellMar>
        </w:tblPrEx>
        <w:trPr>
          <w:cantSplit/>
          <w:trHeight w:hRule="exact" w:val="435"/>
        </w:trPr>
        <w:tc>
          <w:tcPr>
            <w:tcW w:w="205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Committee Discretion</w:t>
            </w:r>
          </w:p>
        </w:tc>
        <w:tc>
          <w:tcPr>
            <w:tcW w:w="3240"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10% discretion applied as discussed above</w:t>
            </w:r>
          </w:p>
        </w:tc>
        <w:tc>
          <w:tcPr>
            <w:tcW w:w="148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N/A</w:t>
            </w:r>
          </w:p>
        </w:tc>
        <w:tc>
          <w:tcPr>
            <w:tcW w:w="166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N/A</w:t>
            </w:r>
          </w:p>
        </w:tc>
        <w:tc>
          <w:tcPr>
            <w:tcW w:w="181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$94,697</w:t>
            </w:r>
          </w:p>
        </w:tc>
      </w:tr>
      <w:tr>
        <w:tblPrEx>
          <w:tblW w:w="10260" w:type="dxa"/>
          <w:tblInd w:w="0" w:type="dxa"/>
          <w:tblLayout w:type="fixed"/>
          <w:tblCellMar>
            <w:left w:w="108" w:type="dxa"/>
            <w:right w:w="108" w:type="dxa"/>
          </w:tblCellMar>
        </w:tblPrEx>
        <w:trPr>
          <w:cantSplit/>
          <w:trHeight w:hRule="exact" w:val="345"/>
        </w:trPr>
        <w:tc>
          <w:tcPr>
            <w:tcW w:w="2055" w:type="dxa"/>
            <w:tcBorders>
              <w:top w:val="single" w:sz="8" w:space="0" w:color="B6B6B6"/>
              <w:left w:val="nil"/>
              <w:bottom w:val="nil"/>
              <w:right w:val="nil"/>
            </w:tcBorders>
            <w:tcMar>
              <w:top w:w="0" w:type="dxa"/>
              <w:left w:w="53" w:type="dxa"/>
              <w:bottom w:w="0" w:type="dxa"/>
              <w:right w:w="53" w:type="dxa"/>
            </w:tcMar>
            <w:vAlign w:val="center"/>
          </w:tcPr>
          <w:p>
            <w:pPr>
              <w:pageBreakBefore w:val="0"/>
              <w:spacing w:before="0" w:after="0" w:line="240" w:lineRule="auto"/>
              <w:jc w:val="left"/>
            </w:pPr>
            <w:r>
              <w:rPr>
                <w:rFonts w:ascii="Arial" w:eastAsia="Arial" w:hAnsi="Arial" w:cs="Arial"/>
                <w:b/>
                <w:i w:val="0"/>
                <w:color w:val="000000"/>
                <w:sz w:val="18"/>
                <w:u w:val="none"/>
              </w:rPr>
              <w:t>Total</w:t>
            </w:r>
          </w:p>
        </w:tc>
        <w:tc>
          <w:tcPr>
            <w:tcW w:w="3240"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p>
        </w:tc>
        <w:tc>
          <w:tcPr>
            <w:tcW w:w="1485"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100%</w:t>
            </w:r>
          </w:p>
        </w:tc>
        <w:tc>
          <w:tcPr>
            <w:tcW w:w="1665"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105%</w:t>
            </w:r>
          </w:p>
        </w:tc>
        <w:tc>
          <w:tcPr>
            <w:tcW w:w="1815"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$1,041,670</w:t>
            </w:r>
          </w:p>
        </w:tc>
      </w:tr>
    </w:tbl>
    <w:p>
      <w:pPr>
        <w:keepNext w:val="0"/>
        <w:keepLines w:val="0"/>
        <w:pageBreakBefore w:val="0"/>
        <w:widowControl/>
        <w:numPr>
          <w:ilvl w:val="0"/>
          <w:numId w:val="0"/>
        </w:numPr>
        <w:spacing w:before="120" w:after="60" w:line="288" w:lineRule="auto"/>
        <w:ind w:left="360" w:right="0" w:hanging="360"/>
        <w:jc w:val="left"/>
        <w:outlineLvl w:val="9"/>
        <w:rPr>
          <w:rFonts w:ascii="Arial" w:eastAsia="Arial" w:hAnsi="Arial" w:cs="Arial"/>
          <w:b w:val="0"/>
          <w:i w:val="0"/>
          <w:color w:val="969698"/>
          <w:sz w:val="16"/>
          <w:u w:val="none"/>
        </w:rPr>
      </w:pPr>
      <w:r>
        <w:rPr>
          <w:rFonts w:ascii="Times New Roman" w:eastAsia="Times New Roman" w:hAnsi="Times New Roman" w:cs="Times New Roman"/>
          <w:b w:val="0"/>
          <w:i w:val="0"/>
          <w:color w:val="FF0090"/>
          <w:sz w:val="12"/>
          <w:u w:val="none"/>
        </w:rPr>
        <w:t xml:space="preserve"> </w:t>
      </w:r>
      <w:r>
        <w:rPr>
          <w:rFonts w:ascii="Times New Roman" w:eastAsia="Times New Roman" w:hAnsi="Times New Roman" w:cs="Times New Roman"/>
          <w:b w:val="0"/>
          <w:i w:val="0"/>
          <w:color w:val="FF0090"/>
          <w:sz w:val="12"/>
          <w:u w:val="none"/>
        </w:rPr>
        <w:t xml:space="preserve"> </w:t>
      </w:r>
      <w:r>
        <w:rPr>
          <w:rFonts w:ascii="Arial" w:eastAsia="Arial" w:hAnsi="Arial" w:cs="Arial"/>
          <w:b w:val="0"/>
          <w:i w:val="0"/>
          <w:color w:val="969698"/>
          <w:sz w:val="16"/>
          <w:u w:val="none"/>
        </w:rPr>
        <w:t xml:space="preserve">(1) </w:t>
      </w:r>
      <w:r>
        <w:rPr>
          <w:rFonts w:ascii="Arial" w:eastAsia="Arial" w:hAnsi="Arial" w:cs="Arial"/>
          <w:b w:val="0"/>
          <w:i w:val="0"/>
          <w:color w:val="969698"/>
          <w:sz w:val="16"/>
          <w:u w:val="none"/>
        </w:rPr>
        <w:tab/>
      </w:r>
      <w:r>
        <w:rPr>
          <w:rFonts w:ascii="Arial" w:eastAsia="Arial" w:hAnsi="Arial" w:cs="Arial"/>
          <w:b w:val="0"/>
          <w:i w:val="0"/>
          <w:color w:val="969698"/>
          <w:sz w:val="16"/>
          <w:u w:val="none"/>
        </w:rPr>
        <w:t>The financial and corporate component multipliers vary by executive as they are each entitled to earn different percentages of their base salary as a bonus depending on the Company’s financial and corporate component achievement. Therefore, the same levels of financial and corporate component achievement translates into slightly different percentages of earned target bonus award opportunity for each executive.</w:t>
      </w: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rPr>
      </w:pP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325"/>
        <w:gridCol w:w="1035"/>
        <w:gridCol w:w="1275"/>
        <w:gridCol w:w="562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525"/>
        </w:trPr>
        <w:tc>
          <w:tcPr>
            <w:tcW w:w="232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line="240" w:lineRule="auto"/>
              <w:jc w:val="left"/>
            </w:pPr>
            <w:r>
              <w:rPr>
                <w:rFonts w:ascii="Arial" w:eastAsia="Arial" w:hAnsi="Arial" w:cs="Arial"/>
                <w:b/>
                <w:i w:val="0"/>
                <w:color w:val="000000"/>
                <w:sz w:val="18"/>
                <w:u w:val="none"/>
              </w:rPr>
              <w:t>Individual Performance Objective</w:t>
            </w:r>
          </w:p>
          <w:p>
            <w:pPr>
              <w:spacing w:after="30" w:line="240" w:lineRule="auto"/>
              <w:jc w:val="left"/>
            </w:pPr>
            <w:r>
              <w:rPr>
                <w:rFonts w:ascii="Arial" w:eastAsia="Arial" w:hAnsi="Arial" w:cs="Arial"/>
                <w:b/>
                <w:i w:val="0"/>
                <w:color w:val="000000"/>
                <w:sz w:val="18"/>
                <w:u w:val="none"/>
              </w:rPr>
              <w:t xml:space="preserve"> </w:t>
            </w:r>
          </w:p>
        </w:tc>
        <w:tc>
          <w:tcPr>
            <w:tcW w:w="103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line="240" w:lineRule="auto"/>
              <w:jc w:val="left"/>
            </w:pPr>
            <w:r>
              <w:rPr>
                <w:rFonts w:ascii="Arial" w:eastAsia="Arial" w:hAnsi="Arial" w:cs="Arial"/>
                <w:b/>
                <w:i w:val="0"/>
                <w:color w:val="000000"/>
                <w:sz w:val="18"/>
                <w:u w:val="none"/>
              </w:rPr>
              <w:t>Weighting</w:t>
            </w:r>
          </w:p>
          <w:p>
            <w:pPr>
              <w:spacing w:after="30" w:line="240" w:lineRule="auto"/>
              <w:jc w:val="left"/>
            </w:pPr>
            <w:r>
              <w:rPr>
                <w:rFonts w:ascii="Arial" w:eastAsia="Arial" w:hAnsi="Arial" w:cs="Arial"/>
                <w:b/>
                <w:i w:val="0"/>
                <w:color w:val="000000"/>
                <w:sz w:val="18"/>
                <w:u w:val="none"/>
              </w:rPr>
              <w:t xml:space="preserve"> </w:t>
            </w:r>
          </w:p>
        </w:tc>
        <w:tc>
          <w:tcPr>
            <w:tcW w:w="127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line="240" w:lineRule="auto"/>
              <w:jc w:val="left"/>
            </w:pPr>
            <w:r>
              <w:rPr>
                <w:rFonts w:ascii="Arial" w:eastAsia="Arial" w:hAnsi="Arial" w:cs="Arial"/>
                <w:b/>
                <w:i w:val="0"/>
                <w:color w:val="000000"/>
                <w:sz w:val="18"/>
                <w:u w:val="none"/>
              </w:rPr>
              <w:t>Achievement Level</w:t>
            </w:r>
          </w:p>
          <w:p>
            <w:pPr>
              <w:spacing w:after="30" w:line="240" w:lineRule="auto"/>
              <w:jc w:val="left"/>
            </w:pPr>
            <w:r>
              <w:rPr>
                <w:rFonts w:ascii="Arial" w:eastAsia="Arial" w:hAnsi="Arial" w:cs="Arial"/>
                <w:b/>
                <w:i w:val="0"/>
                <w:color w:val="000000"/>
                <w:sz w:val="18"/>
                <w:u w:val="none"/>
              </w:rPr>
              <w:t xml:space="preserve"> </w:t>
            </w:r>
          </w:p>
        </w:tc>
        <w:tc>
          <w:tcPr>
            <w:tcW w:w="562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line="240" w:lineRule="auto"/>
              <w:jc w:val="left"/>
            </w:pPr>
            <w:r>
              <w:rPr>
                <w:rFonts w:ascii="Arial" w:eastAsia="Arial" w:hAnsi="Arial" w:cs="Arial"/>
                <w:b/>
                <w:i w:val="0"/>
                <w:color w:val="000000"/>
                <w:sz w:val="18"/>
                <w:u w:val="none"/>
              </w:rPr>
              <w:t>Description of Achievement</w:t>
            </w:r>
          </w:p>
          <w:p>
            <w:pPr>
              <w:spacing w:after="30" w:line="240" w:lineRule="auto"/>
              <w:jc w:val="left"/>
            </w:pPr>
            <w:r>
              <w:rPr>
                <w:rFonts w:ascii="Arial" w:eastAsia="Arial" w:hAnsi="Arial" w:cs="Arial"/>
                <w:b/>
                <w:i w:val="0"/>
                <w:color w:val="000000"/>
                <w:sz w:val="18"/>
                <w:u w:val="none"/>
              </w:rPr>
              <w:t xml:space="preserve"> </w:t>
            </w:r>
          </w:p>
        </w:tc>
      </w:tr>
      <w:tr>
        <w:tblPrEx>
          <w:tblW w:w="10260" w:type="dxa"/>
          <w:tblInd w:w="0" w:type="dxa"/>
          <w:tblLayout w:type="fixed"/>
          <w:tblCellMar>
            <w:left w:w="108" w:type="dxa"/>
            <w:right w:w="108" w:type="dxa"/>
          </w:tblCellMar>
        </w:tblPrEx>
        <w:trPr>
          <w:cantSplit/>
          <w:trHeight w:hRule="exact" w:val="915"/>
        </w:trPr>
        <w:tc>
          <w:tcPr>
            <w:tcW w:w="232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23" w:after="30" w:line="240" w:lineRule="auto"/>
              <w:jc w:val="left"/>
            </w:pPr>
            <w:r>
              <w:rPr>
                <w:rFonts w:ascii="Arial" w:eastAsia="Arial" w:hAnsi="Arial" w:cs="Arial"/>
                <w:b w:val="0"/>
                <w:i w:val="0"/>
                <w:color w:val="000000"/>
                <w:sz w:val="18"/>
                <w:u w:val="none"/>
              </w:rPr>
              <w:t>Achieve 2023 Group Technical Business Plan</w:t>
            </w:r>
          </w:p>
        </w:tc>
        <w:tc>
          <w:tcPr>
            <w:tcW w:w="103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23" w:after="30" w:line="288" w:lineRule="auto"/>
              <w:jc w:val="left"/>
            </w:pPr>
            <w:r>
              <w:rPr>
                <w:rFonts w:ascii="Arial" w:eastAsia="Arial" w:hAnsi="Arial" w:cs="Arial"/>
                <w:b w:val="0"/>
                <w:i w:val="0"/>
                <w:color w:val="000000"/>
                <w:sz w:val="18"/>
                <w:u w:val="none"/>
              </w:rPr>
              <w:t>50%</w:t>
            </w:r>
          </w:p>
        </w:tc>
        <w:tc>
          <w:tcPr>
            <w:tcW w:w="127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23" w:after="30" w:line="288" w:lineRule="auto"/>
              <w:jc w:val="left"/>
            </w:pPr>
            <w:r>
              <w:rPr>
                <w:rFonts w:ascii="Arial" w:eastAsia="Arial" w:hAnsi="Arial" w:cs="Arial"/>
                <w:b w:val="0"/>
                <w:i w:val="0"/>
                <w:color w:val="000000"/>
                <w:sz w:val="18"/>
                <w:u w:val="none"/>
              </w:rPr>
              <w:t>Threshold</w:t>
            </w:r>
          </w:p>
        </w:tc>
        <w:tc>
          <w:tcPr>
            <w:tcW w:w="562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2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302"/>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 xml:space="preserve">Delivered threshold level of </w:t>
            </w:r>
            <w:r>
              <w:rPr>
                <w:rFonts w:ascii="Arial" w:eastAsia="Arial" w:hAnsi="Arial" w:cs="Arial"/>
                <w:b w:val="0"/>
                <w:i w:val="0"/>
                <w:sz w:val="18"/>
              </w:rPr>
              <w:t>achievement</w:t>
            </w:r>
            <w:r>
              <w:rPr>
                <w:rFonts w:ascii="Arial" w:eastAsia="Arial" w:hAnsi="Arial" w:cs="Arial"/>
                <w:b w:val="0"/>
                <w:i w:val="0"/>
                <w:sz w:val="18"/>
              </w:rPr>
              <w:t xml:space="preserve"> </w:t>
            </w:r>
            <w:r>
              <w:rPr>
                <w:rFonts w:ascii="Arial" w:eastAsia="Arial" w:hAnsi="Arial" w:cs="Arial"/>
                <w:b w:val="0"/>
                <w:i w:val="0"/>
                <w:sz w:val="18"/>
              </w:rPr>
              <w:t>against stretch technical plan</w:t>
            </w:r>
            <w:r>
              <w:rPr>
                <w:rFonts w:ascii="Arial" w:eastAsia="Arial" w:hAnsi="Arial" w:cs="Arial"/>
                <w:b w:val="0"/>
                <w:i w:val="0"/>
                <w:sz w:val="18"/>
              </w:rPr>
              <w:t>,</w:t>
            </w:r>
            <w:r>
              <w:rPr>
                <w:rFonts w:ascii="Arial" w:eastAsia="Arial" w:hAnsi="Arial" w:cs="Arial"/>
                <w:b w:val="0"/>
                <w:i w:val="0"/>
                <w:sz w:val="18"/>
              </w:rPr>
              <w:t xml:space="preserve"> with significant macro headwinds</w:t>
            </w:r>
            <w:r>
              <w:rPr>
                <w:rFonts w:ascii="Arial" w:eastAsia="Arial" w:hAnsi="Arial" w:cs="Arial"/>
                <w:b w:val="0"/>
                <w:i w:val="0"/>
                <w:sz w:val="18"/>
              </w:rPr>
              <w:t>.</w:t>
            </w:r>
          </w:p>
          <w:p>
            <w:pPr>
              <w:pageBreakBefore w:val="0"/>
              <w:numPr>
                <w:ilvl w:val="0"/>
                <w:numId w:val="303"/>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 xml:space="preserve">Claims management results </w:t>
            </w:r>
            <w:r>
              <w:rPr>
                <w:rFonts w:ascii="Arial" w:eastAsia="Arial" w:hAnsi="Arial" w:cs="Arial"/>
                <w:b w:val="0"/>
                <w:i w:val="0"/>
                <w:sz w:val="18"/>
              </w:rPr>
              <w:t>outperform</w:t>
            </w:r>
            <w:r>
              <w:rPr>
                <w:rFonts w:ascii="Arial" w:eastAsia="Arial" w:hAnsi="Arial" w:cs="Arial"/>
                <w:b w:val="0"/>
                <w:i w:val="0"/>
                <w:sz w:val="18"/>
              </w:rPr>
              <w:t>ed</w:t>
            </w:r>
            <w:r>
              <w:rPr>
                <w:rFonts w:ascii="Arial" w:eastAsia="Arial" w:hAnsi="Arial" w:cs="Arial"/>
                <w:b w:val="0"/>
                <w:i w:val="0"/>
                <w:sz w:val="18"/>
              </w:rPr>
              <w:t xml:space="preserve"> industry benchmar</w:t>
            </w:r>
            <w:r>
              <w:rPr>
                <w:rFonts w:ascii="Arial" w:eastAsia="Arial" w:hAnsi="Arial" w:cs="Arial"/>
                <w:b w:val="0"/>
                <w:i w:val="0"/>
                <w:sz w:val="18"/>
              </w:rPr>
              <w:t>k</w:t>
            </w:r>
            <w:r>
              <w:rPr>
                <w:rFonts w:ascii="Arial" w:eastAsia="Arial" w:hAnsi="Arial" w:cs="Arial"/>
                <w:b w:val="0"/>
                <w:i w:val="0"/>
                <w:sz w:val="18"/>
              </w:rPr>
              <w:t xml:space="preserve"> and delivered $131 million of </w:t>
            </w:r>
            <w:r>
              <w:rPr>
                <w:rFonts w:ascii="Arial" w:eastAsia="Arial" w:hAnsi="Arial" w:cs="Arial"/>
                <w:b w:val="0"/>
                <w:i w:val="0"/>
                <w:sz w:val="18"/>
              </w:rPr>
              <w:t>run</w:t>
            </w:r>
            <w:r>
              <w:rPr>
                <w:rFonts w:ascii="Arial" w:eastAsia="Arial" w:hAnsi="Arial" w:cs="Arial"/>
                <w:b w:val="0"/>
                <w:i w:val="0"/>
                <w:sz w:val="18"/>
              </w:rPr>
              <w:t>-off liability earnings.</w:t>
            </w:r>
            <w:r>
              <w:rPr>
                <w:rFonts w:ascii="Arial" w:eastAsia="Arial" w:hAnsi="Arial" w:cs="Arial"/>
                <w:b w:val="0"/>
                <w:i w:val="0"/>
                <w:sz w:val="18"/>
              </w:rPr>
              <w:tab/>
            </w:r>
          </w:p>
        </w:tc>
      </w:tr>
      <w:tr>
        <w:tblPrEx>
          <w:tblW w:w="10260" w:type="dxa"/>
          <w:tblInd w:w="0" w:type="dxa"/>
          <w:tblLayout w:type="fixed"/>
          <w:tblCellMar>
            <w:left w:w="108" w:type="dxa"/>
            <w:right w:w="108" w:type="dxa"/>
          </w:tblCellMar>
        </w:tblPrEx>
        <w:trPr>
          <w:cantSplit/>
          <w:trHeight w:hRule="exact" w:val="1320"/>
        </w:trPr>
        <w:tc>
          <w:tcPr>
            <w:tcW w:w="23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Assume </w:t>
            </w:r>
            <w:r>
              <w:rPr>
                <w:rFonts w:ascii="Arial" w:eastAsia="Arial" w:hAnsi="Arial" w:cs="Arial"/>
                <w:b w:val="0"/>
                <w:i w:val="0"/>
                <w:sz w:val="18"/>
              </w:rPr>
              <w:t>gl</w:t>
            </w:r>
            <w:r>
              <w:rPr>
                <w:rFonts w:ascii="Arial" w:eastAsia="Arial" w:hAnsi="Arial" w:cs="Arial"/>
                <w:b w:val="0"/>
                <w:i w:val="0"/>
                <w:sz w:val="18"/>
              </w:rPr>
              <w:t>oba</w:t>
            </w:r>
            <w:r>
              <w:rPr>
                <w:rFonts w:ascii="Arial" w:eastAsia="Arial" w:hAnsi="Arial" w:cs="Arial"/>
                <w:b w:val="0"/>
                <w:i w:val="0"/>
                <w:sz w:val="18"/>
              </w:rPr>
              <w:t xml:space="preserve">l operational leadership and </w:t>
            </w:r>
            <w:r>
              <w:rPr>
                <w:rFonts w:ascii="Arial" w:eastAsia="Arial" w:hAnsi="Arial" w:cs="Arial"/>
                <w:b w:val="0"/>
                <w:i w:val="0"/>
                <w:sz w:val="18"/>
              </w:rPr>
              <w:t>i</w:t>
            </w:r>
            <w:r>
              <w:rPr>
                <w:rFonts w:ascii="Arial" w:eastAsia="Arial" w:hAnsi="Arial" w:cs="Arial"/>
                <w:b w:val="0"/>
                <w:i w:val="0"/>
                <w:sz w:val="18"/>
              </w:rPr>
              <w:t>mplement</w:t>
            </w:r>
            <w:r>
              <w:rPr>
                <w:rFonts w:ascii="Arial" w:eastAsia="Arial" w:hAnsi="Arial" w:cs="Arial"/>
                <w:b w:val="0"/>
                <w:i w:val="0"/>
                <w:sz w:val="18"/>
              </w:rPr>
              <w:t xml:space="preserve"> </w:t>
            </w:r>
            <w:r>
              <w:rPr>
                <w:rFonts w:ascii="Arial" w:eastAsia="Arial" w:hAnsi="Arial" w:cs="Arial"/>
                <w:b w:val="0"/>
                <w:i w:val="0"/>
                <w:sz w:val="18"/>
              </w:rPr>
              <w:t>C</w:t>
            </w:r>
            <w:r>
              <w:rPr>
                <w:rFonts w:ascii="Arial" w:eastAsia="Arial" w:hAnsi="Arial" w:cs="Arial"/>
                <w:b w:val="0"/>
                <w:i w:val="0"/>
                <w:sz w:val="18"/>
              </w:rPr>
              <w:t xml:space="preserve">OO </w:t>
            </w:r>
            <w:r>
              <w:rPr>
                <w:rFonts w:ascii="Arial" w:eastAsia="Arial" w:hAnsi="Arial" w:cs="Arial"/>
                <w:b w:val="0"/>
                <w:i w:val="0"/>
                <w:sz w:val="18"/>
              </w:rPr>
              <w:t>target operating model</w:t>
            </w:r>
          </w:p>
        </w:tc>
        <w:tc>
          <w:tcPr>
            <w:tcW w:w="103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12.5%</w:t>
            </w:r>
          </w:p>
        </w:tc>
        <w:tc>
          <w:tcPr>
            <w:tcW w:w="127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99"/>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Succes</w:t>
            </w:r>
            <w:r>
              <w:rPr>
                <w:rFonts w:ascii="Arial" w:eastAsia="Arial" w:hAnsi="Arial" w:cs="Arial"/>
                <w:b w:val="0"/>
                <w:i w:val="0"/>
                <w:sz w:val="18"/>
              </w:rPr>
              <w:t>sfully transitioned to rol</w:t>
            </w:r>
            <w:r>
              <w:rPr>
                <w:rFonts w:ascii="Arial" w:eastAsia="Arial" w:hAnsi="Arial" w:cs="Arial"/>
                <w:b w:val="0"/>
                <w:i w:val="0"/>
                <w:sz w:val="18"/>
              </w:rPr>
              <w:t>e of Chief Operating Officer</w:t>
            </w:r>
            <w:r>
              <w:rPr>
                <w:rFonts w:ascii="Arial" w:eastAsia="Arial" w:hAnsi="Arial" w:cs="Arial"/>
                <w:b w:val="0"/>
                <w:i w:val="0"/>
                <w:sz w:val="18"/>
              </w:rPr>
              <w:t>.</w:t>
            </w:r>
          </w:p>
          <w:p>
            <w:pPr>
              <w:pageBreakBefore w:val="0"/>
              <w:numPr>
                <w:ilvl w:val="0"/>
                <w:numId w:val="300"/>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Progressed</w:t>
            </w:r>
            <w:r>
              <w:rPr>
                <w:rFonts w:ascii="Arial" w:eastAsia="Arial" w:hAnsi="Arial" w:cs="Arial"/>
                <w:b w:val="0"/>
                <w:i w:val="0"/>
                <w:sz w:val="18"/>
              </w:rPr>
              <w:t xml:space="preserve"> </w:t>
            </w:r>
            <w:r>
              <w:rPr>
                <w:rFonts w:ascii="Arial" w:eastAsia="Arial" w:hAnsi="Arial" w:cs="Arial"/>
                <w:b w:val="0"/>
                <w:i w:val="0"/>
                <w:sz w:val="18"/>
              </w:rPr>
              <w:t>g</w:t>
            </w:r>
            <w:r>
              <w:rPr>
                <w:rFonts w:ascii="Arial" w:eastAsia="Arial" w:hAnsi="Arial" w:cs="Arial"/>
                <w:b w:val="0"/>
                <w:i w:val="0"/>
                <w:sz w:val="18"/>
              </w:rPr>
              <w:t>lob</w:t>
            </w:r>
            <w:r>
              <w:rPr>
                <w:rFonts w:ascii="Arial" w:eastAsia="Arial" w:hAnsi="Arial" w:cs="Arial"/>
                <w:b w:val="0"/>
                <w:i w:val="0"/>
                <w:sz w:val="18"/>
              </w:rPr>
              <w:t xml:space="preserve">al </w:t>
            </w:r>
            <w:r>
              <w:rPr>
                <w:rFonts w:ascii="Arial" w:eastAsia="Arial" w:hAnsi="Arial" w:cs="Arial"/>
                <w:b w:val="0"/>
                <w:i w:val="0"/>
                <w:sz w:val="18"/>
              </w:rPr>
              <w:t>c</w:t>
            </w:r>
            <w:r>
              <w:rPr>
                <w:rFonts w:ascii="Arial" w:eastAsia="Arial" w:hAnsi="Arial" w:cs="Arial"/>
                <w:b w:val="0"/>
                <w:i w:val="0"/>
                <w:sz w:val="18"/>
              </w:rPr>
              <w:t xml:space="preserve">laims </w:t>
            </w:r>
            <w:r>
              <w:rPr>
                <w:rFonts w:ascii="Arial" w:eastAsia="Arial" w:hAnsi="Arial" w:cs="Arial"/>
                <w:b w:val="0"/>
                <w:i w:val="0"/>
                <w:sz w:val="18"/>
              </w:rPr>
              <w:t>t</w:t>
            </w:r>
            <w:r>
              <w:rPr>
                <w:rFonts w:ascii="Arial" w:eastAsia="Arial" w:hAnsi="Arial" w:cs="Arial"/>
                <w:b w:val="0"/>
                <w:i w:val="0"/>
                <w:sz w:val="18"/>
              </w:rPr>
              <w:t xml:space="preserve">arget </w:t>
            </w:r>
            <w:r>
              <w:rPr>
                <w:rFonts w:ascii="Arial" w:eastAsia="Arial" w:hAnsi="Arial" w:cs="Arial"/>
                <w:b w:val="0"/>
                <w:i w:val="0"/>
                <w:sz w:val="18"/>
              </w:rPr>
              <w:t>o</w:t>
            </w:r>
            <w:r>
              <w:rPr>
                <w:rFonts w:ascii="Arial" w:eastAsia="Arial" w:hAnsi="Arial" w:cs="Arial"/>
                <w:b w:val="0"/>
                <w:i w:val="0"/>
                <w:sz w:val="18"/>
              </w:rPr>
              <w:t xml:space="preserve">perating </w:t>
            </w:r>
            <w:r>
              <w:rPr>
                <w:rFonts w:ascii="Arial" w:eastAsia="Arial" w:hAnsi="Arial" w:cs="Arial"/>
                <w:b w:val="0"/>
                <w:i w:val="0"/>
                <w:sz w:val="18"/>
              </w:rPr>
              <w:t>m</w:t>
            </w:r>
            <w:r>
              <w:rPr>
                <w:rFonts w:ascii="Arial" w:eastAsia="Arial" w:hAnsi="Arial" w:cs="Arial"/>
                <w:b w:val="0"/>
                <w:i w:val="0"/>
                <w:sz w:val="18"/>
              </w:rPr>
              <w:t>odel.</w:t>
            </w:r>
          </w:p>
          <w:p>
            <w:pPr>
              <w:pageBreakBefore w:val="0"/>
              <w:numPr>
                <w:ilvl w:val="0"/>
                <w:numId w:val="301"/>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Represented the Company and its performance and claims capabilities to investors and the industry at large through participation in investor relations and business development conferences.</w:t>
            </w:r>
          </w:p>
        </w:tc>
      </w:tr>
      <w:tr>
        <w:tblPrEx>
          <w:tblW w:w="10260" w:type="dxa"/>
          <w:tblInd w:w="0" w:type="dxa"/>
          <w:tblLayout w:type="fixed"/>
          <w:tblCellMar>
            <w:left w:w="108" w:type="dxa"/>
            <w:right w:w="108" w:type="dxa"/>
          </w:tblCellMar>
        </w:tblPrEx>
        <w:trPr>
          <w:cantSplit/>
          <w:trHeight w:hRule="exact" w:val="1005"/>
        </w:trPr>
        <w:tc>
          <w:tcPr>
            <w:tcW w:w="23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Deliver </w:t>
            </w:r>
            <w:r>
              <w:rPr>
                <w:rFonts w:ascii="Arial" w:eastAsia="Arial" w:hAnsi="Arial" w:cs="Arial"/>
                <w:b w:val="0"/>
                <w:i w:val="0"/>
                <w:sz w:val="18"/>
              </w:rPr>
              <w:t>Claims executive leadership successi</w:t>
            </w:r>
            <w:r>
              <w:rPr>
                <w:rFonts w:ascii="Arial" w:eastAsia="Arial" w:hAnsi="Arial" w:cs="Arial"/>
                <w:b w:val="0"/>
                <w:i w:val="0"/>
                <w:sz w:val="18"/>
              </w:rPr>
              <w:t xml:space="preserve">on </w:t>
            </w:r>
            <w:r>
              <w:rPr>
                <w:rFonts w:ascii="Arial" w:eastAsia="Arial" w:hAnsi="Arial" w:cs="Arial"/>
                <w:b w:val="0"/>
                <w:i w:val="0"/>
                <w:sz w:val="18"/>
              </w:rPr>
              <w:t>plan and implement global claims strategy</w:t>
            </w:r>
          </w:p>
        </w:tc>
        <w:tc>
          <w:tcPr>
            <w:tcW w:w="103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12.5%</w:t>
            </w:r>
          </w:p>
        </w:tc>
        <w:tc>
          <w:tcPr>
            <w:tcW w:w="127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296"/>
              </w:numPr>
              <w:spacing w:before="33"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Recruited new hire Chief Claims Officer</w:t>
            </w:r>
            <w:r>
              <w:rPr>
                <w:rFonts w:ascii="Arial" w:eastAsia="Arial" w:hAnsi="Arial" w:cs="Arial"/>
                <w:b w:val="0"/>
                <w:i w:val="0"/>
                <w:sz w:val="18"/>
              </w:rPr>
              <w:t xml:space="preserve"> and positioned claims function for transition of leadership. </w:t>
            </w:r>
          </w:p>
          <w:p>
            <w:pPr>
              <w:pageBreakBefore w:val="0"/>
              <w:numPr>
                <w:ilvl w:val="0"/>
                <w:numId w:val="297"/>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 xml:space="preserve">Oversaw </w:t>
            </w:r>
            <w:r>
              <w:rPr>
                <w:rFonts w:ascii="Arial" w:eastAsia="Arial" w:hAnsi="Arial" w:cs="Arial"/>
                <w:b w:val="0"/>
                <w:i w:val="0"/>
                <w:sz w:val="18"/>
              </w:rPr>
              <w:t>continued execution of</w:t>
            </w:r>
            <w:r>
              <w:rPr>
                <w:rFonts w:ascii="Arial" w:eastAsia="Arial" w:hAnsi="Arial" w:cs="Arial"/>
                <w:b w:val="0"/>
                <w:i w:val="0"/>
                <w:sz w:val="18"/>
              </w:rPr>
              <w:t xml:space="preserve"> </w:t>
            </w:r>
            <w:r>
              <w:rPr>
                <w:rFonts w:ascii="Arial" w:eastAsia="Arial" w:hAnsi="Arial" w:cs="Arial"/>
                <w:b w:val="0"/>
                <w:i w:val="0"/>
                <w:sz w:val="18"/>
              </w:rPr>
              <w:t>g</w:t>
            </w:r>
            <w:r>
              <w:rPr>
                <w:rFonts w:ascii="Arial" w:eastAsia="Arial" w:hAnsi="Arial" w:cs="Arial"/>
                <w:b w:val="0"/>
                <w:i w:val="0"/>
                <w:sz w:val="18"/>
              </w:rPr>
              <w:t xml:space="preserve">lobal </w:t>
            </w:r>
            <w:r>
              <w:rPr>
                <w:rFonts w:ascii="Arial" w:eastAsia="Arial" w:hAnsi="Arial" w:cs="Arial"/>
                <w:b w:val="0"/>
                <w:i w:val="0"/>
                <w:sz w:val="18"/>
              </w:rPr>
              <w:t>c</w:t>
            </w:r>
            <w:r>
              <w:rPr>
                <w:rFonts w:ascii="Arial" w:eastAsia="Arial" w:hAnsi="Arial" w:cs="Arial"/>
                <w:b w:val="0"/>
                <w:i w:val="0"/>
                <w:sz w:val="18"/>
              </w:rPr>
              <w:t xml:space="preserve">laims </w:t>
            </w:r>
            <w:r>
              <w:rPr>
                <w:rFonts w:ascii="Arial" w:eastAsia="Arial" w:hAnsi="Arial" w:cs="Arial"/>
                <w:b w:val="0"/>
                <w:i w:val="0"/>
                <w:sz w:val="18"/>
              </w:rPr>
              <w:t xml:space="preserve">management </w:t>
            </w:r>
            <w:r>
              <w:rPr>
                <w:rFonts w:ascii="Arial" w:eastAsia="Arial" w:hAnsi="Arial" w:cs="Arial"/>
                <w:b w:val="0"/>
                <w:i w:val="0"/>
                <w:sz w:val="18"/>
              </w:rPr>
              <w:t>s</w:t>
            </w:r>
            <w:r>
              <w:rPr>
                <w:rFonts w:ascii="Arial" w:eastAsia="Arial" w:hAnsi="Arial" w:cs="Arial"/>
                <w:b w:val="0"/>
                <w:i w:val="0"/>
                <w:sz w:val="18"/>
              </w:rPr>
              <w:t>trategy</w:t>
            </w:r>
            <w:r>
              <w:rPr>
                <w:rFonts w:ascii="Arial" w:eastAsia="Arial" w:hAnsi="Arial" w:cs="Arial"/>
                <w:b w:val="0"/>
                <w:i w:val="0"/>
                <w:sz w:val="18"/>
              </w:rPr>
              <w:t>.</w:t>
            </w:r>
          </w:p>
          <w:p>
            <w:pPr>
              <w:pageBreakBefore w:val="0"/>
              <w:numPr>
                <w:ilvl w:val="0"/>
                <w:numId w:val="298"/>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 xml:space="preserve">Addressed European regional </w:t>
            </w:r>
            <w:r>
              <w:rPr>
                <w:rFonts w:ascii="Arial" w:eastAsia="Arial" w:hAnsi="Arial" w:cs="Arial"/>
                <w:b w:val="0"/>
                <w:i w:val="0"/>
                <w:sz w:val="18"/>
              </w:rPr>
              <w:t xml:space="preserve">leadership succession </w:t>
            </w:r>
            <w:r>
              <w:rPr>
                <w:rFonts w:ascii="Arial" w:eastAsia="Arial" w:hAnsi="Arial" w:cs="Arial"/>
                <w:b w:val="0"/>
                <w:i w:val="0"/>
                <w:sz w:val="18"/>
              </w:rPr>
              <w:t>plan</w:t>
            </w:r>
            <w:r>
              <w:rPr>
                <w:rFonts w:ascii="Arial" w:eastAsia="Arial" w:hAnsi="Arial" w:cs="Arial"/>
                <w:b w:val="0"/>
                <w:i w:val="0"/>
                <w:sz w:val="18"/>
              </w:rPr>
              <w:t>.</w:t>
            </w:r>
          </w:p>
          <w:p>
            <w:pPr>
              <w:pageBreakBefore w:val="0"/>
              <w:numPr>
                <w:ilvl w:val="0"/>
                <w:numId w:val="0"/>
              </w:numPr>
              <w:spacing w:before="0" w:after="30" w:line="240" w:lineRule="auto"/>
              <w:ind w:left="-450" w:right="0" w:firstLine="0"/>
              <w:jc w:val="left"/>
              <w:outlineLvl w:val="9"/>
              <w:rPr>
                <w:rFonts w:ascii="Arial" w:eastAsia="Arial" w:hAnsi="Arial" w:cs="Arial"/>
                <w:b w:val="0"/>
                <w:i w:val="0"/>
                <w:sz w:val="18"/>
              </w:rPr>
            </w:pPr>
          </w:p>
        </w:tc>
      </w:tr>
      <w:tr>
        <w:tblPrEx>
          <w:tblW w:w="10260" w:type="dxa"/>
          <w:tblInd w:w="0" w:type="dxa"/>
          <w:tblLayout w:type="fixed"/>
          <w:tblCellMar>
            <w:left w:w="108" w:type="dxa"/>
            <w:right w:w="108" w:type="dxa"/>
          </w:tblCellMar>
        </w:tblPrEx>
        <w:trPr>
          <w:cantSplit/>
          <w:trHeight w:hRule="exact" w:val="645"/>
        </w:trPr>
        <w:tc>
          <w:tcPr>
            <w:tcW w:w="23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Further </w:t>
            </w:r>
            <w:r>
              <w:rPr>
                <w:rFonts w:ascii="Arial" w:eastAsia="Arial" w:hAnsi="Arial" w:cs="Arial"/>
                <w:b w:val="0"/>
                <w:i w:val="0"/>
                <w:sz w:val="18"/>
              </w:rPr>
              <w:t>e</w:t>
            </w:r>
            <w:r>
              <w:rPr>
                <w:rFonts w:ascii="Arial" w:eastAsia="Arial" w:hAnsi="Arial" w:cs="Arial"/>
                <w:b w:val="0"/>
                <w:i w:val="0"/>
                <w:sz w:val="18"/>
              </w:rPr>
              <w:t xml:space="preserve">mbed </w:t>
            </w:r>
            <w:r>
              <w:rPr>
                <w:rFonts w:ascii="Arial" w:eastAsia="Arial" w:hAnsi="Arial" w:cs="Arial"/>
                <w:b w:val="0"/>
                <w:i w:val="0"/>
                <w:sz w:val="18"/>
              </w:rPr>
              <w:t>and d</w:t>
            </w:r>
            <w:r>
              <w:rPr>
                <w:rFonts w:ascii="Arial" w:eastAsia="Arial" w:hAnsi="Arial" w:cs="Arial"/>
                <w:b w:val="0"/>
                <w:i w:val="0"/>
                <w:sz w:val="18"/>
              </w:rPr>
              <w:t>evelop</w:t>
            </w:r>
            <w:r>
              <w:rPr>
                <w:rFonts w:ascii="Arial" w:eastAsia="Arial" w:hAnsi="Arial" w:cs="Arial"/>
                <w:b w:val="0"/>
                <w:i w:val="0"/>
                <w:sz w:val="18"/>
              </w:rPr>
              <w:t xml:space="preserve"> </w:t>
            </w:r>
            <w:r>
              <w:rPr>
                <w:rFonts w:ascii="Arial" w:eastAsia="Arial" w:hAnsi="Arial" w:cs="Arial"/>
                <w:b w:val="0"/>
                <w:i w:val="0"/>
                <w:sz w:val="18"/>
              </w:rPr>
              <w:t xml:space="preserve">claims </w:t>
            </w:r>
            <w:r>
              <w:rPr>
                <w:rFonts w:ascii="Arial" w:eastAsia="Arial" w:hAnsi="Arial" w:cs="Arial"/>
                <w:b w:val="0"/>
                <w:i w:val="0"/>
                <w:sz w:val="18"/>
              </w:rPr>
              <w:t>management inform</w:t>
            </w:r>
            <w:r>
              <w:rPr>
                <w:rFonts w:ascii="Arial" w:eastAsia="Arial" w:hAnsi="Arial" w:cs="Arial"/>
                <w:b w:val="0"/>
                <w:i w:val="0"/>
                <w:sz w:val="18"/>
              </w:rPr>
              <w:t xml:space="preserve">ation </w:t>
            </w:r>
          </w:p>
        </w:tc>
        <w:tc>
          <w:tcPr>
            <w:tcW w:w="103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5%</w:t>
            </w:r>
          </w:p>
        </w:tc>
        <w:tc>
          <w:tcPr>
            <w:tcW w:w="127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Threshold</w:t>
            </w:r>
          </w:p>
        </w:tc>
        <w:tc>
          <w:tcPr>
            <w:tcW w:w="56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95"/>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Continue</w:t>
            </w:r>
            <w:r>
              <w:rPr>
                <w:rFonts w:ascii="Arial" w:eastAsia="Arial" w:hAnsi="Arial" w:cs="Arial"/>
                <w:b w:val="0"/>
                <w:i w:val="0"/>
                <w:sz w:val="18"/>
              </w:rPr>
              <w:t>d</w:t>
            </w:r>
            <w:r>
              <w:rPr>
                <w:rFonts w:ascii="Arial" w:eastAsia="Arial" w:hAnsi="Arial" w:cs="Arial"/>
                <w:b w:val="0"/>
                <w:i w:val="0"/>
                <w:sz w:val="18"/>
              </w:rPr>
              <w:t xml:space="preserve"> development and </w:t>
            </w:r>
            <w:r>
              <w:rPr>
                <w:rFonts w:ascii="Arial" w:eastAsia="Arial" w:hAnsi="Arial" w:cs="Arial"/>
                <w:b w:val="0"/>
                <w:i w:val="0"/>
                <w:sz w:val="18"/>
              </w:rPr>
              <w:t>u</w:t>
            </w:r>
            <w:r>
              <w:rPr>
                <w:rFonts w:ascii="Arial" w:eastAsia="Arial" w:hAnsi="Arial" w:cs="Arial"/>
                <w:b w:val="0"/>
                <w:i w:val="0"/>
                <w:sz w:val="18"/>
              </w:rPr>
              <w:t>tilization</w:t>
            </w:r>
            <w:r>
              <w:rPr>
                <w:rFonts w:ascii="Arial" w:eastAsia="Arial" w:hAnsi="Arial" w:cs="Arial"/>
                <w:b w:val="0"/>
                <w:i w:val="0"/>
                <w:sz w:val="18"/>
              </w:rPr>
              <w:t xml:space="preserve"> of</w:t>
            </w:r>
            <w:r>
              <w:rPr>
                <w:rFonts w:ascii="Arial" w:eastAsia="Arial" w:hAnsi="Arial" w:cs="Arial"/>
                <w:b w:val="0"/>
                <w:i w:val="0"/>
                <w:sz w:val="18"/>
              </w:rPr>
              <w:t xml:space="preserve"> upgraded management information</w:t>
            </w:r>
            <w:r>
              <w:rPr>
                <w:rFonts w:ascii="Arial" w:eastAsia="Arial" w:hAnsi="Arial" w:cs="Arial"/>
                <w:b w:val="0"/>
                <w:i w:val="0"/>
                <w:sz w:val="18"/>
              </w:rPr>
              <w:t xml:space="preserve"> structure and reporting</w:t>
            </w:r>
            <w:r>
              <w:rPr>
                <w:rFonts w:ascii="Arial" w:eastAsia="Arial" w:hAnsi="Arial" w:cs="Arial"/>
                <w:b w:val="0"/>
                <w:i w:val="0"/>
                <w:sz w:val="18"/>
              </w:rPr>
              <w:t>.</w:t>
            </w:r>
          </w:p>
        </w:tc>
      </w:tr>
      <w:tr>
        <w:tblPrEx>
          <w:tblW w:w="10260" w:type="dxa"/>
          <w:tblInd w:w="0" w:type="dxa"/>
          <w:tblLayout w:type="fixed"/>
          <w:tblCellMar>
            <w:left w:w="108" w:type="dxa"/>
            <w:right w:w="108" w:type="dxa"/>
          </w:tblCellMar>
        </w:tblPrEx>
        <w:trPr>
          <w:cantSplit/>
          <w:trHeight w:hRule="exact" w:val="675"/>
        </w:trPr>
        <w:tc>
          <w:tcPr>
            <w:tcW w:w="23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40" w:lineRule="auto"/>
              <w:jc w:val="left"/>
            </w:pPr>
            <w:r>
              <w:rPr>
                <w:rFonts w:ascii="Arial" w:eastAsia="Arial" w:hAnsi="Arial" w:cs="Arial"/>
                <w:b w:val="0"/>
                <w:i w:val="0"/>
                <w:color w:val="000000"/>
                <w:sz w:val="18"/>
                <w:u w:val="none"/>
              </w:rPr>
              <w:t>Contribute to improved run-off portfolio performance monitoring and reporting</w:t>
            </w:r>
          </w:p>
        </w:tc>
        <w:tc>
          <w:tcPr>
            <w:tcW w:w="1035" w:type="dxa"/>
            <w:tcBorders>
              <w:top w:val="single" w:sz="8" w:space="0" w:color="B6B6B6"/>
              <w:left w:val="nil"/>
              <w:bottom w:val="single" w:sz="8" w:space="0" w:color="B6B6B6"/>
              <w:right w:val="nil"/>
            </w:tcBorders>
            <w:shd w:val="clear" w:color="auto" w:fill="FFFFFF"/>
            <w:tcMar>
              <w:top w:w="0" w:type="dxa"/>
              <w:left w:w="53" w:type="dxa"/>
              <w:bottom w:w="0" w:type="dxa"/>
              <w:right w:w="15" w:type="dxa"/>
            </w:tcMar>
            <w:vAlign w:val="top"/>
          </w:tcPr>
          <w:p>
            <w:pPr>
              <w:keepNext/>
              <w:pageBreakBefore w:val="0"/>
              <w:spacing w:before="33" w:after="30" w:line="288" w:lineRule="auto"/>
              <w:jc w:val="left"/>
            </w:pPr>
            <w:r>
              <w:rPr>
                <w:rFonts w:ascii="Arial" w:eastAsia="Arial" w:hAnsi="Arial" w:cs="Arial"/>
                <w:b w:val="0"/>
                <w:i w:val="0"/>
                <w:color w:val="000000"/>
                <w:sz w:val="18"/>
                <w:u w:val="none"/>
              </w:rPr>
              <w:t>5%</w:t>
            </w:r>
          </w:p>
        </w:tc>
        <w:tc>
          <w:tcPr>
            <w:tcW w:w="127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94"/>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 xml:space="preserve">Played </w:t>
            </w:r>
            <w:r>
              <w:rPr>
                <w:rFonts w:ascii="Arial" w:eastAsia="Arial" w:hAnsi="Arial" w:cs="Arial"/>
                <w:b w:val="0"/>
                <w:i w:val="0"/>
                <w:sz w:val="18"/>
              </w:rPr>
              <w:t>i</w:t>
            </w:r>
            <w:r>
              <w:rPr>
                <w:rFonts w:ascii="Arial" w:eastAsia="Arial" w:hAnsi="Arial" w:cs="Arial"/>
                <w:b w:val="0"/>
                <w:i w:val="0"/>
                <w:sz w:val="18"/>
              </w:rPr>
              <w:t xml:space="preserve">ntegral </w:t>
            </w:r>
            <w:r>
              <w:rPr>
                <w:rFonts w:ascii="Arial" w:eastAsia="Arial" w:hAnsi="Arial" w:cs="Arial"/>
                <w:b w:val="0"/>
                <w:i w:val="0"/>
                <w:sz w:val="18"/>
              </w:rPr>
              <w:t>role in</w:t>
            </w:r>
            <w:r>
              <w:rPr>
                <w:rFonts w:ascii="Arial" w:eastAsia="Arial" w:hAnsi="Arial" w:cs="Arial"/>
                <w:b w:val="0"/>
                <w:i w:val="0"/>
                <w:sz w:val="18"/>
              </w:rPr>
              <w:t xml:space="preserve"> the development </w:t>
            </w:r>
            <w:r>
              <w:rPr>
                <w:rFonts w:ascii="Arial" w:eastAsia="Arial" w:hAnsi="Arial" w:cs="Arial"/>
                <w:b w:val="0"/>
                <w:i w:val="0"/>
                <w:sz w:val="18"/>
              </w:rPr>
              <w:t xml:space="preserve">and </w:t>
            </w:r>
            <w:r>
              <w:rPr>
                <w:rFonts w:ascii="Arial" w:eastAsia="Arial" w:hAnsi="Arial" w:cs="Arial"/>
                <w:b w:val="0"/>
                <w:i w:val="0"/>
                <w:sz w:val="18"/>
              </w:rPr>
              <w:t>enhancement</w:t>
            </w:r>
            <w:r>
              <w:rPr>
                <w:rFonts w:ascii="Arial" w:eastAsia="Arial" w:hAnsi="Arial" w:cs="Arial"/>
                <w:b w:val="0"/>
                <w:i w:val="0"/>
                <w:sz w:val="18"/>
              </w:rPr>
              <w:t xml:space="preserve"> </w:t>
            </w:r>
            <w:r>
              <w:rPr>
                <w:rFonts w:ascii="Arial" w:eastAsia="Arial" w:hAnsi="Arial" w:cs="Arial"/>
                <w:b w:val="0"/>
                <w:i w:val="0"/>
                <w:sz w:val="18"/>
              </w:rPr>
              <w:t xml:space="preserve">of </w:t>
            </w:r>
            <w:r>
              <w:rPr>
                <w:rFonts w:ascii="Arial" w:eastAsia="Arial" w:hAnsi="Arial" w:cs="Arial"/>
                <w:b w:val="0"/>
                <w:i w:val="0"/>
                <w:sz w:val="18"/>
              </w:rPr>
              <w:t xml:space="preserve">run-off </w:t>
            </w:r>
            <w:r>
              <w:rPr>
                <w:rFonts w:ascii="Arial" w:eastAsia="Arial" w:hAnsi="Arial" w:cs="Arial"/>
                <w:b w:val="0"/>
                <w:i w:val="0"/>
                <w:sz w:val="18"/>
              </w:rPr>
              <w:t>portfolio</w:t>
            </w:r>
            <w:r>
              <w:rPr>
                <w:rFonts w:ascii="Arial" w:eastAsia="Arial" w:hAnsi="Arial" w:cs="Arial"/>
                <w:b w:val="0"/>
                <w:i w:val="0"/>
                <w:sz w:val="18"/>
              </w:rPr>
              <w:t xml:space="preserve"> </w:t>
            </w:r>
            <w:r>
              <w:rPr>
                <w:rFonts w:ascii="Arial" w:eastAsia="Arial" w:hAnsi="Arial" w:cs="Arial"/>
                <w:b w:val="0"/>
                <w:i w:val="0"/>
                <w:sz w:val="18"/>
              </w:rPr>
              <w:t>performance</w:t>
            </w:r>
            <w:r>
              <w:rPr>
                <w:rFonts w:ascii="Arial" w:eastAsia="Arial" w:hAnsi="Arial" w:cs="Arial"/>
                <w:b w:val="0"/>
                <w:i w:val="0"/>
                <w:sz w:val="18"/>
              </w:rPr>
              <w:t xml:space="preserve"> </w:t>
            </w:r>
            <w:r>
              <w:rPr>
                <w:rFonts w:ascii="Arial" w:eastAsia="Arial" w:hAnsi="Arial" w:cs="Arial"/>
                <w:b w:val="0"/>
                <w:i w:val="0"/>
                <w:sz w:val="18"/>
              </w:rPr>
              <w:t xml:space="preserve">management </w:t>
            </w:r>
            <w:r>
              <w:rPr>
                <w:rFonts w:ascii="Arial" w:eastAsia="Arial" w:hAnsi="Arial" w:cs="Arial"/>
                <w:b w:val="0"/>
                <w:i w:val="0"/>
                <w:sz w:val="18"/>
              </w:rPr>
              <w:t>reporting</w:t>
            </w:r>
            <w:r>
              <w:rPr>
                <w:rFonts w:ascii="Arial" w:eastAsia="Arial" w:hAnsi="Arial" w:cs="Arial"/>
                <w:b w:val="0"/>
                <w:i w:val="0"/>
                <w:sz w:val="18"/>
              </w:rPr>
              <w:t>.</w:t>
            </w:r>
          </w:p>
        </w:tc>
      </w:tr>
      <w:tr>
        <w:tblPrEx>
          <w:tblW w:w="10260" w:type="dxa"/>
          <w:tblInd w:w="0" w:type="dxa"/>
          <w:tblLayout w:type="fixed"/>
          <w:tblCellMar>
            <w:left w:w="108" w:type="dxa"/>
            <w:right w:w="108" w:type="dxa"/>
          </w:tblCellMar>
        </w:tblPrEx>
        <w:trPr>
          <w:cantSplit/>
          <w:trHeight w:hRule="exact" w:val="675"/>
        </w:trPr>
        <w:tc>
          <w:tcPr>
            <w:tcW w:w="23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Deliver improved regional claims management system</w:t>
            </w:r>
          </w:p>
        </w:tc>
        <w:tc>
          <w:tcPr>
            <w:tcW w:w="103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5%</w:t>
            </w:r>
          </w:p>
        </w:tc>
        <w:tc>
          <w:tcPr>
            <w:tcW w:w="127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93"/>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Sponsored and oversaw</w:t>
            </w:r>
            <w:r>
              <w:rPr>
                <w:rFonts w:ascii="Arial" w:eastAsia="Arial" w:hAnsi="Arial" w:cs="Arial"/>
                <w:b w:val="0"/>
                <w:i w:val="0"/>
                <w:sz w:val="18"/>
              </w:rPr>
              <w:t xml:space="preserve"> the development of</w:t>
            </w:r>
            <w:r>
              <w:rPr>
                <w:rFonts w:ascii="Arial" w:eastAsia="Arial" w:hAnsi="Arial" w:cs="Arial"/>
                <w:b w:val="0"/>
                <w:i w:val="0"/>
                <w:sz w:val="18"/>
              </w:rPr>
              <w:t xml:space="preserve"> an</w:t>
            </w:r>
            <w:r>
              <w:rPr>
                <w:rFonts w:ascii="Arial" w:eastAsia="Arial" w:hAnsi="Arial" w:cs="Arial"/>
                <w:b w:val="0"/>
                <w:i w:val="0"/>
                <w:sz w:val="18"/>
              </w:rPr>
              <w:t xml:space="preserve"> improved</w:t>
            </w:r>
            <w:r>
              <w:rPr>
                <w:rFonts w:ascii="Arial" w:eastAsia="Arial" w:hAnsi="Arial" w:cs="Arial"/>
                <w:b w:val="0"/>
                <w:i w:val="0"/>
                <w:sz w:val="18"/>
              </w:rPr>
              <w:t xml:space="preserve"> claims management sy</w:t>
            </w:r>
            <w:r>
              <w:rPr>
                <w:rFonts w:ascii="Arial" w:eastAsia="Arial" w:hAnsi="Arial" w:cs="Arial"/>
                <w:b w:val="0"/>
                <w:i w:val="0"/>
                <w:sz w:val="18"/>
              </w:rPr>
              <w:t xml:space="preserve">stem </w:t>
            </w:r>
            <w:r>
              <w:rPr>
                <w:rFonts w:ascii="Arial" w:eastAsia="Arial" w:hAnsi="Arial" w:cs="Arial"/>
                <w:b w:val="0"/>
                <w:i w:val="0"/>
                <w:sz w:val="18"/>
              </w:rPr>
              <w:t xml:space="preserve">for the </w:t>
            </w:r>
            <w:r>
              <w:rPr>
                <w:rFonts w:ascii="Arial" w:eastAsia="Arial" w:hAnsi="Arial" w:cs="Arial"/>
                <w:b w:val="0"/>
                <w:i w:val="0"/>
                <w:sz w:val="18"/>
              </w:rPr>
              <w:t>European region</w:t>
            </w:r>
            <w:r>
              <w:rPr>
                <w:rFonts w:ascii="Arial" w:eastAsia="Arial" w:hAnsi="Arial" w:cs="Arial"/>
                <w:b w:val="0"/>
                <w:i w:val="0"/>
                <w:sz w:val="18"/>
              </w:rPr>
              <w:t>.</w:t>
            </w:r>
          </w:p>
          <w:p>
            <w:pPr>
              <w:pageBreakBefore w:val="0"/>
              <w:numPr>
                <w:ilvl w:val="0"/>
                <w:numId w:val="0"/>
              </w:numPr>
              <w:spacing w:before="0" w:after="30" w:line="240" w:lineRule="auto"/>
              <w:ind w:left="-450" w:right="0" w:firstLine="180"/>
              <w:jc w:val="left"/>
              <w:outlineLvl w:val="9"/>
              <w:rPr>
                <w:rFonts w:ascii="Arial" w:eastAsia="Arial" w:hAnsi="Arial" w:cs="Arial"/>
                <w:b w:val="0"/>
                <w:i w:val="0"/>
                <w:sz w:val="18"/>
              </w:rPr>
            </w:pPr>
            <w:r>
              <w:rPr>
                <w:rFonts w:ascii="Arial" w:eastAsia="Arial" w:hAnsi="Arial" w:cs="Arial"/>
                <w:b w:val="0"/>
                <w:i w:val="0"/>
                <w:sz w:val="18"/>
              </w:rPr>
              <w:tab/>
            </w:r>
            <w:r>
              <w:rPr>
                <w:rFonts w:ascii="Arial" w:eastAsia="Arial" w:hAnsi="Arial" w:cs="Arial"/>
                <w:b w:val="0"/>
                <w:i w:val="0"/>
                <w:sz w:val="18"/>
              </w:rPr>
              <w:tab/>
            </w:r>
          </w:p>
        </w:tc>
      </w:tr>
      <w:tr>
        <w:tblPrEx>
          <w:tblW w:w="10260" w:type="dxa"/>
          <w:tblInd w:w="0" w:type="dxa"/>
          <w:tblLayout w:type="fixed"/>
          <w:tblCellMar>
            <w:left w:w="108" w:type="dxa"/>
            <w:right w:w="108" w:type="dxa"/>
          </w:tblCellMar>
        </w:tblPrEx>
        <w:trPr>
          <w:cantSplit/>
          <w:trHeight w:hRule="exact" w:val="975"/>
        </w:trPr>
        <w:tc>
          <w:tcPr>
            <w:tcW w:w="23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40" w:lineRule="auto"/>
              <w:jc w:val="left"/>
            </w:pPr>
            <w:r>
              <w:rPr>
                <w:rFonts w:ascii="Arial" w:eastAsia="Arial" w:hAnsi="Arial" w:cs="Arial"/>
                <w:b w:val="0"/>
                <w:i w:val="0"/>
                <w:color w:val="000000"/>
                <w:sz w:val="18"/>
                <w:u w:val="none"/>
              </w:rPr>
              <w:t>Achieve specified people management goals, including group employee engagement score above benchmark</w:t>
            </w:r>
          </w:p>
        </w:tc>
        <w:tc>
          <w:tcPr>
            <w:tcW w:w="103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5%</w:t>
            </w:r>
          </w:p>
        </w:tc>
        <w:tc>
          <w:tcPr>
            <w:tcW w:w="127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92"/>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 xml:space="preserve">Supported achievement of HR strategic initiatives to drive high performance and engagement achieving for the second consecutive year a high engagement index nine percentage points above the industry benchmark, high upper quartile. </w:t>
            </w:r>
          </w:p>
        </w:tc>
      </w:tr>
      <w:tr>
        <w:tblPrEx>
          <w:tblW w:w="10260" w:type="dxa"/>
          <w:tblInd w:w="0" w:type="dxa"/>
          <w:tblLayout w:type="fixed"/>
          <w:tblCellMar>
            <w:left w:w="108" w:type="dxa"/>
            <w:right w:w="108" w:type="dxa"/>
          </w:tblCellMar>
        </w:tblPrEx>
        <w:trPr>
          <w:cantSplit/>
          <w:trHeight w:hRule="exact" w:val="1725"/>
        </w:trPr>
        <w:tc>
          <w:tcPr>
            <w:tcW w:w="23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40" w:lineRule="auto"/>
              <w:jc w:val="left"/>
            </w:pPr>
            <w:r>
              <w:rPr>
                <w:rFonts w:ascii="Arial" w:eastAsia="Arial" w:hAnsi="Arial" w:cs="Arial"/>
                <w:b w:val="0"/>
                <w:i w:val="0"/>
                <w:color w:val="000000"/>
                <w:sz w:val="18"/>
                <w:u w:val="none"/>
              </w:rPr>
              <w:t>Engage and contribute to Group Executive Leadership Program</w:t>
            </w:r>
          </w:p>
        </w:tc>
        <w:tc>
          <w:tcPr>
            <w:tcW w:w="1035" w:type="dxa"/>
            <w:tcBorders>
              <w:top w:val="single" w:sz="8" w:space="0" w:color="B6B6B6"/>
              <w:left w:val="nil"/>
              <w:bottom w:val="single" w:sz="4" w:space="0" w:color="6D6D6D"/>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5%</w:t>
            </w:r>
          </w:p>
        </w:tc>
        <w:tc>
          <w:tcPr>
            <w:tcW w:w="1275" w:type="dxa"/>
            <w:tcBorders>
              <w:top w:val="single" w:sz="8" w:space="0" w:color="B6B6B6"/>
              <w:left w:val="nil"/>
              <w:bottom w:val="single" w:sz="4" w:space="0" w:color="6D6D6D"/>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289"/>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 xml:space="preserve">Engaged in the Group Executive Leadership Program to foster collaboration and support strong organizational culture and overall performance. </w:t>
            </w:r>
          </w:p>
          <w:p>
            <w:pPr>
              <w:pageBreakBefore w:val="0"/>
              <w:numPr>
                <w:ilvl w:val="0"/>
                <w:numId w:val="290"/>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The team’s aggregated results were ahead of benchmarks on all  of the leadership capabilities identified as core to high performing executive teams.</w:t>
            </w:r>
          </w:p>
          <w:p>
            <w:pPr>
              <w:pageBreakBefore w:val="0"/>
              <w:numPr>
                <w:ilvl w:val="0"/>
                <w:numId w:val="291"/>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Program laid the foundation for executive team's comprehensive strategy review completed at the end of 2023.</w:t>
            </w:r>
          </w:p>
        </w:tc>
      </w:tr>
      <w:tr>
        <w:tblPrEx>
          <w:tblW w:w="10260" w:type="dxa"/>
          <w:tblInd w:w="0" w:type="dxa"/>
          <w:tblLayout w:type="fixed"/>
          <w:tblCellMar>
            <w:left w:w="108" w:type="dxa"/>
            <w:right w:w="108" w:type="dxa"/>
          </w:tblCellMar>
        </w:tblPrEx>
        <w:trPr>
          <w:cantSplit/>
          <w:trHeight w:hRule="exact" w:val="405"/>
        </w:trPr>
        <w:tc>
          <w:tcPr>
            <w:tcW w:w="10260" w:type="dxa"/>
            <w:gridSpan w:val="4"/>
            <w:tcBorders>
              <w:top w:val="nil"/>
              <w:left w:val="nil"/>
              <w:bottom w:val="single" w:sz="4" w:space="0" w:color="6D6D6D"/>
              <w:right w:val="nil"/>
            </w:tcBorders>
            <w:shd w:val="clear" w:color="auto" w:fill="FFFFFF"/>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sz w:val="18"/>
              </w:rPr>
            </w:pPr>
            <w:r>
              <w:rPr>
                <w:rFonts w:ascii="Arial" w:eastAsia="Arial" w:hAnsi="Arial" w:cs="Arial"/>
                <w:b/>
                <w:i w:val="0"/>
                <w:sz w:val="18"/>
              </w:rPr>
              <w:t xml:space="preserve">Percentage of Target Individual Performance Objective Achieved: </w:t>
            </w:r>
            <w:r>
              <w:rPr>
                <w:rFonts w:ascii="Arial" w:eastAsia="Arial" w:hAnsi="Arial" w:cs="Arial"/>
                <w:b/>
                <w:i w:val="0"/>
                <w:color w:val="000000"/>
                <w:sz w:val="18"/>
                <w:u w:val="none"/>
              </w:rPr>
              <w:t>78.0%</w:t>
            </w: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i w:val="0"/>
          <w:color w:val="4494D1"/>
          <w:sz w:val="20"/>
          <w:u w:val="none"/>
        </w:rPr>
      </w:pPr>
      <w:r>
        <w:rPr>
          <w:rFonts w:ascii="Arial" w:eastAsia="Arial" w:hAnsi="Arial" w:cs="Arial"/>
          <w:b/>
          <w:i w:val="0"/>
          <w:color w:val="4494D1"/>
          <w:sz w:val="20"/>
          <w:u w:val="none"/>
        </w:rPr>
        <w:t>Settlement of Performance-Based Equity Awards</w:t>
      </w:r>
    </w:p>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color w:val="000000"/>
          <w:sz w:val="20"/>
          <w:u w:val="none"/>
          <w:shd w:val="clear" w:color="auto" w:fill="FFFF00"/>
        </w:rPr>
      </w:pPr>
      <w:r>
        <w:rPr>
          <w:rFonts w:ascii="Arial" w:eastAsia="Arial" w:hAnsi="Arial" w:cs="Arial"/>
          <w:b w:val="0"/>
          <w:i w:val="0"/>
          <w:sz w:val="20"/>
        </w:rPr>
        <w:t xml:space="preserve">The table below sets forth the number of ordinary shares that Mr. </w:t>
      </w:r>
      <w:r>
        <w:rPr>
          <w:rFonts w:ascii="Arial" w:eastAsia="Arial" w:hAnsi="Arial" w:cs="Arial"/>
          <w:b w:val="0"/>
          <w:i w:val="0"/>
          <w:sz w:val="20"/>
        </w:rPr>
        <w:t>Brockman</w:t>
      </w:r>
      <w:r>
        <w:rPr>
          <w:rFonts w:ascii="Arial" w:eastAsia="Arial" w:hAnsi="Arial" w:cs="Arial"/>
          <w:b w:val="0"/>
          <w:i w:val="0"/>
          <w:sz w:val="20"/>
        </w:rPr>
        <w:t xml:space="preserve"> earned as a result of the settlement of PSU awards with a performance period that ended on December 31, 2023, which were based on the Company's achievement of </w:t>
      </w:r>
      <w:r>
        <w:rPr>
          <w:rFonts w:ascii="Arial" w:eastAsia="Arial" w:hAnsi="Arial" w:cs="Arial"/>
          <w:b w:val="0"/>
          <w:i w:val="0"/>
          <w:sz w:val="20"/>
        </w:rPr>
        <w:t>Operating Income</w:t>
      </w:r>
      <w:r>
        <w:rPr>
          <w:rFonts w:ascii="Arial" w:eastAsia="Arial" w:hAnsi="Arial" w:cs="Arial"/>
          <w:b w:val="0"/>
          <w:i w:val="0"/>
          <w:sz w:val="20"/>
        </w:rPr>
        <w:t xml:space="preserve"> ROE and </w:t>
      </w:r>
      <w:r>
        <w:rPr>
          <w:rFonts w:ascii="Arial" w:eastAsia="Arial" w:hAnsi="Arial" w:cs="Arial"/>
          <w:b w:val="0"/>
          <w:i w:val="0"/>
          <w:sz w:val="20"/>
        </w:rPr>
        <w:t>FD</w:t>
      </w:r>
      <w:r>
        <w:rPr>
          <w:rFonts w:ascii="Arial" w:eastAsia="Arial" w:hAnsi="Arial" w:cs="Arial"/>
          <w:b w:val="0"/>
          <w:i w:val="0"/>
          <w:sz w:val="20"/>
        </w:rPr>
        <w:t xml:space="preserve">BVPS. </w:t>
      </w:r>
    </w:p>
    <w:tbl>
      <w:tblPr>
        <w:tblW w:w="99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085"/>
        <w:gridCol w:w="2805"/>
        <w:gridCol w:w="2700"/>
        <w:gridCol w:w="2400"/>
      </w:tblGrid>
      <w:tr>
        <w:tblPrEx>
          <w:tblW w:w="99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35"/>
        </w:trPr>
        <w:tc>
          <w:tcPr>
            <w:tcW w:w="208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Financial Metric</w:t>
            </w:r>
          </w:p>
        </w:tc>
        <w:tc>
          <w:tcPr>
            <w:tcW w:w="280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Target PSUs Awarded in 2021</w:t>
            </w:r>
          </w:p>
        </w:tc>
        <w:tc>
          <w:tcPr>
            <w:tcW w:w="2700"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Actual Performance as a Percent of Target</w:t>
            </w:r>
          </w:p>
        </w:tc>
        <w:tc>
          <w:tcPr>
            <w:tcW w:w="2400"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PSUs Settled as Ordinary Shares</w:t>
            </w:r>
          </w:p>
        </w:tc>
      </w:tr>
      <w:tr>
        <w:tblPrEx>
          <w:tblW w:w="9990" w:type="dxa"/>
          <w:tblInd w:w="0" w:type="dxa"/>
          <w:tblLayout w:type="fixed"/>
          <w:tblCellMar>
            <w:left w:w="108" w:type="dxa"/>
            <w:right w:w="108" w:type="dxa"/>
          </w:tblCellMar>
        </w:tblPrEx>
        <w:trPr>
          <w:cantSplit/>
          <w:trHeight w:hRule="exact" w:val="345"/>
        </w:trPr>
        <w:tc>
          <w:tcPr>
            <w:tcW w:w="2085" w:type="dxa"/>
            <w:tcBorders>
              <w:top w:val="single" w:sz="12" w:space="0" w:color="4494D1"/>
              <w:left w:val="nil"/>
              <w:bottom w:val="single" w:sz="4" w:space="0" w:color="000000"/>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Operating Income ROE</w:t>
            </w:r>
          </w:p>
        </w:tc>
        <w:tc>
          <w:tcPr>
            <w:tcW w:w="2805" w:type="dxa"/>
            <w:tcBorders>
              <w:top w:val="single" w:sz="12" w:space="0" w:color="4494D1"/>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729</w:t>
            </w:r>
          </w:p>
        </w:tc>
        <w:tc>
          <w:tcPr>
            <w:tcW w:w="2700" w:type="dxa"/>
            <w:tcBorders>
              <w:top w:val="single" w:sz="12" w:space="0" w:color="4494D1"/>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65.7%</w:t>
            </w:r>
          </w:p>
        </w:tc>
        <w:tc>
          <w:tcPr>
            <w:tcW w:w="2400" w:type="dxa"/>
            <w:tcBorders>
              <w:top w:val="single" w:sz="12" w:space="0" w:color="4494D1"/>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479</w:t>
            </w:r>
          </w:p>
        </w:tc>
      </w:tr>
      <w:tr>
        <w:tblPrEx>
          <w:tblW w:w="9990" w:type="dxa"/>
          <w:tblInd w:w="0" w:type="dxa"/>
          <w:tblLayout w:type="fixed"/>
          <w:tblCellMar>
            <w:left w:w="108" w:type="dxa"/>
            <w:right w:w="108" w:type="dxa"/>
          </w:tblCellMar>
        </w:tblPrEx>
        <w:trPr>
          <w:cantSplit/>
          <w:trHeight w:hRule="exact" w:val="315"/>
        </w:trPr>
        <w:tc>
          <w:tcPr>
            <w:tcW w:w="2085" w:type="dxa"/>
            <w:tcBorders>
              <w:top w:val="single" w:sz="4" w:space="0" w:color="000000"/>
              <w:left w:val="nil"/>
              <w:bottom w:val="single" w:sz="8" w:space="0" w:color="B6B6B6"/>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FD</w:t>
            </w:r>
            <w:r>
              <w:rPr>
                <w:rFonts w:ascii="Arial" w:eastAsia="Arial" w:hAnsi="Arial" w:cs="Arial"/>
                <w:b w:val="0"/>
                <w:i w:val="0"/>
                <w:sz w:val="18"/>
              </w:rPr>
              <w:t>BVPS</w:t>
            </w:r>
          </w:p>
        </w:tc>
        <w:tc>
          <w:tcPr>
            <w:tcW w:w="280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729</w:t>
            </w:r>
          </w:p>
        </w:tc>
        <w:tc>
          <w:tcPr>
            <w:tcW w:w="2700"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w:t>
            </w:r>
          </w:p>
        </w:tc>
        <w:tc>
          <w:tcPr>
            <w:tcW w:w="2400"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w:t>
            </w:r>
          </w:p>
        </w:tc>
      </w:tr>
      <w:tr>
        <w:tblPrEx>
          <w:tblW w:w="9990" w:type="dxa"/>
          <w:tblInd w:w="0" w:type="dxa"/>
          <w:tblLayout w:type="fixed"/>
          <w:tblCellMar>
            <w:left w:w="108" w:type="dxa"/>
            <w:right w:w="108" w:type="dxa"/>
          </w:tblCellMar>
        </w:tblPrEx>
        <w:trPr>
          <w:cantSplit/>
          <w:trHeight w:hRule="exact" w:val="345"/>
        </w:trPr>
        <w:tc>
          <w:tcPr>
            <w:tcW w:w="2085" w:type="dxa"/>
            <w:tcBorders>
              <w:top w:val="single" w:sz="8" w:space="0" w:color="B6B6B6"/>
              <w:left w:val="nil"/>
              <w:bottom w:val="nil"/>
              <w:right w:val="nil"/>
            </w:tcBorders>
            <w:tcMar>
              <w:top w:w="0" w:type="dxa"/>
              <w:left w:w="53" w:type="dxa"/>
              <w:bottom w:w="0" w:type="dxa"/>
              <w:right w:w="53" w:type="dxa"/>
            </w:tcMar>
            <w:vAlign w:val="center"/>
          </w:tcPr>
          <w:p>
            <w:pPr>
              <w:pageBreakBefore w:val="0"/>
              <w:spacing w:before="0" w:after="0" w:line="240" w:lineRule="auto"/>
              <w:jc w:val="left"/>
            </w:pPr>
            <w:r>
              <w:rPr>
                <w:rFonts w:ascii="Arial" w:eastAsia="Arial" w:hAnsi="Arial" w:cs="Arial"/>
                <w:b/>
                <w:i w:val="0"/>
                <w:color w:val="000000"/>
                <w:sz w:val="18"/>
                <w:u w:val="none"/>
              </w:rPr>
              <w:t>Total</w:t>
            </w:r>
          </w:p>
        </w:tc>
        <w:tc>
          <w:tcPr>
            <w:tcW w:w="2805" w:type="dxa"/>
            <w:tcBorders>
              <w:top w:val="single" w:sz="8" w:space="0" w:color="B6B6B6"/>
              <w:left w:val="nil"/>
              <w:bottom w:val="nil"/>
              <w:right w:val="nil"/>
            </w:tcBorders>
            <w:tcMar>
              <w:top w:w="0" w:type="dxa"/>
              <w:left w:w="53" w:type="dxa"/>
              <w:bottom w:w="0" w:type="dxa"/>
              <w:right w:w="53" w:type="dxa"/>
            </w:tcMar>
            <w:vAlign w:val="center"/>
          </w:tcPr>
          <w:p>
            <w:pPr>
              <w:pageBreakBefore w:val="0"/>
              <w:spacing w:before="0" w:after="0" w:line="240" w:lineRule="auto"/>
              <w:jc w:val="left"/>
            </w:pPr>
            <w:r>
              <w:rPr>
                <w:rFonts w:ascii="Arial" w:eastAsia="Arial" w:hAnsi="Arial" w:cs="Arial"/>
                <w:b/>
                <w:i w:val="0"/>
                <w:color w:val="000000"/>
                <w:sz w:val="18"/>
                <w:u w:val="none"/>
              </w:rPr>
              <w:t>1458</w:t>
            </w:r>
          </w:p>
        </w:tc>
        <w:tc>
          <w:tcPr>
            <w:tcW w:w="2700"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33%</w:t>
            </w:r>
          </w:p>
        </w:tc>
        <w:tc>
          <w:tcPr>
            <w:tcW w:w="2400"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479</w:t>
            </w:r>
          </w:p>
        </w:tc>
      </w:tr>
    </w:tbl>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sectPr>
          <w:headerReference w:type="default" r:id="rId256"/>
          <w:footerReference w:type="default" r:id="rId257"/>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171449"/>
          <w:sz w:val="24"/>
          <w:u w:val="none"/>
        </w:rPr>
      </w:pPr>
      <w:bookmarkStart w:id="90" w:name="Section93"/>
      <w:bookmarkEnd w:id="90"/>
      <w:r>
        <w:rPr>
          <w:rFonts w:ascii="Arial" w:eastAsia="Arial" w:hAnsi="Arial" w:cs="Arial"/>
          <w:b/>
          <w:i w:val="0"/>
          <w:color w:val="171449"/>
          <w:sz w:val="4"/>
          <w:u w:val="none"/>
        </w:rPr>
        <w:t xml:space="preserve"> </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500"/>
        <w:gridCol w:w="315"/>
        <w:gridCol w:w="844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00"/>
        </w:trPr>
        <w:tc>
          <w:tcPr>
            <w:tcW w:w="1500"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hanging="180"/>
              <w:jc w:val="left"/>
              <w:outlineLvl w:val="9"/>
              <w:rPr>
                <w:rFonts w:ascii="Arial" w:eastAsia="Arial" w:hAnsi="Arial" w:cs="Arial"/>
                <w:b w:val="0"/>
                <w:i w:val="0"/>
                <w:sz w:val="20"/>
              </w:rPr>
            </w:pPr>
            <w:r>
              <w:pict>
                <v:shape id="_x0000_i1247" type="#_x0000_t75" style="width:89.54pt;height:84.96pt">
                  <v:imagedata r:id="rId170" o:title=""/>
                  <o:lock v:ext="edit" aspectratio="t"/>
                </v:shape>
              </w:pict>
            </w:r>
          </w:p>
        </w:tc>
        <w:tc>
          <w:tcPr>
            <w:tcW w:w="315" w:type="dxa"/>
            <w:vMerge w:val="restart"/>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22"/>
                <w:u w:val="none"/>
              </w:rPr>
              <w:t xml:space="preserve">  Nazar Alobaidat</w:t>
            </w: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val="0"/>
                <w:i w:val="0"/>
                <w:color w:val="000000"/>
                <w:sz w:val="20"/>
                <w:u w:val="none"/>
              </w:rPr>
              <w:t xml:space="preserve">  Chief Investment Officer</w:t>
            </w:r>
          </w:p>
        </w:tc>
      </w:tr>
      <w:tr>
        <w:tblPrEx>
          <w:tblW w:w="10260" w:type="dxa"/>
          <w:tblInd w:w="0" w:type="dxa"/>
          <w:tblLayout w:type="fixed"/>
          <w:tblCellMar>
            <w:left w:w="108" w:type="dxa"/>
            <w:right w:w="108" w:type="dxa"/>
          </w:tblCellMar>
        </w:tblPrEx>
        <w:trPr>
          <w:cantSplit/>
          <w:trHeight w:hRule="exact" w:val="225"/>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tcBorders>
              <w:top w:val="nil"/>
              <w:left w:val="single" w:sz="12" w:space="0" w:color="4494D1"/>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20"/>
                <w:u w:val="none"/>
              </w:rPr>
              <w:t xml:space="preserve">  2023 Annual Compensation Mix</w:t>
            </w: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vMerge w:val="restart"/>
            <w:tcBorders>
              <w:top w:val="nil"/>
              <w:left w:val="single" w:sz="12" w:space="0" w:color="4494D1"/>
              <w:bottom w:val="nil"/>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1080" w:right="0" w:firstLine="0"/>
              <w:jc w:val="left"/>
              <w:outlineLvl w:val="9"/>
              <w:rPr>
                <w:rFonts w:ascii="Arial" w:eastAsia="Arial" w:hAnsi="Arial" w:cs="Arial"/>
                <w:b/>
                <w:i w:val="0"/>
                <w:sz w:val="20"/>
              </w:rPr>
            </w:pPr>
            <w:r>
              <w:pict>
                <v:shape id="_x0000_i1248" type="#_x0000_t75" style="width:567pt;height:318.94pt">
                  <v:imagedata r:id="rId258" o:title=""/>
                  <o:lock v:ext="edit" aspectratio="t"/>
                </v:shape>
              </w:pict>
            </w:r>
          </w:p>
        </w:tc>
      </w:tr>
      <w:tr>
        <w:tblPrEx>
          <w:tblW w:w="10260" w:type="dxa"/>
          <w:tblInd w:w="0" w:type="dxa"/>
          <w:tblLayout w:type="fixed"/>
          <w:tblCellMar>
            <w:left w:w="108" w:type="dxa"/>
            <w:right w:w="108" w:type="dxa"/>
          </w:tblCellMar>
        </w:tblPrEx>
        <w:trPr>
          <w:cantSplit/>
          <w:trHeight w:hRule="exact" w:val="300"/>
        </w:trPr>
        <w:tc>
          <w:tcPr>
            <w:tcW w:w="1500" w:type="dxa"/>
            <w:vMerge/>
            <w:tcBorders>
              <w:top w:val="nil"/>
              <w:left w:val="nil"/>
              <w:bottom w:val="nil"/>
              <w:right w:val="nil"/>
            </w:tcBorders>
          </w:tcPr>
          <w:p>
            <w:pPr>
              <w:keepNext/>
              <w:pageBreakBefore w:val="0"/>
            </w:pPr>
          </w:p>
        </w:tc>
        <w:tc>
          <w:tcPr>
            <w:tcW w:w="315" w:type="dxa"/>
            <w:vMerge/>
            <w:tcBorders>
              <w:top w:val="nil"/>
              <w:left w:val="nil"/>
              <w:bottom w:val="nil"/>
              <w:right w:val="nil"/>
            </w:tcBorders>
          </w:tcPr>
          <w:p>
            <w:pPr>
              <w:keepNext/>
              <w:pageBreakBefore w:val="0"/>
            </w:pPr>
          </w:p>
        </w:tc>
        <w:tc>
          <w:tcPr>
            <w:tcW w:w="8445" w:type="dxa"/>
            <w:vMerge/>
            <w:tcBorders>
              <w:top w:val="nil"/>
              <w:left w:val="single" w:sz="12" w:space="0" w:color="4494D1"/>
              <w:bottom w:val="nil"/>
              <w:right w:val="nil"/>
            </w:tcBorders>
          </w:tcPr>
          <w:p>
            <w:pPr>
              <w:keepNext/>
              <w:pageBreakBefore w:val="0"/>
            </w:pPr>
          </w:p>
        </w:tc>
      </w:tr>
      <w:tr>
        <w:tblPrEx>
          <w:tblW w:w="10260" w:type="dxa"/>
          <w:tblInd w:w="0" w:type="dxa"/>
          <w:tblLayout w:type="fixed"/>
          <w:tblCellMar>
            <w:left w:w="108" w:type="dxa"/>
            <w:right w:w="108" w:type="dxa"/>
          </w:tblCellMar>
        </w:tblPrEx>
        <w:trPr>
          <w:cantSplit/>
          <w:trHeight w:hRule="exact" w:val="1845"/>
        </w:trPr>
        <w:tc>
          <w:tcPr>
            <w:tcW w:w="150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31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445" w:type="dxa"/>
            <w:vMerge/>
            <w:tcBorders>
              <w:top w:val="nil"/>
              <w:left w:val="single" w:sz="12" w:space="0" w:color="4494D1"/>
              <w:bottom w:val="nil"/>
              <w:right w:val="nil"/>
            </w:tcBorders>
          </w:tcPr>
          <w:p>
            <w:pPr>
              <w:pageBreakBefore w:val="0"/>
            </w:pPr>
          </w:p>
        </w:tc>
      </w:tr>
    </w:tbl>
    <w:p>
      <w:pPr>
        <w:keepNext w:val="0"/>
        <w:keepLines w:val="0"/>
        <w:pageBreakBefore w:val="0"/>
        <w:widowControl/>
        <w:numPr>
          <w:ilvl w:val="0"/>
          <w:numId w:val="0"/>
        </w:numPr>
        <w:spacing w:before="6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3"/>
        <w:rPr>
          <w:rFonts w:ascii="Arial" w:eastAsia="Arial" w:hAnsi="Arial" w:cs="Arial"/>
          <w:b/>
          <w:i w:val="0"/>
          <w:color w:val="4494D1"/>
          <w:sz w:val="20"/>
          <w:u w:val="none"/>
        </w:rPr>
      </w:pPr>
      <w:r>
        <w:rPr>
          <w:rFonts w:ascii="Arial" w:eastAsia="Arial" w:hAnsi="Arial" w:cs="Arial"/>
          <w:b/>
          <w:i w:val="0"/>
          <w:color w:val="4494D1"/>
          <w:sz w:val="20"/>
          <w:u w:val="none"/>
        </w:rPr>
        <w:t>2023 Compensation Elements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000000"/>
          <w:sz w:val="20"/>
          <w:u w:val="none"/>
          <w:shd w:val="clear" w:color="auto" w:fill="FFFF00"/>
        </w:rPr>
      </w:pPr>
      <w:r>
        <w:rPr>
          <w:rFonts w:ascii="Arial" w:eastAsia="Arial" w:hAnsi="Arial" w:cs="Arial"/>
          <w:b w:val="0"/>
          <w:i w:val="0"/>
          <w:sz w:val="20"/>
        </w:rPr>
        <w:t xml:space="preserve">As shown in the table below, for 2023, the </w:t>
      </w:r>
      <w:r>
        <w:rPr>
          <w:rFonts w:ascii="Arial" w:eastAsia="Arial" w:hAnsi="Arial" w:cs="Arial"/>
          <w:b w:val="0"/>
          <w:i w:val="0"/>
          <w:sz w:val="20"/>
        </w:rPr>
        <w:t>Compensation Committee</w:t>
      </w:r>
      <w:r>
        <w:rPr>
          <w:rFonts w:ascii="Arial" w:eastAsia="Arial" w:hAnsi="Arial" w:cs="Arial"/>
          <w:b w:val="0"/>
          <w:i w:val="0"/>
          <w:sz w:val="20"/>
        </w:rPr>
        <w:t xml:space="preserve"> increased Mr. </w:t>
      </w:r>
      <w:r>
        <w:rPr>
          <w:rFonts w:ascii="Arial" w:eastAsia="Arial" w:hAnsi="Arial" w:cs="Arial"/>
          <w:b w:val="0"/>
          <w:i w:val="0"/>
          <w:sz w:val="20"/>
        </w:rPr>
        <w:t>Alobaidat</w:t>
      </w:r>
      <w:r>
        <w:rPr>
          <w:rFonts w:ascii="Arial" w:eastAsia="Arial" w:hAnsi="Arial" w:cs="Arial"/>
          <w:b w:val="0"/>
          <w:i w:val="0"/>
          <w:sz w:val="20"/>
        </w:rPr>
        <w:t>'s</w:t>
      </w:r>
      <w:r>
        <w:rPr>
          <w:rFonts w:ascii="Arial" w:eastAsia="Arial" w:hAnsi="Arial" w:cs="Arial"/>
          <w:b w:val="0"/>
          <w:i w:val="0"/>
          <w:sz w:val="20"/>
        </w:rPr>
        <w:t xml:space="preserve"> annual base salary by 8.3% </w:t>
      </w:r>
      <w:r>
        <w:rPr>
          <w:rFonts w:ascii="Arial" w:eastAsia="Arial" w:hAnsi="Arial" w:cs="Arial"/>
          <w:b w:val="0"/>
          <w:i w:val="0"/>
          <w:sz w:val="20"/>
        </w:rPr>
        <w:t>in recognition of his</w:t>
      </w:r>
      <w:r>
        <w:rPr>
          <w:rFonts w:ascii="Arial" w:eastAsia="Arial" w:hAnsi="Arial" w:cs="Arial"/>
          <w:b w:val="0"/>
          <w:i w:val="0"/>
          <w:sz w:val="20"/>
        </w:rPr>
        <w:t xml:space="preserve"> strategically</w:t>
      </w:r>
      <w:r>
        <w:rPr>
          <w:rFonts w:ascii="Arial" w:eastAsia="Arial" w:hAnsi="Arial" w:cs="Arial"/>
          <w:b w:val="0"/>
          <w:i w:val="0"/>
          <w:sz w:val="20"/>
        </w:rPr>
        <w:t xml:space="preserve"> important role in directing the Company's investment portfolio</w:t>
      </w:r>
      <w:r>
        <w:rPr>
          <w:rFonts w:ascii="Arial" w:eastAsia="Arial" w:hAnsi="Arial" w:cs="Arial"/>
          <w:b w:val="0"/>
          <w:i w:val="0"/>
          <w:sz w:val="20"/>
        </w:rPr>
        <w:t xml:space="preserve"> and in </w:t>
      </w:r>
      <w:r>
        <w:rPr>
          <w:rFonts w:ascii="Arial" w:eastAsia="Arial" w:hAnsi="Arial" w:cs="Arial"/>
          <w:b w:val="0"/>
          <w:i w:val="0"/>
          <w:sz w:val="20"/>
        </w:rPr>
        <w:t>light of competitive market pr</w:t>
      </w:r>
      <w:r>
        <w:rPr>
          <w:rFonts w:ascii="Arial" w:eastAsia="Arial" w:hAnsi="Arial" w:cs="Arial"/>
          <w:b w:val="0"/>
          <w:i w:val="0"/>
          <w:sz w:val="20"/>
        </w:rPr>
        <w:t>a</w:t>
      </w:r>
      <w:r>
        <w:rPr>
          <w:rFonts w:ascii="Arial" w:eastAsia="Arial" w:hAnsi="Arial" w:cs="Arial"/>
          <w:b w:val="0"/>
          <w:i w:val="0"/>
          <w:sz w:val="20"/>
        </w:rPr>
        <w:t>ctice</w:t>
      </w:r>
      <w:r>
        <w:rPr>
          <w:rFonts w:ascii="Arial" w:eastAsia="Arial" w:hAnsi="Arial" w:cs="Arial"/>
          <w:b w:val="0"/>
          <w:i w:val="0"/>
          <w:sz w:val="20"/>
        </w:rPr>
        <w: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Also shown </w:t>
      </w:r>
      <w:r>
        <w:rPr>
          <w:rFonts w:ascii="Arial" w:eastAsia="Arial" w:hAnsi="Arial" w:cs="Arial"/>
          <w:b w:val="0"/>
          <w:i w:val="0"/>
          <w:sz w:val="20"/>
        </w:rPr>
        <w:t xml:space="preserve">in the table </w:t>
      </w:r>
      <w:r>
        <w:rPr>
          <w:rFonts w:ascii="Arial" w:eastAsia="Arial" w:hAnsi="Arial" w:cs="Arial"/>
          <w:b w:val="0"/>
          <w:i w:val="0"/>
          <w:sz w:val="20"/>
        </w:rPr>
        <w:t xml:space="preserve">below, Mr. </w:t>
      </w:r>
      <w:r>
        <w:rPr>
          <w:rFonts w:ascii="Arial" w:eastAsia="Arial" w:hAnsi="Arial" w:cs="Arial"/>
          <w:b w:val="0"/>
          <w:i w:val="0"/>
          <w:sz w:val="20"/>
        </w:rPr>
        <w:t>A</w:t>
      </w:r>
      <w:r>
        <w:rPr>
          <w:rFonts w:ascii="Arial" w:eastAsia="Arial" w:hAnsi="Arial" w:cs="Arial"/>
          <w:b w:val="0"/>
          <w:i w:val="0"/>
          <w:sz w:val="20"/>
        </w:rPr>
        <w:t>lobaidat</w:t>
      </w:r>
      <w:r>
        <w:rPr>
          <w:rFonts w:ascii="Arial" w:eastAsia="Arial" w:hAnsi="Arial" w:cs="Arial"/>
          <w:b w:val="0"/>
          <w:i w:val="0"/>
          <w:sz w:val="20"/>
        </w:rPr>
        <w:t xml:space="preserve"> received grants of PSUs and RSUs under our annual senior management LTI program in in March 2023. These awards comprised 70% PSUs and 30% RSUs.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In addition to </w:t>
      </w:r>
      <w:r>
        <w:rPr>
          <w:rFonts w:ascii="Arial" w:eastAsia="Arial" w:hAnsi="Arial" w:cs="Arial"/>
          <w:b w:val="0"/>
          <w:i w:val="0"/>
          <w:sz w:val="20"/>
        </w:rPr>
        <w:t>his annual equity award</w:t>
      </w:r>
      <w:r>
        <w:rPr>
          <w:rFonts w:ascii="Arial" w:eastAsia="Arial" w:hAnsi="Arial" w:cs="Arial"/>
          <w:b w:val="0"/>
          <w:i w:val="0"/>
          <w:sz w:val="20"/>
        </w:rPr>
        <w:t xml:space="preserve">, Mr. </w:t>
      </w:r>
      <w:r>
        <w:rPr>
          <w:rFonts w:ascii="Arial" w:eastAsia="Arial" w:hAnsi="Arial" w:cs="Arial"/>
          <w:b w:val="0"/>
          <w:i w:val="0"/>
          <w:sz w:val="20"/>
        </w:rPr>
        <w:t>A</w:t>
      </w:r>
      <w:r>
        <w:rPr>
          <w:rFonts w:ascii="Arial" w:eastAsia="Arial" w:hAnsi="Arial" w:cs="Arial"/>
          <w:b w:val="0"/>
          <w:i w:val="0"/>
          <w:sz w:val="20"/>
        </w:rPr>
        <w:t>lobaidat</w:t>
      </w:r>
      <w:r>
        <w:rPr>
          <w:rFonts w:ascii="Arial" w:eastAsia="Arial" w:hAnsi="Arial" w:cs="Arial"/>
          <w:b w:val="0"/>
          <w:i w:val="0"/>
          <w:sz w:val="20"/>
        </w:rPr>
        <w:t xml:space="preserve"> received a </w:t>
      </w:r>
      <w:r>
        <w:rPr>
          <w:rFonts w:ascii="Arial" w:eastAsia="Arial" w:hAnsi="Arial" w:cs="Arial"/>
          <w:b w:val="0"/>
          <w:i w:val="0"/>
          <w:sz w:val="20"/>
        </w:rPr>
        <w:t>special</w:t>
      </w:r>
      <w:r>
        <w:rPr>
          <w:rFonts w:ascii="Arial" w:eastAsia="Arial" w:hAnsi="Arial" w:cs="Arial"/>
          <w:b w:val="0"/>
          <w:i w:val="0"/>
          <w:sz w:val="20"/>
        </w:rPr>
        <w:t xml:space="preserve"> equity award of </w:t>
      </w:r>
      <w:r>
        <w:rPr>
          <w:rFonts w:ascii="Arial" w:eastAsia="Arial" w:hAnsi="Arial" w:cs="Arial"/>
          <w:b w:val="0"/>
          <w:i w:val="0"/>
          <w:color w:val="000000"/>
          <w:sz w:val="20"/>
          <w:u w:val="none"/>
        </w:rPr>
        <w:t>4,488</w:t>
      </w:r>
      <w:r>
        <w:rPr>
          <w:rFonts w:ascii="Arial" w:eastAsia="Arial" w:hAnsi="Arial" w:cs="Arial"/>
          <w:b w:val="0"/>
          <w:i w:val="0"/>
          <w:sz w:val="20"/>
        </w:rPr>
        <w:t xml:space="preserve"> </w:t>
      </w:r>
      <w:r>
        <w:rPr>
          <w:rFonts w:ascii="Arial" w:eastAsia="Arial" w:hAnsi="Arial" w:cs="Arial"/>
          <w:b w:val="0"/>
          <w:i w:val="0"/>
          <w:sz w:val="20"/>
        </w:rPr>
        <w:t xml:space="preserve">RSUs with a grant date fair value of </w:t>
      </w:r>
      <w:r>
        <w:rPr>
          <w:rFonts w:ascii="Arial" w:eastAsia="Arial" w:hAnsi="Arial" w:cs="Arial"/>
          <w:b w:val="0"/>
          <w:i w:val="0"/>
          <w:color w:val="000000"/>
          <w:sz w:val="20"/>
          <w:u w:val="none"/>
        </w:rPr>
        <w:t>$999,926</w:t>
      </w:r>
      <w:r>
        <w:rPr>
          <w:rFonts w:ascii="Arial" w:eastAsia="Arial" w:hAnsi="Arial" w:cs="Arial"/>
          <w:b w:val="0"/>
          <w:i w:val="0"/>
          <w:sz w:val="20"/>
        </w:rPr>
        <w:t xml:space="preserve">, awarded on March 20, 2023, which vest in a lump sum on </w:t>
      </w:r>
      <w:r>
        <w:rPr>
          <w:rFonts w:ascii="Arial" w:eastAsia="Arial" w:hAnsi="Arial" w:cs="Arial"/>
          <w:b w:val="0"/>
          <w:i w:val="0"/>
          <w:sz w:val="20"/>
        </w:rPr>
        <w:t>March 20</w:t>
      </w:r>
      <w:r>
        <w:rPr>
          <w:rFonts w:ascii="Arial" w:eastAsia="Arial" w:hAnsi="Arial" w:cs="Arial"/>
          <w:b w:val="0"/>
          <w:i w:val="0"/>
          <w:sz w:val="20"/>
        </w:rPr>
        <w:t xml:space="preserve">, 2026. </w:t>
      </w:r>
      <w:r>
        <w:rPr>
          <w:rFonts w:ascii="Arial" w:eastAsia="Arial" w:hAnsi="Arial" w:cs="Arial"/>
          <w:b w:val="0"/>
          <w:i w:val="0"/>
          <w:color w:val="000000"/>
          <w:sz w:val="20"/>
          <w:u w:val="none"/>
        </w:rPr>
        <w:t xml:space="preserve">This award was provided </w:t>
      </w:r>
      <w:r>
        <w:rPr>
          <w:rFonts w:ascii="Arial" w:eastAsia="Arial" w:hAnsi="Arial" w:cs="Arial"/>
          <w:b w:val="0"/>
          <w:i w:val="0"/>
          <w:color w:val="000000"/>
          <w:sz w:val="20"/>
          <w:u w:val="none"/>
        </w:rPr>
        <w:t xml:space="preserve">to </w:t>
      </w:r>
      <w:r>
        <w:rPr>
          <w:rFonts w:ascii="Arial" w:eastAsia="Arial" w:hAnsi="Arial" w:cs="Arial"/>
          <w:b w:val="0"/>
          <w:i w:val="0"/>
          <w:color w:val="000000"/>
          <w:sz w:val="20"/>
          <w:u w:val="none"/>
        </w:rPr>
        <w:t>be a retention incentive for Mr. Alobaidat</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that reflects the</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importance</w:t>
      </w:r>
      <w:r>
        <w:rPr>
          <w:rFonts w:ascii="Arial" w:eastAsia="Arial" w:hAnsi="Arial" w:cs="Arial"/>
          <w:b w:val="0"/>
          <w:i w:val="0"/>
          <w:color w:val="000000"/>
          <w:sz w:val="20"/>
          <w:u w:val="none"/>
        </w:rPr>
        <w:t xml:space="preserve"> to the Company of Mr. A</w:t>
      </w:r>
      <w:r>
        <w:rPr>
          <w:rFonts w:ascii="Arial" w:eastAsia="Arial" w:hAnsi="Arial" w:cs="Arial"/>
          <w:b w:val="0"/>
          <w:i w:val="0"/>
          <w:color w:val="000000"/>
          <w:sz w:val="20"/>
          <w:u w:val="none"/>
        </w:rPr>
        <w:t xml:space="preserve">lobaidat's role in managing and designing the </w:t>
      </w:r>
      <w:r>
        <w:rPr>
          <w:rFonts w:ascii="Arial" w:eastAsia="Arial" w:hAnsi="Arial" w:cs="Arial"/>
          <w:b w:val="0"/>
          <w:i w:val="0"/>
          <w:color w:val="000000"/>
          <w:sz w:val="20"/>
          <w:u w:val="none"/>
        </w:rPr>
        <w:t>Company</w:t>
      </w:r>
      <w:r>
        <w:rPr>
          <w:rFonts w:ascii="Arial" w:eastAsia="Arial" w:hAnsi="Arial" w:cs="Arial"/>
          <w:b w:val="0"/>
          <w:i w:val="0"/>
          <w:color w:val="000000"/>
          <w:sz w:val="20"/>
          <w:u w:val="none"/>
        </w:rPr>
        <w:t>'s strategic asset allocation and his specific expertise in</w:t>
      </w:r>
      <w:r>
        <w:rPr>
          <w:rFonts w:ascii="Arial" w:eastAsia="Arial" w:hAnsi="Arial" w:cs="Arial"/>
          <w:b w:val="0"/>
          <w:i w:val="0"/>
          <w:color w:val="000000"/>
          <w:sz w:val="20"/>
          <w:u w:val="none"/>
        </w:rPr>
        <w:t xml:space="preserve"> bu</w:t>
      </w:r>
      <w:r>
        <w:rPr>
          <w:rFonts w:ascii="Arial" w:eastAsia="Arial" w:hAnsi="Arial" w:cs="Arial"/>
          <w:b w:val="0"/>
          <w:i w:val="0"/>
          <w:color w:val="000000"/>
          <w:sz w:val="20"/>
          <w:u w:val="none"/>
        </w:rPr>
        <w:t>ilding and</w:t>
      </w:r>
      <w:r>
        <w:rPr>
          <w:rFonts w:ascii="Arial" w:eastAsia="Arial" w:hAnsi="Arial" w:cs="Arial"/>
          <w:b w:val="0"/>
          <w:i w:val="0"/>
          <w:color w:val="000000"/>
          <w:sz w:val="20"/>
          <w:u w:val="none"/>
        </w:rPr>
        <w:t xml:space="preserve"> managing</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investment p</w:t>
      </w:r>
      <w:r>
        <w:rPr>
          <w:rFonts w:ascii="Arial" w:eastAsia="Arial" w:hAnsi="Arial" w:cs="Arial"/>
          <w:b w:val="0"/>
          <w:i w:val="0"/>
          <w:color w:val="000000"/>
          <w:sz w:val="20"/>
          <w:u w:val="none"/>
        </w:rPr>
        <w:t>ortfoli</w:t>
      </w:r>
      <w:r>
        <w:rPr>
          <w:rFonts w:ascii="Arial" w:eastAsia="Arial" w:hAnsi="Arial" w:cs="Arial"/>
          <w:b w:val="0"/>
          <w:i w:val="0"/>
          <w:color w:val="000000"/>
          <w:sz w:val="20"/>
          <w:u w:val="none"/>
        </w:rPr>
        <w:t>o</w:t>
      </w:r>
      <w:r>
        <w:rPr>
          <w:rFonts w:ascii="Arial" w:eastAsia="Arial" w:hAnsi="Arial" w:cs="Arial"/>
          <w:b w:val="0"/>
          <w:i w:val="0"/>
          <w:color w:val="000000"/>
          <w:sz w:val="20"/>
          <w:u w:val="none"/>
        </w:rPr>
        <w:t>s for our</w:t>
      </w:r>
      <w:r>
        <w:rPr>
          <w:rFonts w:ascii="Arial" w:eastAsia="Arial" w:hAnsi="Arial" w:cs="Arial"/>
          <w:b w:val="0"/>
          <w:i w:val="0"/>
          <w:color w:val="000000"/>
          <w:sz w:val="20"/>
          <w:u w:val="none"/>
        </w:rPr>
        <w:t xml:space="preserve"> acquired </w:t>
      </w:r>
      <w:r>
        <w:rPr>
          <w:rFonts w:ascii="Arial" w:eastAsia="Arial" w:hAnsi="Arial" w:cs="Arial"/>
          <w:b w:val="0"/>
          <w:i w:val="0"/>
          <w:color w:val="000000"/>
          <w:sz w:val="20"/>
          <w:u w:val="none"/>
        </w:rPr>
        <w:t>lega</w:t>
      </w:r>
      <w:r>
        <w:rPr>
          <w:rFonts w:ascii="Arial" w:eastAsia="Arial" w:hAnsi="Arial" w:cs="Arial"/>
          <w:b w:val="0"/>
          <w:i w:val="0"/>
          <w:color w:val="000000"/>
          <w:sz w:val="20"/>
          <w:u w:val="none"/>
        </w:rPr>
        <w:t xml:space="preserve">cy </w:t>
      </w:r>
      <w:r>
        <w:rPr>
          <w:rFonts w:ascii="Arial" w:eastAsia="Arial" w:hAnsi="Arial" w:cs="Arial"/>
          <w:b w:val="0"/>
          <w:i w:val="0"/>
          <w:color w:val="000000"/>
          <w:sz w:val="20"/>
          <w:u w:val="none"/>
        </w:rPr>
        <w:t>business</w:t>
      </w:r>
      <w:r>
        <w:rPr>
          <w:rFonts w:ascii="Arial" w:eastAsia="Arial" w:hAnsi="Arial" w:cs="Arial"/>
          <w:b w:val="0"/>
          <w:i w:val="0"/>
          <w:color w:val="000000"/>
          <w:sz w:val="20"/>
          <w:u w:val="none"/>
        </w:rPr>
        <w:t xml:space="preserve">. </w:t>
      </w:r>
      <w:r>
        <w:rPr>
          <w:rFonts w:ascii="Arial" w:eastAsia="Arial" w:hAnsi="Arial" w:cs="Arial"/>
          <w:b w:val="0"/>
          <w:i w:val="0"/>
          <w:sz w:val="20"/>
        </w:rPr>
        <w:t xml:space="preserve">The Compensation Committee </w:t>
      </w:r>
      <w:r>
        <w:rPr>
          <w:rFonts w:ascii="Arial" w:eastAsia="Arial" w:hAnsi="Arial" w:cs="Arial"/>
          <w:b w:val="0"/>
          <w:i w:val="0"/>
          <w:sz w:val="20"/>
        </w:rPr>
        <w:t xml:space="preserve">also </w:t>
      </w:r>
      <w:r>
        <w:rPr>
          <w:rFonts w:ascii="Arial" w:eastAsia="Arial" w:hAnsi="Arial" w:cs="Arial"/>
          <w:b w:val="0"/>
          <w:i w:val="0"/>
          <w:sz w:val="20"/>
        </w:rPr>
        <w:t>believes that the grant provides strong motivation to deliver long-term results in alignment with shareholder interests.</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685"/>
        <w:gridCol w:w="3585"/>
        <w:gridCol w:w="1995"/>
        <w:gridCol w:w="199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705"/>
        </w:trPr>
        <w:tc>
          <w:tcPr>
            <w:tcW w:w="268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358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Type of Compensation</w:t>
            </w:r>
          </w:p>
          <w:p>
            <w:pPr>
              <w:pageBreakBefore w:val="0"/>
              <w:numPr>
                <w:ilvl w:val="0"/>
                <w:numId w:val="0"/>
              </w:numPr>
              <w:spacing w:before="0" w:after="30" w:line="240" w:lineRule="auto"/>
              <w:ind w:left="0" w:right="0" w:firstLine="0"/>
              <w:jc w:val="left"/>
              <w:outlineLvl w:val="9"/>
              <w:rPr>
                <w:rFonts w:ascii="Arial" w:eastAsia="Arial" w:hAnsi="Arial" w:cs="Arial"/>
                <w:b/>
                <w:i w:val="0"/>
                <w:sz w:val="6"/>
              </w:rPr>
            </w:pPr>
            <w:r>
              <w:rPr>
                <w:rFonts w:ascii="Arial" w:eastAsia="Arial" w:hAnsi="Arial" w:cs="Arial"/>
                <w:b/>
                <w:i w:val="0"/>
                <w:sz w:val="6"/>
              </w:rPr>
              <w:t xml:space="preserve"> </w:t>
            </w:r>
          </w:p>
        </w:tc>
        <w:tc>
          <w:tcPr>
            <w:tcW w:w="199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2023 Amounts</w:t>
            </w:r>
          </w:p>
          <w:p>
            <w:pPr>
              <w:pageBreakBefore w:val="0"/>
              <w:numPr>
                <w:ilvl w:val="0"/>
                <w:numId w:val="0"/>
              </w:numPr>
              <w:spacing w:before="0" w:after="30" w:line="240" w:lineRule="auto"/>
              <w:ind w:left="0" w:right="0" w:firstLine="0"/>
              <w:jc w:val="left"/>
              <w:outlineLvl w:val="9"/>
              <w:rPr>
                <w:rFonts w:ascii="Arial" w:eastAsia="Arial" w:hAnsi="Arial" w:cs="Arial"/>
                <w:b/>
                <w:i w:val="0"/>
                <w:sz w:val="8"/>
              </w:rPr>
            </w:pPr>
            <w:r>
              <w:rPr>
                <w:rFonts w:ascii="Arial" w:eastAsia="Arial" w:hAnsi="Arial" w:cs="Arial"/>
                <w:b/>
                <w:i w:val="0"/>
                <w:sz w:val="8"/>
              </w:rPr>
              <w:t xml:space="preserve"> </w:t>
            </w:r>
          </w:p>
        </w:tc>
        <w:tc>
          <w:tcPr>
            <w:tcW w:w="199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2022 Amounts</w:t>
            </w:r>
          </w:p>
          <w:p>
            <w:pPr>
              <w:pageBreakBefore w:val="0"/>
              <w:numPr>
                <w:ilvl w:val="0"/>
                <w:numId w:val="0"/>
              </w:numPr>
              <w:spacing w:before="0" w:after="30" w:line="240" w:lineRule="auto"/>
              <w:ind w:left="0" w:right="0" w:firstLine="0"/>
              <w:jc w:val="left"/>
              <w:outlineLvl w:val="9"/>
              <w:rPr>
                <w:rFonts w:ascii="Arial" w:eastAsia="Arial" w:hAnsi="Arial" w:cs="Arial"/>
                <w:b/>
                <w:i w:val="0"/>
                <w:sz w:val="8"/>
              </w:rPr>
            </w:pPr>
            <w:r>
              <w:rPr>
                <w:rFonts w:ascii="Arial" w:eastAsia="Arial" w:hAnsi="Arial" w:cs="Arial"/>
                <w:b/>
                <w:i w:val="0"/>
                <w:sz w:val="8"/>
              </w:rPr>
              <w:t xml:space="preserve"> </w:t>
            </w:r>
          </w:p>
        </w:tc>
      </w:tr>
      <w:tr>
        <w:tblPrEx>
          <w:tblW w:w="10260" w:type="dxa"/>
          <w:tblInd w:w="0" w:type="dxa"/>
          <w:tblLayout w:type="fixed"/>
          <w:tblCellMar>
            <w:left w:w="108" w:type="dxa"/>
            <w:right w:w="108" w:type="dxa"/>
          </w:tblCellMar>
        </w:tblPrEx>
        <w:trPr>
          <w:cantSplit/>
          <w:trHeight w:hRule="exact" w:val="315"/>
        </w:trPr>
        <w:tc>
          <w:tcPr>
            <w:tcW w:w="2685" w:type="dxa"/>
            <w:tcBorders>
              <w:top w:val="single" w:sz="12" w:space="0" w:color="4494D1"/>
              <w:left w:val="nil"/>
              <w:bottom w:val="single" w:sz="8" w:space="0" w:color="B6B6B6"/>
              <w:right w:val="nil"/>
            </w:tcBorders>
            <w:tcMar>
              <w:top w:w="0" w:type="dxa"/>
              <w:left w:w="53" w:type="dxa"/>
              <w:bottom w:w="0" w:type="dxa"/>
              <w:right w:w="53"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Base Salary (from April 1, 2023)</w:t>
            </w:r>
          </w:p>
        </w:tc>
        <w:tc>
          <w:tcPr>
            <w:tcW w:w="3585" w:type="dxa"/>
            <w:tcBorders>
              <w:top w:val="single" w:sz="12" w:space="0" w:color="4494D1"/>
              <w:left w:val="nil"/>
              <w:bottom w:val="single" w:sz="8" w:space="0" w:color="B6B6B6"/>
              <w:right w:val="nil"/>
            </w:tcBorders>
            <w:tcMar>
              <w:top w:w="0" w:type="dxa"/>
              <w:left w:w="53" w:type="dxa"/>
              <w:bottom w:w="0" w:type="dxa"/>
              <w:right w:w="53"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Fixed</w:t>
            </w:r>
          </w:p>
        </w:tc>
        <w:tc>
          <w:tcPr>
            <w:tcW w:w="199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$650,000</w:t>
            </w:r>
          </w:p>
        </w:tc>
        <w:tc>
          <w:tcPr>
            <w:tcW w:w="199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$600,000</w:t>
            </w:r>
          </w:p>
        </w:tc>
      </w:tr>
      <w:tr>
        <w:tblPrEx>
          <w:tblW w:w="10260" w:type="dxa"/>
          <w:tblInd w:w="0" w:type="dxa"/>
          <w:tblLayout w:type="fixed"/>
          <w:tblCellMar>
            <w:left w:w="108" w:type="dxa"/>
            <w:right w:w="108" w:type="dxa"/>
          </w:tblCellMar>
        </w:tblPrEx>
        <w:trPr>
          <w:cantSplit/>
          <w:trHeight w:hRule="exact" w:val="540"/>
        </w:trPr>
        <w:tc>
          <w:tcPr>
            <w:tcW w:w="268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numPr>
                <w:ilvl w:val="0"/>
                <w:numId w:val="0"/>
              </w:numPr>
              <w:spacing w:before="0" w:after="6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Annual Cash </w:t>
            </w:r>
          </w:p>
          <w:p>
            <w:pPr>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Incentive Award (Target)</w:t>
            </w:r>
          </w:p>
        </w:tc>
        <w:tc>
          <w:tcPr>
            <w:tcW w:w="358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line="240" w:lineRule="auto"/>
              <w:jc w:val="left"/>
            </w:pPr>
            <w:r>
              <w:rPr>
                <w:rFonts w:ascii="Arial" w:eastAsia="Arial" w:hAnsi="Arial" w:cs="Arial"/>
                <w:b w:val="0"/>
                <w:i w:val="0"/>
                <w:color w:val="000000"/>
                <w:sz w:val="18"/>
                <w:u w:val="none"/>
              </w:rPr>
              <w:t>Performance-Based</w:t>
            </w:r>
          </w:p>
          <w:p>
            <w:pPr>
              <w:spacing w:after="0" w:line="240" w:lineRule="auto"/>
              <w:jc w:val="left"/>
            </w:pP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$812,500</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$750,000</w:t>
            </w:r>
          </w:p>
        </w:tc>
      </w:tr>
      <w:tr>
        <w:tblPrEx>
          <w:tblW w:w="10260" w:type="dxa"/>
          <w:tblInd w:w="0" w:type="dxa"/>
          <w:tblLayout w:type="fixed"/>
          <w:tblCellMar>
            <w:left w:w="108" w:type="dxa"/>
            <w:right w:w="108" w:type="dxa"/>
          </w:tblCellMar>
        </w:tblPrEx>
        <w:trPr>
          <w:cantSplit/>
          <w:trHeight w:hRule="exact" w:val="315"/>
        </w:trPr>
        <w:tc>
          <w:tcPr>
            <w:tcW w:w="2685" w:type="dxa"/>
            <w:vMerge w:val="restart"/>
            <w:tcBorders>
              <w:top w:val="nil"/>
              <w:left w:val="nil"/>
              <w:bottom w:val="nil"/>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Annual Equity Award (Grant Date Fair Value)</w:t>
            </w:r>
          </w:p>
        </w:tc>
        <w:tc>
          <w:tcPr>
            <w:tcW w:w="3585" w:type="dxa"/>
            <w:tcBorders>
              <w:top w:val="single" w:sz="8" w:space="0" w:color="B6B6B6"/>
              <w:left w:val="nil"/>
              <w:bottom w:val="single" w:sz="8" w:space="0" w:color="B6B6B6"/>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Performance-Based (Cliff-Vesting PSUs)</w:t>
            </w:r>
            <w:r>
              <w:rPr>
                <w:rFonts w:ascii="Arial" w:eastAsia="Arial" w:hAnsi="Arial" w:cs="Arial"/>
                <w:b w:val="0"/>
                <w:i w:val="0"/>
                <w:sz w:val="18"/>
                <w:vertAlign w:val="superscript"/>
              </w:rPr>
              <w:t>(1)</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$419,978</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$406,159</w:t>
            </w:r>
          </w:p>
        </w:tc>
      </w:tr>
      <w:tr>
        <w:tblPrEx>
          <w:tblW w:w="10260" w:type="dxa"/>
          <w:tblInd w:w="0" w:type="dxa"/>
          <w:tblLayout w:type="fixed"/>
          <w:tblCellMar>
            <w:left w:w="108" w:type="dxa"/>
            <w:right w:w="108" w:type="dxa"/>
          </w:tblCellMar>
        </w:tblPrEx>
        <w:trPr>
          <w:cantSplit/>
          <w:trHeight w:hRule="exact" w:val="315"/>
        </w:trPr>
        <w:tc>
          <w:tcPr>
            <w:tcW w:w="2685" w:type="dxa"/>
            <w:vMerge/>
            <w:tcBorders>
              <w:top w:val="nil"/>
              <w:left w:val="nil"/>
              <w:bottom w:val="single" w:sz="8" w:space="0" w:color="B6B6B6"/>
              <w:right w:val="nil"/>
            </w:tcBorders>
          </w:tcPr>
          <w:p>
            <w:pPr>
              <w:keepNext/>
              <w:pageBreakBefore w:val="0"/>
            </w:pPr>
          </w:p>
        </w:tc>
        <w:tc>
          <w:tcPr>
            <w:tcW w:w="3585" w:type="dxa"/>
            <w:tcBorders>
              <w:top w:val="single" w:sz="8" w:space="0" w:color="B6B6B6"/>
              <w:left w:val="nil"/>
              <w:bottom w:val="single" w:sz="8" w:space="0" w:color="B6B6B6"/>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At-Risk (Tranche-Vesting RSUs)</w:t>
            </w:r>
            <w:r>
              <w:rPr>
                <w:rFonts w:ascii="Arial" w:eastAsia="Arial" w:hAnsi="Arial" w:cs="Arial"/>
                <w:b w:val="0"/>
                <w:i w:val="0"/>
                <w:sz w:val="18"/>
                <w:vertAlign w:val="superscript"/>
              </w:rPr>
              <w:t>(1)</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$180,022</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$173,994</w:t>
            </w:r>
          </w:p>
        </w:tc>
      </w:tr>
      <w:tr>
        <w:tblPrEx>
          <w:tblW w:w="10260" w:type="dxa"/>
          <w:tblInd w:w="0" w:type="dxa"/>
          <w:tblLayout w:type="fixed"/>
          <w:tblCellMar>
            <w:left w:w="108" w:type="dxa"/>
            <w:right w:w="108" w:type="dxa"/>
          </w:tblCellMar>
        </w:tblPrEx>
        <w:trPr>
          <w:cantSplit/>
          <w:trHeight w:hRule="exact" w:val="615"/>
        </w:trPr>
        <w:tc>
          <w:tcPr>
            <w:tcW w:w="2685" w:type="dxa"/>
            <w:tcBorders>
              <w:top w:val="single" w:sz="8" w:space="0" w:color="B6B6B6"/>
              <w:left w:val="nil"/>
              <w:bottom w:val="single" w:sz="8" w:space="0" w:color="B6B6B6"/>
              <w:right w:val="nil"/>
            </w:tcBorders>
            <w:tcMar>
              <w:top w:w="0" w:type="dxa"/>
              <w:left w:w="53" w:type="dxa"/>
              <w:bottom w:w="0" w:type="dxa"/>
              <w:right w:w="53"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Special Equity Award (Annualized Grant Date Fair Value)</w:t>
            </w:r>
          </w:p>
        </w:tc>
        <w:tc>
          <w:tcPr>
            <w:tcW w:w="3585" w:type="dxa"/>
            <w:tcBorders>
              <w:top w:val="single" w:sz="8" w:space="0" w:color="B6B6B6"/>
              <w:left w:val="nil"/>
              <w:bottom w:val="single" w:sz="8" w:space="0" w:color="B6B6B6"/>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At-Risk (Cliff-Vesting RSUs)</w:t>
            </w:r>
            <w:r>
              <w:rPr>
                <w:rFonts w:ascii="Arial" w:eastAsia="Arial" w:hAnsi="Arial" w:cs="Arial"/>
                <w:b w:val="0"/>
                <w:i w:val="0"/>
                <w:sz w:val="18"/>
                <w:vertAlign w:val="superscript"/>
              </w:rPr>
              <w:t>(2)</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$666,639</w:t>
            </w:r>
          </w:p>
        </w:tc>
        <w:tc>
          <w:tcPr>
            <w:tcW w:w="199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$333,330</w:t>
            </w:r>
          </w:p>
        </w:tc>
      </w:tr>
      <w:tr>
        <w:tblPrEx>
          <w:tblW w:w="10260" w:type="dxa"/>
          <w:tblInd w:w="0" w:type="dxa"/>
          <w:tblLayout w:type="fixed"/>
          <w:tblCellMar>
            <w:left w:w="108" w:type="dxa"/>
            <w:right w:w="108" w:type="dxa"/>
          </w:tblCellMar>
        </w:tblPrEx>
        <w:trPr>
          <w:cantSplit/>
          <w:trHeight w:hRule="exact" w:val="315"/>
        </w:trPr>
        <w:tc>
          <w:tcPr>
            <w:tcW w:w="2685" w:type="dxa"/>
            <w:tcBorders>
              <w:top w:val="single" w:sz="8" w:space="0" w:color="B6B6B6"/>
              <w:left w:val="nil"/>
              <w:bottom w:val="nil"/>
              <w:right w:val="nil"/>
            </w:tcBorders>
            <w:tcMar>
              <w:top w:w="0" w:type="dxa"/>
              <w:left w:w="53" w:type="dxa"/>
              <w:bottom w:w="0" w:type="dxa"/>
              <w:right w:w="53" w:type="dxa"/>
            </w:tcMar>
            <w:vAlign w:val="bottom"/>
          </w:tcPr>
          <w:p>
            <w:pPr>
              <w:pageBreakBefore w:val="0"/>
              <w:spacing w:before="33" w:after="30" w:line="240" w:lineRule="auto"/>
              <w:jc w:val="left"/>
            </w:pPr>
            <w:r>
              <w:rPr>
                <w:rFonts w:ascii="Arial" w:eastAsia="Arial" w:hAnsi="Arial" w:cs="Arial"/>
                <w:b/>
                <w:i w:val="0"/>
                <w:color w:val="000000"/>
                <w:sz w:val="18"/>
                <w:u w:val="none"/>
              </w:rPr>
              <w:t>Annual Compensation Mix</w:t>
            </w:r>
          </w:p>
        </w:tc>
        <w:tc>
          <w:tcPr>
            <w:tcW w:w="3585" w:type="dxa"/>
            <w:tcBorders>
              <w:top w:val="single" w:sz="8" w:space="0" w:color="B6B6B6"/>
              <w:left w:val="nil"/>
              <w:bottom w:val="nil"/>
              <w:right w:val="nil"/>
            </w:tcBorders>
            <w:tcMar>
              <w:top w:w="0" w:type="dxa"/>
              <w:left w:w="0" w:type="dxa"/>
              <w:bottom w:w="0" w:type="dxa"/>
              <w:right w:w="0" w:type="dxa"/>
            </w:tcMar>
            <w:vAlign w:val="bottom"/>
          </w:tcPr>
          <w:p>
            <w:pPr>
              <w:pageBreakBefore w:val="0"/>
              <w:spacing w:before="0" w:after="0"/>
            </w:pPr>
          </w:p>
        </w:tc>
        <w:tc>
          <w:tcPr>
            <w:tcW w:w="1995" w:type="dxa"/>
            <w:tcBorders>
              <w:top w:val="single" w:sz="8" w:space="0" w:color="B6B6B6"/>
              <w:left w:val="nil"/>
              <w:bottom w:val="nil"/>
              <w:right w:val="nil"/>
            </w:tcBorders>
            <w:tcMar>
              <w:top w:w="0" w:type="dxa"/>
              <w:left w:w="53" w:type="dxa"/>
              <w:bottom w:w="0" w:type="dxa"/>
              <w:right w:w="15" w:type="dxa"/>
            </w:tcMar>
            <w:vAlign w:val="bottom"/>
          </w:tcPr>
          <w:p>
            <w:pPr>
              <w:pageBreakBefore w:val="0"/>
              <w:spacing w:before="33" w:after="30" w:line="240" w:lineRule="auto"/>
              <w:jc w:val="left"/>
            </w:pPr>
            <w:r>
              <w:rPr>
                <w:rFonts w:ascii="Arial" w:eastAsia="Arial" w:hAnsi="Arial" w:cs="Arial"/>
                <w:b/>
                <w:i w:val="0"/>
                <w:color w:val="000000"/>
                <w:sz w:val="18"/>
                <w:u w:val="none"/>
              </w:rPr>
              <w:t>$2,729,139</w:t>
            </w:r>
          </w:p>
        </w:tc>
        <w:tc>
          <w:tcPr>
            <w:tcW w:w="1995" w:type="dxa"/>
            <w:tcBorders>
              <w:top w:val="single" w:sz="8" w:space="0" w:color="B6B6B6"/>
              <w:left w:val="nil"/>
              <w:bottom w:val="nil"/>
              <w:right w:val="nil"/>
            </w:tcBorders>
            <w:tcMar>
              <w:top w:w="0" w:type="dxa"/>
              <w:left w:w="53" w:type="dxa"/>
              <w:bottom w:w="0" w:type="dxa"/>
              <w:right w:w="15" w:type="dxa"/>
            </w:tcMar>
            <w:vAlign w:val="bottom"/>
          </w:tcPr>
          <w:p>
            <w:pPr>
              <w:pageBreakBefore w:val="0"/>
              <w:spacing w:before="33" w:after="30" w:line="240" w:lineRule="auto"/>
              <w:jc w:val="left"/>
            </w:pPr>
            <w:r>
              <w:rPr>
                <w:rFonts w:ascii="Arial" w:eastAsia="Arial" w:hAnsi="Arial" w:cs="Arial"/>
                <w:b/>
                <w:i w:val="0"/>
                <w:color w:val="000000"/>
                <w:sz w:val="18"/>
                <w:u w:val="none"/>
              </w:rPr>
              <w:t>$2,263,483</w:t>
            </w:r>
          </w:p>
        </w:tc>
      </w:tr>
    </w:tbl>
    <w:p>
      <w:pPr>
        <w:keepNext w:val="0"/>
        <w:keepLines w:val="0"/>
        <w:pageBreakBefore w:val="0"/>
        <w:widowControl/>
        <w:numPr>
          <w:ilvl w:val="0"/>
          <w:numId w:val="0"/>
        </w:numPr>
        <w:spacing w:before="120" w:after="60" w:line="288" w:lineRule="auto"/>
        <w:ind w:left="360" w:right="0" w:hanging="360"/>
        <w:jc w:val="left"/>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(1) </w:t>
      </w:r>
      <w:r>
        <w:rPr>
          <w:rFonts w:ascii="Arial" w:eastAsia="Arial" w:hAnsi="Arial" w:cs="Arial"/>
          <w:b w:val="0"/>
          <w:i w:val="0"/>
          <w:color w:val="969698"/>
          <w:sz w:val="16"/>
          <w:u w:val="none"/>
        </w:rPr>
        <w:tab/>
      </w:r>
      <w:r>
        <w:rPr>
          <w:rFonts w:ascii="Arial" w:eastAsia="Arial" w:hAnsi="Arial" w:cs="Arial"/>
          <w:b w:val="0"/>
          <w:i w:val="0"/>
          <w:color w:val="969698"/>
          <w:sz w:val="16"/>
          <w:u w:val="none"/>
        </w:rPr>
        <w:t xml:space="preserve">Mr. </w:t>
      </w:r>
      <w:r>
        <w:rPr>
          <w:rFonts w:ascii="Arial" w:eastAsia="Arial" w:hAnsi="Arial" w:cs="Arial"/>
          <w:b w:val="0"/>
          <w:i w:val="0"/>
          <w:color w:val="969698"/>
          <w:sz w:val="16"/>
          <w:u w:val="none"/>
        </w:rPr>
        <w:t>Alobaidat</w:t>
      </w:r>
      <w:r>
        <w:rPr>
          <w:rFonts w:ascii="Arial" w:eastAsia="Arial" w:hAnsi="Arial" w:cs="Arial"/>
          <w:b w:val="0"/>
          <w:i w:val="0"/>
          <w:color w:val="969698"/>
          <w:sz w:val="16"/>
          <w:u w:val="none"/>
        </w:rPr>
        <w:t xml:space="preserve"> was awarded a target am</w:t>
      </w:r>
      <w:r>
        <w:rPr>
          <w:rFonts w:ascii="Arial" w:eastAsia="Arial" w:hAnsi="Arial" w:cs="Arial"/>
          <w:b w:val="0"/>
          <w:i w:val="0"/>
          <w:color w:val="929292"/>
          <w:sz w:val="16"/>
          <w:u w:val="none"/>
        </w:rPr>
        <w:t>oun</w:t>
      </w:r>
      <w:r>
        <w:rPr>
          <w:rFonts w:ascii="Arial" w:eastAsia="Arial" w:hAnsi="Arial" w:cs="Arial"/>
          <w:b w:val="0"/>
          <w:i w:val="0"/>
          <w:color w:val="929292"/>
          <w:sz w:val="16"/>
          <w:u w:val="none"/>
        </w:rPr>
        <w:t xml:space="preserve">t of </w:t>
      </w:r>
      <w:r>
        <w:rPr>
          <w:rFonts w:ascii="Arial" w:eastAsia="Arial" w:hAnsi="Arial" w:cs="Arial"/>
          <w:b w:val="0"/>
          <w:i w:val="0"/>
          <w:color w:val="929292"/>
          <w:sz w:val="16"/>
          <w:u w:val="none"/>
        </w:rPr>
        <w:t>1,885</w:t>
      </w:r>
      <w:r>
        <w:rPr>
          <w:rFonts w:ascii="Arial" w:eastAsia="Arial" w:hAnsi="Arial" w:cs="Arial"/>
          <w:b w:val="0"/>
          <w:i w:val="0"/>
          <w:color w:val="929292"/>
          <w:sz w:val="16"/>
          <w:u w:val="none"/>
        </w:rPr>
        <w:t xml:space="preserve"> PSUs, and </w:t>
      </w:r>
      <w:r>
        <w:rPr>
          <w:rFonts w:ascii="Arial" w:eastAsia="Arial" w:hAnsi="Arial" w:cs="Arial"/>
          <w:b w:val="0"/>
          <w:i w:val="0"/>
          <w:color w:val="929292"/>
          <w:sz w:val="16"/>
          <w:u w:val="none"/>
        </w:rPr>
        <w:t>808</w:t>
      </w:r>
      <w:r>
        <w:rPr>
          <w:rFonts w:ascii="Arial" w:eastAsia="Arial" w:hAnsi="Arial" w:cs="Arial"/>
          <w:b w:val="0"/>
          <w:i w:val="0"/>
          <w:color w:val="929292"/>
          <w:sz w:val="16"/>
          <w:u w:val="none"/>
        </w:rPr>
        <w:t xml:space="preserve"> RSUs on March 1, 2023 with the terms and conditions described in the section above entitled "Long-Term Incentive Compensation."</w:t>
      </w: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shd w:val="clear" w:color="auto" w:fill="00FF00"/>
        </w:rPr>
      </w:pP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2) </w:t>
      </w:r>
      <w:r>
        <w:rPr>
          <w:rFonts w:ascii="Arial" w:eastAsia="Arial" w:hAnsi="Arial" w:cs="Arial"/>
          <w:b w:val="0"/>
          <w:i w:val="0"/>
          <w:color w:val="969698"/>
          <w:sz w:val="16"/>
          <w:u w:val="none"/>
        </w:rPr>
        <w:tab/>
      </w:r>
      <w:r>
        <w:rPr>
          <w:rFonts w:ascii="Arial" w:eastAsia="Arial" w:hAnsi="Arial" w:cs="Arial"/>
          <w:b w:val="0"/>
          <w:i w:val="0"/>
          <w:color w:val="969698"/>
          <w:sz w:val="16"/>
          <w:u w:val="none"/>
        </w:rPr>
        <w:t xml:space="preserve">Special equity awards comprise RSUs that cliff-vest on the third anniversary of the grant date. </w:t>
      </w:r>
      <w:r>
        <w:rPr>
          <w:rFonts w:ascii="Arial" w:eastAsia="Arial" w:hAnsi="Arial" w:cs="Arial"/>
          <w:b w:val="0"/>
          <w:i w:val="0"/>
          <w:color w:val="969698"/>
          <w:sz w:val="16"/>
          <w:u w:val="none"/>
        </w:rPr>
        <w:t xml:space="preserve">For Mr. Alobaidat, the Special Equity Award </w:t>
      </w:r>
      <w:r>
        <w:rPr>
          <w:rFonts w:ascii="Arial" w:eastAsia="Arial" w:hAnsi="Arial" w:cs="Arial"/>
          <w:b w:val="0"/>
          <w:i w:val="0"/>
          <w:color w:val="969698"/>
          <w:sz w:val="16"/>
          <w:u w:val="none"/>
        </w:rPr>
        <w:t>r</w:t>
      </w:r>
      <w:r>
        <w:rPr>
          <w:rFonts w:ascii="Arial" w:eastAsia="Arial" w:hAnsi="Arial" w:cs="Arial"/>
          <w:b w:val="0"/>
          <w:i w:val="0"/>
          <w:color w:val="969698"/>
          <w:sz w:val="16"/>
          <w:u w:val="none"/>
        </w:rPr>
        <w:t xml:space="preserve">ow includes (i) </w:t>
      </w:r>
      <w:r>
        <w:rPr>
          <w:rFonts w:ascii="Arial" w:eastAsia="Arial" w:hAnsi="Arial" w:cs="Arial"/>
          <w:b w:val="0"/>
          <w:i w:val="0"/>
          <w:color w:val="969698"/>
          <w:sz w:val="16"/>
          <w:u w:val="none"/>
        </w:rPr>
        <w:t>4,003</w:t>
      </w:r>
      <w:r>
        <w:rPr>
          <w:rFonts w:ascii="Arial" w:eastAsia="Arial" w:hAnsi="Arial" w:cs="Arial"/>
          <w:b w:val="0"/>
          <w:i w:val="0"/>
          <w:color w:val="969698"/>
          <w:sz w:val="16"/>
          <w:u w:val="none"/>
        </w:rPr>
        <w:t xml:space="preserve"> RSUs, granted on March 30, 2021, which vest in a lump sump on March 30, 2024 and (ii) </w:t>
      </w:r>
      <w:r>
        <w:rPr>
          <w:rFonts w:ascii="Arial" w:eastAsia="Arial" w:hAnsi="Arial" w:cs="Arial"/>
          <w:b w:val="0"/>
          <w:i w:val="0"/>
          <w:color w:val="969698"/>
          <w:sz w:val="16"/>
          <w:u w:val="none"/>
        </w:rPr>
        <w:t>4,488</w:t>
      </w:r>
      <w:r>
        <w:rPr>
          <w:rFonts w:ascii="Arial" w:eastAsia="Arial" w:hAnsi="Arial" w:cs="Arial"/>
          <w:b w:val="0"/>
          <w:i w:val="0"/>
          <w:color w:val="969698"/>
          <w:sz w:val="16"/>
          <w:u w:val="none"/>
        </w:rPr>
        <w:t xml:space="preserve"> RSUs, granted on March 20, 2023, which vest in a lump sum on March 20, 2026.</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Amounts shown in the table in respect of these awards are annualized by dividing the grant date fair value of each award by three and including such amount in the year of grant and the two subsequent years. </w:t>
      </w:r>
      <w:r>
        <w:rPr>
          <w:rFonts w:ascii="Arial" w:eastAsia="Arial" w:hAnsi="Arial" w:cs="Arial"/>
          <w:b w:val="0"/>
          <w:i w:val="0"/>
          <w:color w:val="969698"/>
          <w:sz w:val="16"/>
          <w:u w:val="none"/>
        </w:rPr>
        <w:t xml:space="preserve"> </w:t>
      </w: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i w:val="0"/>
          <w:color w:val="4494D1"/>
          <w:sz w:val="20"/>
          <w:u w:val="none"/>
        </w:rPr>
      </w:pPr>
      <w:r>
        <w:rPr>
          <w:rFonts w:ascii="Arial" w:eastAsia="Arial" w:hAnsi="Arial" w:cs="Arial"/>
          <w:b/>
          <w:i w:val="0"/>
          <w:color w:val="4494D1"/>
          <w:sz w:val="20"/>
          <w:u w:val="none"/>
        </w:rPr>
        <w:t>2023 Annual Cash Incentiv</w:t>
      </w:r>
      <w:r>
        <w:rPr>
          <w:rFonts w:ascii="Arial" w:eastAsia="Arial" w:hAnsi="Arial" w:cs="Arial"/>
          <w:b/>
          <w:i w:val="0"/>
          <w:color w:val="4494D1"/>
          <w:sz w:val="20"/>
          <w:u w:val="none"/>
        </w:rPr>
        <w:t>e</w:t>
      </w:r>
      <w:r>
        <w:rPr>
          <w:rFonts w:ascii="Arial" w:eastAsia="Arial" w:hAnsi="Arial" w:cs="Arial"/>
          <w:b/>
          <w:i w:val="0"/>
          <w:color w:val="4494D1"/>
          <w:sz w:val="20"/>
          <w:u w:val="none"/>
        </w:rPr>
        <w:t xml:space="preserve"> Award</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969698"/>
          <w:sz w:val="20"/>
          <w:u w:val="none"/>
        </w:rPr>
      </w:pPr>
      <w:r>
        <w:rPr>
          <w:rFonts w:ascii="Arial" w:eastAsia="Arial" w:hAnsi="Arial" w:cs="Arial"/>
          <w:b w:val="0"/>
          <w:i w:val="0"/>
          <w:sz w:val="20"/>
        </w:rPr>
        <w:t xml:space="preserve">Mr. </w:t>
      </w:r>
      <w:r>
        <w:rPr>
          <w:rFonts w:ascii="Arial" w:eastAsia="Arial" w:hAnsi="Arial" w:cs="Arial"/>
          <w:b w:val="0"/>
          <w:i w:val="0"/>
          <w:sz w:val="20"/>
        </w:rPr>
        <w:t>Alobaidat</w:t>
      </w:r>
      <w:r>
        <w:rPr>
          <w:rFonts w:ascii="Arial" w:eastAsia="Arial" w:hAnsi="Arial" w:cs="Arial"/>
          <w:b w:val="0"/>
          <w:i w:val="0"/>
          <w:sz w:val="20"/>
        </w:rPr>
        <w:t xml:space="preserve"> earned an annual incentive payment</w:t>
      </w:r>
      <w:r>
        <w:rPr>
          <w:rFonts w:ascii="Arial" w:eastAsia="Arial" w:hAnsi="Arial" w:cs="Arial"/>
          <w:b w:val="0"/>
          <w:i w:val="0"/>
          <w:sz w:val="20"/>
        </w:rPr>
        <w:t xml:space="preserve"> of </w:t>
      </w:r>
      <w:r>
        <w:rPr>
          <w:rFonts w:ascii="Arial" w:eastAsia="Arial" w:hAnsi="Arial" w:cs="Arial"/>
          <w:b w:val="0"/>
          <w:i w:val="0"/>
          <w:color w:val="000000"/>
          <w:sz w:val="20"/>
          <w:u w:val="none"/>
        </w:rPr>
        <w:t>$818,166</w:t>
      </w:r>
      <w:r>
        <w:rPr>
          <w:rFonts w:ascii="Arial" w:eastAsia="Arial" w:hAnsi="Arial" w:cs="Arial"/>
          <w:b w:val="0"/>
          <w:i w:val="0"/>
          <w:sz w:val="20"/>
        </w:rPr>
        <w:t xml:space="preserve">, or </w:t>
      </w:r>
      <w:r>
        <w:rPr>
          <w:rFonts w:ascii="Arial" w:eastAsia="Arial" w:hAnsi="Arial" w:cs="Arial"/>
          <w:b w:val="0"/>
          <w:i w:val="0"/>
          <w:color w:val="000000"/>
          <w:sz w:val="20"/>
          <w:u w:val="none"/>
        </w:rPr>
        <w:t>101%</w:t>
      </w:r>
      <w:r>
        <w:rPr>
          <w:rFonts w:ascii="Arial" w:eastAsia="Arial" w:hAnsi="Arial" w:cs="Arial"/>
          <w:b w:val="0"/>
          <w:i w:val="0"/>
          <w:sz w:val="20"/>
        </w:rPr>
        <w:t xml:space="preserve"> of target, based on the final achievement of the Company's financial performance, corporate obj</w:t>
      </w:r>
      <w:r>
        <w:rPr>
          <w:rFonts w:ascii="Arial" w:eastAsia="Arial" w:hAnsi="Arial" w:cs="Arial"/>
          <w:b w:val="0"/>
          <w:i w:val="0"/>
          <w:sz w:val="20"/>
        </w:rPr>
        <w:t xml:space="preserve">ectives, and his pre-established </w:t>
      </w:r>
      <w:r>
        <w:rPr>
          <w:rFonts w:ascii="Arial" w:eastAsia="Arial" w:hAnsi="Arial" w:cs="Arial"/>
          <w:b w:val="0"/>
          <w:i w:val="0"/>
          <w:sz w:val="20"/>
        </w:rPr>
        <w:t xml:space="preserve">individual </w:t>
      </w:r>
      <w:r>
        <w:rPr>
          <w:rFonts w:ascii="Arial" w:eastAsia="Arial" w:hAnsi="Arial" w:cs="Arial"/>
          <w:b w:val="0"/>
          <w:i w:val="0"/>
          <w:sz w:val="20"/>
        </w:rPr>
        <w:t>performance goals, as described below.</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055"/>
        <w:gridCol w:w="3240"/>
        <w:gridCol w:w="1485"/>
        <w:gridCol w:w="1665"/>
        <w:gridCol w:w="181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720"/>
        </w:trPr>
        <w:tc>
          <w:tcPr>
            <w:tcW w:w="205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i w:val="0"/>
                <w:sz w:val="18"/>
              </w:rPr>
            </w:pPr>
            <w:r>
              <w:rPr>
                <w:rFonts w:ascii="Arial" w:eastAsia="Arial" w:hAnsi="Arial" w:cs="Arial"/>
                <w:b/>
                <w:i w:val="0"/>
                <w:sz w:val="18"/>
              </w:rPr>
              <w:t>Bonus Component</w:t>
            </w:r>
            <w:r>
              <w:rPr>
                <w:rFonts w:ascii="Arial" w:eastAsia="Arial" w:hAnsi="Arial" w:cs="Arial"/>
                <w:b/>
                <w:i w:val="0"/>
                <w:sz w:val="18"/>
                <w:vertAlign w:val="superscript"/>
              </w:rPr>
              <w:t>(1)</w:t>
            </w:r>
          </w:p>
        </w:tc>
        <w:tc>
          <w:tcPr>
            <w:tcW w:w="3240"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Performance Criteria</w:t>
            </w:r>
          </w:p>
        </w:tc>
        <w:tc>
          <w:tcPr>
            <w:tcW w:w="148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Component Weighting</w:t>
            </w:r>
          </w:p>
        </w:tc>
        <w:tc>
          <w:tcPr>
            <w:tcW w:w="166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Actual Payout as a Percent of Target</w:t>
            </w:r>
          </w:p>
        </w:tc>
        <w:tc>
          <w:tcPr>
            <w:tcW w:w="181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Award Payout</w:t>
            </w:r>
          </w:p>
        </w:tc>
      </w:tr>
      <w:tr>
        <w:tblPrEx>
          <w:tblW w:w="10260" w:type="dxa"/>
          <w:tblInd w:w="0" w:type="dxa"/>
          <w:tblLayout w:type="fixed"/>
          <w:tblCellMar>
            <w:left w:w="108" w:type="dxa"/>
            <w:right w:w="108" w:type="dxa"/>
          </w:tblCellMar>
        </w:tblPrEx>
        <w:trPr>
          <w:cantSplit/>
          <w:trHeight w:hRule="exact" w:val="345"/>
        </w:trPr>
        <w:tc>
          <w:tcPr>
            <w:tcW w:w="2055" w:type="dxa"/>
            <w:tcBorders>
              <w:top w:val="single" w:sz="12" w:space="0" w:color="4494D1"/>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Financial Component</w:t>
            </w:r>
          </w:p>
        </w:tc>
        <w:tc>
          <w:tcPr>
            <w:tcW w:w="3240" w:type="dxa"/>
            <w:tcBorders>
              <w:top w:val="single" w:sz="12" w:space="0" w:color="4494D1"/>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Adjusted ROE</w:t>
            </w:r>
          </w:p>
        </w:tc>
        <w:tc>
          <w:tcPr>
            <w:tcW w:w="1485" w:type="dxa"/>
            <w:tcBorders>
              <w:top w:val="single" w:sz="12" w:space="0" w:color="4494D1"/>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20%</w:t>
            </w:r>
          </w:p>
        </w:tc>
        <w:tc>
          <w:tcPr>
            <w:tcW w:w="166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106.5%</w:t>
            </w:r>
          </w:p>
        </w:tc>
        <w:tc>
          <w:tcPr>
            <w:tcW w:w="1815" w:type="dxa"/>
            <w:tcBorders>
              <w:top w:val="single" w:sz="12" w:space="0" w:color="4494D1"/>
              <w:left w:val="nil"/>
              <w:bottom w:val="single" w:sz="8" w:space="0" w:color="B6B6B6"/>
              <w:right w:val="nil"/>
            </w:tcBorders>
            <w:tcMar>
              <w:top w:w="0" w:type="dxa"/>
              <w:left w:w="53" w:type="dxa"/>
              <w:bottom w:w="0" w:type="dxa"/>
              <w:right w:w="15" w:type="dxa"/>
            </w:tcMar>
            <w:vAlign w:val="bottom"/>
          </w:tcPr>
          <w:p>
            <w:pPr>
              <w:keepNext/>
              <w:pageBreakBefore w:val="0"/>
              <w:spacing w:before="23" w:after="30" w:line="240" w:lineRule="auto"/>
              <w:jc w:val="left"/>
            </w:pPr>
            <w:r>
              <w:rPr>
                <w:rFonts w:ascii="Arial" w:eastAsia="Arial" w:hAnsi="Arial" w:cs="Arial"/>
                <w:b w:val="0"/>
                <w:i w:val="0"/>
                <w:color w:val="000000"/>
                <w:sz w:val="18"/>
                <w:u w:val="none"/>
              </w:rPr>
              <w:t>$173,041</w:t>
            </w:r>
          </w:p>
        </w:tc>
      </w:tr>
      <w:tr>
        <w:tblPrEx>
          <w:tblW w:w="10260" w:type="dxa"/>
          <w:tblInd w:w="0" w:type="dxa"/>
          <w:tblLayout w:type="fixed"/>
          <w:tblCellMar>
            <w:left w:w="108" w:type="dxa"/>
            <w:right w:w="108" w:type="dxa"/>
          </w:tblCellMar>
        </w:tblPrEx>
        <w:trPr>
          <w:cantSplit/>
          <w:trHeight w:hRule="exact" w:val="315"/>
        </w:trPr>
        <w:tc>
          <w:tcPr>
            <w:tcW w:w="205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Corporate Component</w:t>
            </w:r>
          </w:p>
        </w:tc>
        <w:tc>
          <w:tcPr>
            <w:tcW w:w="3240"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As set out on pg. </w:t>
            </w:r>
            <w:r>
              <w:rPr>
                <w:rFonts w:ascii="Arial" w:eastAsia="Arial" w:hAnsi="Arial" w:cs="Arial"/>
                <w:b w:val="0"/>
                <w:i w:val="0"/>
                <w:color w:val="0000FF"/>
                <w:sz w:val="18"/>
                <w:u w:val="single"/>
              </w:rPr>
              <w:fldChar w:fldCharType="begin"/>
            </w:r>
            <w:r>
              <w:rPr>
                <w:rFonts w:ascii="Arial" w:eastAsia="Arial" w:hAnsi="Arial" w:cs="Arial"/>
                <w:b w:val="0"/>
                <w:i w:val="0"/>
                <w:color w:val="0000FF"/>
                <w:sz w:val="18"/>
                <w:u w:val="single"/>
              </w:rPr>
              <w:instrText xml:space="preserve"> PAGEREF </w:instrText>
            </w:r>
            <w:r>
              <w:rPr>
                <w:rFonts w:ascii="Arial" w:eastAsia="Arial" w:hAnsi="Arial" w:cs="Arial"/>
                <w:b w:val="0"/>
                <w:i w:val="0"/>
                <w:color w:val="0000FF"/>
                <w:sz w:val="18"/>
                <w:u w:val="single"/>
              </w:rPr>
              <w:instrText xml:space="preserve"> </w:instrText>
            </w:r>
            <w:r>
              <w:rPr>
                <w:rFonts w:ascii="Arial" w:eastAsia="Arial" w:hAnsi="Arial" w:cs="Arial"/>
                <w:b w:val="0"/>
                <w:i w:val="0"/>
                <w:color w:val="0000FF"/>
                <w:sz w:val="18"/>
                <w:u w:val="single"/>
              </w:rPr>
              <w:instrText>Section82</w:instrText>
            </w:r>
            <w:r>
              <w:rPr>
                <w:rFonts w:ascii="Arial" w:eastAsia="Arial" w:hAnsi="Arial" w:cs="Arial"/>
                <w:b w:val="0"/>
                <w:i w:val="0"/>
                <w:color w:val="0000FF"/>
                <w:sz w:val="18"/>
                <w:u w:val="single"/>
              </w:rPr>
              <w:instrText xml:space="preserve"> \h</w:instrText>
            </w:r>
            <w:r>
              <w:rPr>
                <w:rFonts w:ascii="Arial" w:eastAsia="Arial" w:hAnsi="Arial" w:cs="Arial"/>
                <w:b w:val="0"/>
                <w:i w:val="0"/>
                <w:color w:val="0000FF"/>
                <w:sz w:val="18"/>
                <w:u w:val="single"/>
              </w:rPr>
              <w:fldChar w:fldCharType="separate"/>
            </w:r>
            <w:r>
              <w:rPr>
                <w:rFonts w:ascii="Arial" w:eastAsia="Arial" w:hAnsi="Arial" w:cs="Arial"/>
                <w:b w:val="0"/>
                <w:i w:val="0"/>
                <w:color w:val="0000FF"/>
                <w:sz w:val="18"/>
                <w:u w:val="single"/>
              </w:rPr>
              <w:t>53</w:t>
            </w:r>
            <w:r>
              <w:rPr>
                <w:rFonts w:ascii="Arial" w:eastAsia="Arial" w:hAnsi="Arial" w:cs="Arial"/>
                <w:b w:val="0"/>
                <w:i w:val="0"/>
                <w:color w:val="0000FF"/>
                <w:sz w:val="18"/>
                <w:u w:val="single"/>
              </w:rPr>
              <w:fldChar w:fldCharType="end"/>
            </w:r>
          </w:p>
        </w:tc>
        <w:tc>
          <w:tcPr>
            <w:tcW w:w="148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50%</w:t>
            </w:r>
          </w:p>
        </w:tc>
        <w:tc>
          <w:tcPr>
            <w:tcW w:w="166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100.0%</w:t>
            </w:r>
          </w:p>
        </w:tc>
        <w:tc>
          <w:tcPr>
            <w:tcW w:w="181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$406,250</w:t>
            </w:r>
          </w:p>
        </w:tc>
      </w:tr>
      <w:tr>
        <w:tblPrEx>
          <w:tblW w:w="10260" w:type="dxa"/>
          <w:tblInd w:w="0" w:type="dxa"/>
          <w:tblLayout w:type="fixed"/>
          <w:tblCellMar>
            <w:left w:w="108" w:type="dxa"/>
            <w:right w:w="108" w:type="dxa"/>
          </w:tblCellMar>
        </w:tblPrEx>
        <w:trPr>
          <w:cantSplit/>
          <w:trHeight w:hRule="exact" w:val="360"/>
        </w:trPr>
        <w:tc>
          <w:tcPr>
            <w:tcW w:w="205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Individual Component</w:t>
            </w:r>
          </w:p>
        </w:tc>
        <w:tc>
          <w:tcPr>
            <w:tcW w:w="3240"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Individual goals detailed below</w:t>
            </w:r>
          </w:p>
        </w:tc>
        <w:tc>
          <w:tcPr>
            <w:tcW w:w="148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30%</w:t>
            </w:r>
          </w:p>
        </w:tc>
        <w:tc>
          <w:tcPr>
            <w:tcW w:w="166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98.0%</w:t>
            </w:r>
          </w:p>
        </w:tc>
        <w:tc>
          <w:tcPr>
            <w:tcW w:w="1815" w:type="dxa"/>
            <w:tcBorders>
              <w:top w:val="single" w:sz="8" w:space="0" w:color="B6B6B6"/>
              <w:left w:val="nil"/>
              <w:bottom w:val="single" w:sz="8" w:space="0" w:color="B6B6B6"/>
              <w:right w:val="nil"/>
            </w:tcBorders>
            <w:tcMar>
              <w:top w:w="0" w:type="dxa"/>
              <w:left w:w="53" w:type="dxa"/>
              <w:bottom w:w="0" w:type="dxa"/>
              <w:right w:w="15" w:type="dxa"/>
            </w:tcMar>
            <w:vAlign w:val="bottom"/>
          </w:tcPr>
          <w:p>
            <w:pPr>
              <w:keepNext/>
              <w:pageBreakBefore w:val="0"/>
              <w:spacing w:before="33" w:after="30" w:line="240" w:lineRule="auto"/>
              <w:jc w:val="left"/>
            </w:pPr>
            <w:r>
              <w:rPr>
                <w:rFonts w:ascii="Arial" w:eastAsia="Arial" w:hAnsi="Arial" w:cs="Arial"/>
                <w:b w:val="0"/>
                <w:i w:val="0"/>
                <w:color w:val="000000"/>
                <w:sz w:val="18"/>
                <w:u w:val="none"/>
              </w:rPr>
              <w:t>$238,875</w:t>
            </w:r>
          </w:p>
        </w:tc>
      </w:tr>
      <w:tr>
        <w:tblPrEx>
          <w:tblW w:w="10260" w:type="dxa"/>
          <w:tblInd w:w="0" w:type="dxa"/>
          <w:tblLayout w:type="fixed"/>
          <w:tblCellMar>
            <w:left w:w="108" w:type="dxa"/>
            <w:right w:w="108" w:type="dxa"/>
          </w:tblCellMar>
        </w:tblPrEx>
        <w:trPr>
          <w:cantSplit/>
          <w:trHeight w:hRule="exact" w:val="360"/>
        </w:trPr>
        <w:tc>
          <w:tcPr>
            <w:tcW w:w="205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Committee Discretion</w:t>
            </w:r>
          </w:p>
        </w:tc>
        <w:tc>
          <w:tcPr>
            <w:tcW w:w="3240"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No discretion applied</w:t>
            </w:r>
          </w:p>
        </w:tc>
        <w:tc>
          <w:tcPr>
            <w:tcW w:w="148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N/A</w:t>
            </w:r>
          </w:p>
        </w:tc>
        <w:tc>
          <w:tcPr>
            <w:tcW w:w="166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N/A</w:t>
            </w:r>
          </w:p>
        </w:tc>
        <w:tc>
          <w:tcPr>
            <w:tcW w:w="1815"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w:t>
            </w:r>
          </w:p>
        </w:tc>
      </w:tr>
      <w:tr>
        <w:tblPrEx>
          <w:tblW w:w="10260" w:type="dxa"/>
          <w:tblInd w:w="0" w:type="dxa"/>
          <w:tblLayout w:type="fixed"/>
          <w:tblCellMar>
            <w:left w:w="108" w:type="dxa"/>
            <w:right w:w="108" w:type="dxa"/>
          </w:tblCellMar>
        </w:tblPrEx>
        <w:trPr>
          <w:cantSplit/>
          <w:trHeight w:hRule="exact" w:val="345"/>
        </w:trPr>
        <w:tc>
          <w:tcPr>
            <w:tcW w:w="2055" w:type="dxa"/>
            <w:tcBorders>
              <w:top w:val="single" w:sz="8" w:space="0" w:color="B6B6B6"/>
              <w:left w:val="nil"/>
              <w:bottom w:val="nil"/>
              <w:right w:val="nil"/>
            </w:tcBorders>
            <w:tcMar>
              <w:top w:w="0" w:type="dxa"/>
              <w:left w:w="53" w:type="dxa"/>
              <w:bottom w:w="0" w:type="dxa"/>
              <w:right w:w="53" w:type="dxa"/>
            </w:tcMar>
            <w:vAlign w:val="center"/>
          </w:tcPr>
          <w:p>
            <w:pPr>
              <w:pageBreakBefore w:val="0"/>
              <w:spacing w:before="0" w:after="0" w:line="240" w:lineRule="auto"/>
              <w:jc w:val="left"/>
            </w:pPr>
            <w:r>
              <w:rPr>
                <w:rFonts w:ascii="Arial" w:eastAsia="Arial" w:hAnsi="Arial" w:cs="Arial"/>
                <w:b/>
                <w:i w:val="0"/>
                <w:color w:val="000000"/>
                <w:sz w:val="18"/>
                <w:u w:val="none"/>
              </w:rPr>
              <w:t>Total</w:t>
            </w:r>
          </w:p>
        </w:tc>
        <w:tc>
          <w:tcPr>
            <w:tcW w:w="3240"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p>
        </w:tc>
        <w:tc>
          <w:tcPr>
            <w:tcW w:w="1485"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100%</w:t>
            </w:r>
          </w:p>
        </w:tc>
        <w:tc>
          <w:tcPr>
            <w:tcW w:w="1665"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101%</w:t>
            </w:r>
          </w:p>
        </w:tc>
        <w:tc>
          <w:tcPr>
            <w:tcW w:w="1815"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$818,166</w:t>
            </w:r>
          </w:p>
        </w:tc>
      </w:tr>
    </w:tbl>
    <w:p>
      <w:pPr>
        <w:keepNext w:val="0"/>
        <w:keepLines w:val="0"/>
        <w:pageBreakBefore w:val="0"/>
        <w:widowControl/>
        <w:numPr>
          <w:ilvl w:val="0"/>
          <w:numId w:val="0"/>
        </w:numPr>
        <w:spacing w:before="120" w:after="60" w:line="288" w:lineRule="auto"/>
        <w:ind w:left="360" w:right="0" w:hanging="360"/>
        <w:jc w:val="left"/>
        <w:outlineLvl w:val="9"/>
        <w:rPr>
          <w:rFonts w:ascii="Arial" w:eastAsia="Arial" w:hAnsi="Arial" w:cs="Arial"/>
          <w:b w:val="0"/>
          <w:i w:val="0"/>
          <w:color w:val="969698"/>
          <w:sz w:val="16"/>
          <w:u w:val="none"/>
        </w:rPr>
      </w:pPr>
      <w:r>
        <w:rPr>
          <w:rFonts w:ascii="Times New Roman" w:eastAsia="Times New Roman" w:hAnsi="Times New Roman" w:cs="Times New Roman"/>
          <w:b w:val="0"/>
          <w:i w:val="0"/>
          <w:color w:val="FF0090"/>
          <w:sz w:val="12"/>
          <w:u w:val="none"/>
        </w:rPr>
        <w:t xml:space="preserve"> </w:t>
      </w:r>
      <w:r>
        <w:rPr>
          <w:rFonts w:ascii="Times New Roman" w:eastAsia="Times New Roman" w:hAnsi="Times New Roman" w:cs="Times New Roman"/>
          <w:b w:val="0"/>
          <w:i w:val="0"/>
          <w:color w:val="FF0090"/>
          <w:sz w:val="12"/>
          <w:u w:val="none"/>
        </w:rPr>
        <w:t xml:space="preserve"> </w:t>
      </w:r>
      <w:r>
        <w:rPr>
          <w:rFonts w:ascii="Arial" w:eastAsia="Arial" w:hAnsi="Arial" w:cs="Arial"/>
          <w:b w:val="0"/>
          <w:i w:val="0"/>
          <w:color w:val="969698"/>
          <w:sz w:val="16"/>
          <w:u w:val="none"/>
        </w:rPr>
        <w:t xml:space="preserve">(1) </w:t>
      </w:r>
      <w:r>
        <w:rPr>
          <w:rFonts w:ascii="Arial" w:eastAsia="Arial" w:hAnsi="Arial" w:cs="Arial"/>
          <w:b w:val="0"/>
          <w:i w:val="0"/>
          <w:color w:val="969698"/>
          <w:sz w:val="16"/>
          <w:u w:val="none"/>
        </w:rPr>
        <w:tab/>
      </w:r>
      <w:r>
        <w:rPr>
          <w:rFonts w:ascii="Arial" w:eastAsia="Arial" w:hAnsi="Arial" w:cs="Arial"/>
          <w:b w:val="0"/>
          <w:i w:val="0"/>
          <w:color w:val="969698"/>
          <w:sz w:val="16"/>
          <w:u w:val="none"/>
        </w:rPr>
        <w:t>The financial and corporate component multipliers vary by executive as they are each entitled to earn different percentages of their base salary as a bonus depending on the Company’s financial and corporate component achievement. Therefore, the same levels of financial and corporate component achievement translates into slightly different percentages of earned target bonus award opportunity for each executive.</w:t>
      </w: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rPr>
      </w:pP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325"/>
        <w:gridCol w:w="1035"/>
        <w:gridCol w:w="1275"/>
        <w:gridCol w:w="562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525"/>
        </w:trPr>
        <w:tc>
          <w:tcPr>
            <w:tcW w:w="232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Individual Performance Objective</w:t>
            </w:r>
          </w:p>
          <w:p>
            <w:pPr>
              <w:pageBreakBefore w:val="0"/>
              <w:numPr>
                <w:ilvl w:val="0"/>
                <w:numId w:val="0"/>
              </w:numPr>
              <w:spacing w:before="0" w:after="30" w:line="240" w:lineRule="auto"/>
              <w:ind w:left="0" w:right="0" w:firstLine="0"/>
              <w:jc w:val="left"/>
              <w:outlineLvl w:val="9"/>
              <w:rPr>
                <w:rFonts w:ascii="Arial" w:eastAsia="Arial" w:hAnsi="Arial" w:cs="Arial"/>
                <w:b/>
                <w:i w:val="0"/>
                <w:sz w:val="6"/>
              </w:rPr>
            </w:pPr>
            <w:r>
              <w:rPr>
                <w:rFonts w:ascii="Arial" w:eastAsia="Arial" w:hAnsi="Arial" w:cs="Arial"/>
                <w:b/>
                <w:i w:val="0"/>
                <w:sz w:val="6"/>
              </w:rPr>
              <w:t xml:space="preserve"> </w:t>
            </w:r>
          </w:p>
        </w:tc>
        <w:tc>
          <w:tcPr>
            <w:tcW w:w="103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Weighting</w:t>
            </w:r>
          </w:p>
          <w:p>
            <w:pPr>
              <w:pageBreakBefore w:val="0"/>
              <w:numPr>
                <w:ilvl w:val="0"/>
                <w:numId w:val="0"/>
              </w:numPr>
              <w:spacing w:before="0" w:after="30" w:line="240" w:lineRule="auto"/>
              <w:ind w:left="0" w:right="0" w:firstLine="0"/>
              <w:jc w:val="left"/>
              <w:outlineLvl w:val="9"/>
              <w:rPr>
                <w:rFonts w:ascii="Arial" w:eastAsia="Arial" w:hAnsi="Arial" w:cs="Arial"/>
                <w:b/>
                <w:i w:val="0"/>
                <w:sz w:val="6"/>
              </w:rPr>
            </w:pPr>
            <w:r>
              <w:rPr>
                <w:rFonts w:ascii="Arial" w:eastAsia="Arial" w:hAnsi="Arial" w:cs="Arial"/>
                <w:b/>
                <w:i w:val="0"/>
                <w:sz w:val="6"/>
              </w:rPr>
              <w:t xml:space="preserve"> </w:t>
            </w:r>
          </w:p>
        </w:tc>
        <w:tc>
          <w:tcPr>
            <w:tcW w:w="127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Achievement Level</w:t>
            </w:r>
          </w:p>
          <w:p>
            <w:pPr>
              <w:pageBreakBefore w:val="0"/>
              <w:numPr>
                <w:ilvl w:val="0"/>
                <w:numId w:val="0"/>
              </w:numPr>
              <w:spacing w:before="0" w:after="30" w:line="240" w:lineRule="auto"/>
              <w:ind w:left="0" w:right="0" w:firstLine="0"/>
              <w:jc w:val="left"/>
              <w:outlineLvl w:val="9"/>
              <w:rPr>
                <w:rFonts w:ascii="Arial" w:eastAsia="Arial" w:hAnsi="Arial" w:cs="Arial"/>
                <w:b/>
                <w:i w:val="0"/>
                <w:sz w:val="6"/>
              </w:rPr>
            </w:pPr>
            <w:r>
              <w:rPr>
                <w:rFonts w:ascii="Arial" w:eastAsia="Arial" w:hAnsi="Arial" w:cs="Arial"/>
                <w:b/>
                <w:i w:val="0"/>
                <w:sz w:val="6"/>
              </w:rPr>
              <w:t xml:space="preserve"> </w:t>
            </w:r>
          </w:p>
        </w:tc>
        <w:tc>
          <w:tcPr>
            <w:tcW w:w="562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90"/>
              <w:jc w:val="left"/>
              <w:outlineLvl w:val="9"/>
              <w:rPr>
                <w:rFonts w:ascii="Arial" w:eastAsia="Arial" w:hAnsi="Arial" w:cs="Arial"/>
                <w:b/>
                <w:i w:val="0"/>
                <w:sz w:val="18"/>
              </w:rPr>
            </w:pPr>
            <w:r>
              <w:rPr>
                <w:rFonts w:ascii="Arial" w:eastAsia="Arial" w:hAnsi="Arial" w:cs="Arial"/>
                <w:b/>
                <w:i w:val="0"/>
                <w:sz w:val="18"/>
              </w:rPr>
              <w:t>Description of Achievement</w:t>
            </w:r>
          </w:p>
          <w:p>
            <w:pPr>
              <w:pageBreakBefore w:val="0"/>
              <w:numPr>
                <w:ilvl w:val="0"/>
                <w:numId w:val="0"/>
              </w:numPr>
              <w:spacing w:before="0" w:after="30" w:line="240" w:lineRule="auto"/>
              <w:ind w:left="0" w:right="0" w:firstLine="90"/>
              <w:jc w:val="left"/>
              <w:outlineLvl w:val="9"/>
              <w:rPr>
                <w:rFonts w:ascii="Arial" w:eastAsia="Arial" w:hAnsi="Arial" w:cs="Arial"/>
                <w:b/>
                <w:i w:val="0"/>
                <w:sz w:val="6"/>
              </w:rPr>
            </w:pPr>
            <w:r>
              <w:rPr>
                <w:rFonts w:ascii="Arial" w:eastAsia="Arial" w:hAnsi="Arial" w:cs="Arial"/>
                <w:b/>
                <w:i w:val="0"/>
                <w:sz w:val="6"/>
              </w:rPr>
              <w:t xml:space="preserve"> </w:t>
            </w:r>
          </w:p>
        </w:tc>
      </w:tr>
      <w:tr>
        <w:tblPrEx>
          <w:tblW w:w="10260" w:type="dxa"/>
          <w:tblInd w:w="0" w:type="dxa"/>
          <w:tblLayout w:type="fixed"/>
          <w:tblCellMar>
            <w:left w:w="108" w:type="dxa"/>
            <w:right w:w="108" w:type="dxa"/>
          </w:tblCellMar>
        </w:tblPrEx>
        <w:trPr>
          <w:cantSplit/>
          <w:trHeight w:hRule="exact" w:val="675"/>
        </w:trPr>
        <w:tc>
          <w:tcPr>
            <w:tcW w:w="232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2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 xml:space="preserve">Meet or exceed </w:t>
            </w:r>
            <w:r>
              <w:rPr>
                <w:rFonts w:ascii="Arial" w:eastAsia="Arial" w:hAnsi="Arial" w:cs="Arial"/>
                <w:b w:val="0"/>
                <w:i w:val="0"/>
                <w:sz w:val="18"/>
              </w:rPr>
              <w:t>specified net investment income targets</w:t>
            </w:r>
          </w:p>
        </w:tc>
        <w:tc>
          <w:tcPr>
            <w:tcW w:w="103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23" w:after="30" w:line="288" w:lineRule="auto"/>
              <w:jc w:val="left"/>
            </w:pPr>
            <w:r>
              <w:rPr>
                <w:rFonts w:ascii="Arial" w:eastAsia="Arial" w:hAnsi="Arial" w:cs="Arial"/>
                <w:b w:val="0"/>
                <w:i w:val="0"/>
                <w:color w:val="000000"/>
                <w:sz w:val="18"/>
                <w:u w:val="none"/>
              </w:rPr>
              <w:t>40%</w:t>
            </w:r>
          </w:p>
        </w:tc>
        <w:tc>
          <w:tcPr>
            <w:tcW w:w="127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23" w:after="30" w:line="288" w:lineRule="auto"/>
              <w:jc w:val="left"/>
            </w:pPr>
            <w:r>
              <w:rPr>
                <w:rFonts w:ascii="Arial" w:eastAsia="Arial" w:hAnsi="Arial" w:cs="Arial"/>
                <w:b w:val="0"/>
                <w:i w:val="0"/>
                <w:color w:val="000000"/>
                <w:sz w:val="18"/>
                <w:u w:val="none"/>
              </w:rPr>
              <w:t>Maximum</w:t>
            </w:r>
          </w:p>
        </w:tc>
        <w:tc>
          <w:tcPr>
            <w:tcW w:w="5625" w:type="dxa"/>
            <w:tcBorders>
              <w:top w:val="single" w:sz="12" w:space="0" w:color="4494D1"/>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2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312"/>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Exceeded</w:t>
            </w:r>
            <w:r>
              <w:rPr>
                <w:rFonts w:ascii="Arial" w:eastAsia="Arial" w:hAnsi="Arial" w:cs="Arial"/>
                <w:b w:val="0"/>
                <w:i w:val="0"/>
                <w:sz w:val="18"/>
              </w:rPr>
              <w:t xml:space="preserve"> full</w:t>
            </w:r>
            <w:r>
              <w:rPr>
                <w:rFonts w:ascii="Arial" w:eastAsia="Arial" w:hAnsi="Arial" w:cs="Arial"/>
                <w:b w:val="0"/>
                <w:i w:val="0"/>
                <w:sz w:val="18"/>
              </w:rPr>
              <w:t xml:space="preserve"> year </w:t>
            </w:r>
            <w:r>
              <w:rPr>
                <w:rFonts w:ascii="Arial" w:eastAsia="Arial" w:hAnsi="Arial" w:cs="Arial"/>
                <w:b w:val="0"/>
                <w:i w:val="0"/>
                <w:sz w:val="18"/>
              </w:rPr>
              <w:t>net investment income</w:t>
            </w:r>
            <w:r>
              <w:rPr>
                <w:rFonts w:ascii="Arial" w:eastAsia="Arial" w:hAnsi="Arial" w:cs="Arial"/>
                <w:b w:val="0"/>
                <w:i w:val="0"/>
                <w:sz w:val="18"/>
              </w:rPr>
              <w:t xml:space="preserve"> plan</w:t>
            </w:r>
            <w:r>
              <w:rPr>
                <w:rFonts w:ascii="Arial" w:eastAsia="Arial" w:hAnsi="Arial" w:cs="Arial"/>
                <w:b w:val="0"/>
                <w:i w:val="0"/>
                <w:sz w:val="18"/>
              </w:rPr>
              <w:t xml:space="preserve"> </w:t>
            </w:r>
            <w:r>
              <w:rPr>
                <w:rFonts w:ascii="Arial" w:eastAsia="Arial" w:hAnsi="Arial" w:cs="Arial"/>
                <w:b w:val="0"/>
                <w:i w:val="0"/>
                <w:sz w:val="18"/>
              </w:rPr>
              <w:t xml:space="preserve">despite </w:t>
            </w:r>
            <w:r>
              <w:rPr>
                <w:rFonts w:ascii="Arial" w:eastAsia="Arial" w:hAnsi="Arial" w:cs="Arial"/>
                <w:b w:val="0"/>
                <w:i w:val="0"/>
                <w:sz w:val="18"/>
              </w:rPr>
              <w:t>significant</w:t>
            </w:r>
            <w:r>
              <w:rPr>
                <w:rFonts w:ascii="Arial" w:eastAsia="Arial" w:hAnsi="Arial" w:cs="Arial"/>
                <w:b w:val="0"/>
                <w:i w:val="0"/>
                <w:sz w:val="18"/>
              </w:rPr>
              <w:t xml:space="preserve"> market </w:t>
            </w:r>
            <w:r>
              <w:rPr>
                <w:rFonts w:ascii="Arial" w:eastAsia="Arial" w:hAnsi="Arial" w:cs="Arial"/>
                <w:b w:val="0"/>
                <w:i w:val="0"/>
                <w:sz w:val="18"/>
              </w:rPr>
              <w:t>volatil</w:t>
            </w:r>
            <w:r>
              <w:rPr>
                <w:rFonts w:ascii="Arial" w:eastAsia="Arial" w:hAnsi="Arial" w:cs="Arial"/>
                <w:b w:val="0"/>
                <w:i w:val="0"/>
                <w:sz w:val="18"/>
              </w:rPr>
              <w:t>ity</w:t>
            </w:r>
            <w:r>
              <w:rPr>
                <w:rFonts w:ascii="Arial" w:eastAsia="Arial" w:hAnsi="Arial" w:cs="Arial"/>
                <w:b w:val="0"/>
                <w:i w:val="0"/>
                <w:sz w:val="18"/>
              </w:rPr>
              <w:t xml:space="preserve">, with $647 million in net investment income for </w:t>
            </w:r>
            <w:r>
              <w:rPr>
                <w:rFonts w:ascii="Arial" w:eastAsia="Arial" w:hAnsi="Arial" w:cs="Arial"/>
                <w:b w:val="0"/>
                <w:i w:val="0"/>
                <w:sz w:val="18"/>
              </w:rPr>
              <w:t>the year</w:t>
            </w:r>
            <w:r>
              <w:rPr>
                <w:rFonts w:ascii="Arial" w:eastAsia="Arial" w:hAnsi="Arial" w:cs="Arial"/>
                <w:b w:val="0"/>
                <w:i w:val="0"/>
                <w:sz w:val="18"/>
              </w:rPr>
              <w:t>.</w:t>
            </w:r>
          </w:p>
        </w:tc>
      </w:tr>
      <w:tr>
        <w:tblPrEx>
          <w:tblW w:w="10260" w:type="dxa"/>
          <w:tblInd w:w="0" w:type="dxa"/>
          <w:tblLayout w:type="fixed"/>
          <w:tblCellMar>
            <w:left w:w="108" w:type="dxa"/>
            <w:right w:w="108" w:type="dxa"/>
          </w:tblCellMar>
        </w:tblPrEx>
        <w:trPr>
          <w:cantSplit/>
          <w:trHeight w:hRule="exact" w:val="1425"/>
        </w:trPr>
        <w:tc>
          <w:tcPr>
            <w:tcW w:w="23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Design investment strategies for M&amp;A prospects to achieve risk-adjusted return objectives</w:t>
            </w:r>
          </w:p>
        </w:tc>
        <w:tc>
          <w:tcPr>
            <w:tcW w:w="103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25%</w:t>
            </w:r>
          </w:p>
        </w:tc>
        <w:tc>
          <w:tcPr>
            <w:tcW w:w="127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309"/>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Success</w:t>
            </w:r>
            <w:r>
              <w:rPr>
                <w:rFonts w:ascii="Arial" w:eastAsia="Arial" w:hAnsi="Arial" w:cs="Arial"/>
                <w:b w:val="0"/>
                <w:i w:val="0"/>
                <w:sz w:val="18"/>
              </w:rPr>
              <w:t xml:space="preserve">fully developed and </w:t>
            </w:r>
            <w:r>
              <w:rPr>
                <w:rFonts w:ascii="Arial" w:eastAsia="Arial" w:hAnsi="Arial" w:cs="Arial"/>
                <w:b w:val="0"/>
                <w:i w:val="0"/>
                <w:sz w:val="18"/>
              </w:rPr>
              <w:t>deploy</w:t>
            </w:r>
            <w:r>
              <w:rPr>
                <w:rFonts w:ascii="Arial" w:eastAsia="Arial" w:hAnsi="Arial" w:cs="Arial"/>
                <w:b w:val="0"/>
                <w:i w:val="0"/>
                <w:sz w:val="18"/>
              </w:rPr>
              <w:t>ed</w:t>
            </w:r>
            <w:r>
              <w:rPr>
                <w:rFonts w:ascii="Arial" w:eastAsia="Arial" w:hAnsi="Arial" w:cs="Arial"/>
                <w:b w:val="0"/>
                <w:i w:val="0"/>
                <w:sz w:val="18"/>
              </w:rPr>
              <w:t xml:space="preserve"> </w:t>
            </w:r>
            <w:r>
              <w:rPr>
                <w:rFonts w:ascii="Arial" w:eastAsia="Arial" w:hAnsi="Arial" w:cs="Arial"/>
                <w:b w:val="0"/>
                <w:i w:val="0"/>
                <w:sz w:val="18"/>
              </w:rPr>
              <w:t xml:space="preserve">investment strategies </w:t>
            </w:r>
            <w:r>
              <w:rPr>
                <w:rFonts w:ascii="Arial" w:eastAsia="Arial" w:hAnsi="Arial" w:cs="Arial"/>
                <w:b w:val="0"/>
                <w:i w:val="0"/>
                <w:sz w:val="18"/>
              </w:rPr>
              <w:t>within compliance and risk parameters for</w:t>
            </w:r>
            <w:r>
              <w:rPr>
                <w:rFonts w:ascii="Arial" w:eastAsia="Arial" w:hAnsi="Arial" w:cs="Arial"/>
                <w:b w:val="0"/>
                <w:i w:val="0"/>
                <w:sz w:val="18"/>
              </w:rPr>
              <w:t xml:space="preserve"> transactions with QBE, RACQ and AIG.</w:t>
            </w:r>
          </w:p>
          <w:p>
            <w:pPr>
              <w:pageBreakBefore w:val="0"/>
              <w:numPr>
                <w:ilvl w:val="0"/>
                <w:numId w:val="310"/>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 xml:space="preserve">Reviewed and </w:t>
            </w:r>
            <w:r>
              <w:rPr>
                <w:rFonts w:ascii="Arial" w:eastAsia="Arial" w:hAnsi="Arial" w:cs="Arial"/>
                <w:b w:val="0"/>
                <w:i w:val="0"/>
                <w:sz w:val="18"/>
              </w:rPr>
              <w:t>o</w:t>
            </w:r>
            <w:r>
              <w:rPr>
                <w:rFonts w:ascii="Arial" w:eastAsia="Arial" w:hAnsi="Arial" w:cs="Arial"/>
                <w:b w:val="0"/>
                <w:i w:val="0"/>
                <w:sz w:val="18"/>
              </w:rPr>
              <w:t xml:space="preserve">ptimized </w:t>
            </w:r>
            <w:r>
              <w:rPr>
                <w:rFonts w:ascii="Arial" w:eastAsia="Arial" w:hAnsi="Arial" w:cs="Arial"/>
                <w:b w:val="0"/>
                <w:i w:val="0"/>
                <w:sz w:val="18"/>
              </w:rPr>
              <w:t>the Company's strategic asset allocation</w:t>
            </w:r>
            <w:r>
              <w:rPr>
                <w:rFonts w:ascii="Arial" w:eastAsia="Arial" w:hAnsi="Arial" w:cs="Arial"/>
                <w:b w:val="0"/>
                <w:i w:val="0"/>
                <w:sz w:val="18"/>
              </w:rPr>
              <w:t xml:space="preserve"> to reflect macro environment trends.</w:t>
            </w:r>
            <w:r>
              <w:rPr>
                <w:rFonts w:ascii="Arial" w:eastAsia="Arial" w:hAnsi="Arial" w:cs="Arial"/>
                <w:b w:val="0"/>
                <w:i w:val="0"/>
                <w:sz w:val="18"/>
              </w:rPr>
              <w:t xml:space="preserve"> </w:t>
            </w:r>
          </w:p>
          <w:p>
            <w:pPr>
              <w:pageBreakBefore w:val="0"/>
              <w:numPr>
                <w:ilvl w:val="0"/>
                <w:numId w:val="311"/>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Successfully managed funding for accretive share buyback trans</w:t>
            </w:r>
            <w:r>
              <w:rPr>
                <w:rFonts w:ascii="Arial" w:eastAsia="Arial" w:hAnsi="Arial" w:cs="Arial"/>
                <w:b w:val="0"/>
                <w:i w:val="0"/>
                <w:sz w:val="18"/>
              </w:rPr>
              <w:t>actions and other strategies.</w:t>
            </w:r>
          </w:p>
          <w:p>
            <w:pPr>
              <w:pageBreakBefore w:val="0"/>
              <w:numPr>
                <w:ilvl w:val="0"/>
                <w:numId w:val="0"/>
              </w:numPr>
              <w:spacing w:before="0" w:after="30" w:line="240" w:lineRule="auto"/>
              <w:ind w:left="-450" w:right="0" w:firstLine="180"/>
              <w:jc w:val="left"/>
              <w:outlineLvl w:val="9"/>
              <w:rPr>
                <w:rFonts w:ascii="Arial" w:eastAsia="Arial" w:hAnsi="Arial" w:cs="Arial"/>
                <w:b w:val="0"/>
                <w:i w:val="0"/>
                <w:sz w:val="18"/>
              </w:rPr>
            </w:pPr>
            <w:r>
              <w:rPr>
                <w:rFonts w:ascii="Arial" w:eastAsia="Arial" w:hAnsi="Arial" w:cs="Arial"/>
                <w:b w:val="0"/>
                <w:i w:val="0"/>
                <w:sz w:val="18"/>
              </w:rPr>
              <w:tab/>
            </w:r>
            <w:r>
              <w:rPr>
                <w:rFonts w:ascii="Arial" w:eastAsia="Arial" w:hAnsi="Arial" w:cs="Arial"/>
                <w:b w:val="0"/>
                <w:i w:val="0"/>
                <w:sz w:val="18"/>
              </w:rPr>
              <w:tab/>
            </w:r>
          </w:p>
        </w:tc>
      </w:tr>
      <w:tr>
        <w:tblPrEx>
          <w:tblW w:w="10260" w:type="dxa"/>
          <w:tblInd w:w="0" w:type="dxa"/>
          <w:tblLayout w:type="fixed"/>
          <w:tblCellMar>
            <w:left w:w="108" w:type="dxa"/>
            <w:right w:w="108" w:type="dxa"/>
          </w:tblCellMar>
        </w:tblPrEx>
        <w:trPr>
          <w:cantSplit/>
          <w:trHeight w:hRule="exact" w:val="765"/>
        </w:trPr>
        <w:tc>
          <w:tcPr>
            <w:tcW w:w="23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3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Supp</w:t>
            </w:r>
            <w:r>
              <w:rPr>
                <w:rFonts w:ascii="Arial" w:eastAsia="Arial" w:hAnsi="Arial" w:cs="Arial"/>
                <w:b w:val="0"/>
                <w:i w:val="0"/>
                <w:sz w:val="18"/>
              </w:rPr>
              <w:t xml:space="preserve">ort FP&amp;A </w:t>
            </w:r>
            <w:r>
              <w:rPr>
                <w:rFonts w:ascii="Arial" w:eastAsia="Arial" w:hAnsi="Arial" w:cs="Arial"/>
                <w:b w:val="0"/>
                <w:i w:val="0"/>
                <w:sz w:val="18"/>
              </w:rPr>
              <w:t xml:space="preserve">development of </w:t>
            </w:r>
            <w:r>
              <w:rPr>
                <w:rFonts w:ascii="Arial" w:eastAsia="Arial" w:hAnsi="Arial" w:cs="Arial"/>
                <w:b w:val="0"/>
                <w:i w:val="0"/>
                <w:sz w:val="18"/>
              </w:rPr>
              <w:t>executive reporting</w:t>
            </w:r>
          </w:p>
        </w:tc>
        <w:tc>
          <w:tcPr>
            <w:tcW w:w="103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15%</w:t>
            </w:r>
          </w:p>
        </w:tc>
        <w:tc>
          <w:tcPr>
            <w:tcW w:w="127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shd w:val="clear" w:color="auto" w:fill="FFFFFF"/>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308"/>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Provided si</w:t>
            </w:r>
            <w:r>
              <w:rPr>
                <w:rFonts w:ascii="Arial" w:eastAsia="Arial" w:hAnsi="Arial" w:cs="Arial"/>
                <w:b w:val="0"/>
                <w:i w:val="0"/>
                <w:sz w:val="18"/>
              </w:rPr>
              <w:t>gnificant input and analy</w:t>
            </w:r>
            <w:r>
              <w:rPr>
                <w:rFonts w:ascii="Arial" w:eastAsia="Arial" w:hAnsi="Arial" w:cs="Arial"/>
                <w:b w:val="0"/>
                <w:i w:val="0"/>
                <w:sz w:val="18"/>
              </w:rPr>
              <w:t>sis into</w:t>
            </w:r>
            <w:r>
              <w:rPr>
                <w:rFonts w:ascii="Arial" w:eastAsia="Arial" w:hAnsi="Arial" w:cs="Arial"/>
                <w:b w:val="0"/>
                <w:i w:val="0"/>
                <w:sz w:val="18"/>
              </w:rPr>
              <w:t xml:space="preserve"> the </w:t>
            </w:r>
            <w:r>
              <w:rPr>
                <w:rFonts w:ascii="Arial" w:eastAsia="Arial" w:hAnsi="Arial" w:cs="Arial"/>
                <w:b w:val="0"/>
                <w:i w:val="0"/>
                <w:sz w:val="18"/>
              </w:rPr>
              <w:t xml:space="preserve">development of </w:t>
            </w:r>
            <w:r>
              <w:rPr>
                <w:rFonts w:ascii="Arial" w:eastAsia="Arial" w:hAnsi="Arial" w:cs="Arial"/>
                <w:b w:val="0"/>
                <w:i w:val="0"/>
                <w:sz w:val="18"/>
              </w:rPr>
              <w:t>the five-year model</w:t>
            </w:r>
            <w:r>
              <w:rPr>
                <w:rFonts w:ascii="Arial" w:eastAsia="Arial" w:hAnsi="Arial" w:cs="Arial"/>
                <w:b w:val="0"/>
                <w:i w:val="0"/>
                <w:sz w:val="18"/>
              </w:rPr>
              <w:t xml:space="preserve"> and liquidity forecasts to improve strategic decision making. </w:t>
            </w:r>
          </w:p>
          <w:p>
            <w:pPr>
              <w:pageBreakBefore w:val="0"/>
              <w:numPr>
                <w:ilvl w:val="0"/>
                <w:numId w:val="0"/>
              </w:numPr>
              <w:spacing w:before="0" w:after="30" w:line="240" w:lineRule="auto"/>
              <w:ind w:left="-450" w:right="0" w:firstLine="180"/>
              <w:jc w:val="left"/>
              <w:outlineLvl w:val="9"/>
              <w:rPr>
                <w:rFonts w:ascii="Arial" w:eastAsia="Arial" w:hAnsi="Arial" w:cs="Arial"/>
                <w:b w:val="0"/>
                <w:i w:val="0"/>
                <w:sz w:val="18"/>
              </w:rPr>
            </w:pPr>
            <w:r>
              <w:rPr>
                <w:rFonts w:ascii="Arial" w:eastAsia="Arial" w:hAnsi="Arial" w:cs="Arial"/>
                <w:b w:val="0"/>
                <w:i w:val="0"/>
                <w:sz w:val="18"/>
              </w:rPr>
              <w:tab/>
            </w:r>
            <w:r>
              <w:rPr>
                <w:rFonts w:ascii="Arial" w:eastAsia="Arial" w:hAnsi="Arial" w:cs="Arial"/>
                <w:b w:val="0"/>
                <w:i w:val="0"/>
                <w:sz w:val="18"/>
              </w:rPr>
              <w:tab/>
            </w:r>
          </w:p>
        </w:tc>
      </w:tr>
      <w:tr>
        <w:tblPrEx>
          <w:tblW w:w="10260" w:type="dxa"/>
          <w:tblInd w:w="0" w:type="dxa"/>
          <w:tblLayout w:type="fixed"/>
          <w:tblCellMar>
            <w:left w:w="108" w:type="dxa"/>
            <w:right w:w="108" w:type="dxa"/>
          </w:tblCellMar>
        </w:tblPrEx>
        <w:trPr>
          <w:cantSplit/>
          <w:trHeight w:hRule="exact" w:val="1005"/>
        </w:trPr>
        <w:tc>
          <w:tcPr>
            <w:tcW w:w="23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40" w:lineRule="auto"/>
              <w:jc w:val="left"/>
            </w:pPr>
            <w:r>
              <w:rPr>
                <w:rFonts w:ascii="Arial" w:eastAsia="Arial" w:hAnsi="Arial" w:cs="Arial"/>
                <w:b w:val="0"/>
                <w:i w:val="0"/>
                <w:color w:val="000000"/>
                <w:sz w:val="18"/>
                <w:u w:val="none"/>
              </w:rPr>
              <w:t>Achieve specified people management goals, including group employee engagement score above benchmark</w:t>
            </w:r>
          </w:p>
        </w:tc>
        <w:tc>
          <w:tcPr>
            <w:tcW w:w="103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10%</w:t>
            </w:r>
          </w:p>
        </w:tc>
        <w:tc>
          <w:tcPr>
            <w:tcW w:w="127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Below Threshold</w:t>
            </w:r>
          </w:p>
        </w:tc>
        <w:tc>
          <w:tcPr>
            <w:tcW w:w="56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307"/>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Due to competing priorities,</w:t>
            </w:r>
            <w:r>
              <w:rPr>
                <w:rFonts w:ascii="Arial" w:eastAsia="Arial" w:hAnsi="Arial" w:cs="Arial"/>
                <w:b w:val="0"/>
                <w:i w:val="0"/>
                <w:sz w:val="18"/>
              </w:rPr>
              <w:t xml:space="preserve"> the targeted level of achievement on certain people management goals was </w:t>
            </w:r>
            <w:r>
              <w:rPr>
                <w:rFonts w:ascii="Arial" w:eastAsia="Arial" w:hAnsi="Arial" w:cs="Arial"/>
                <w:b w:val="0"/>
                <w:i w:val="0"/>
                <w:sz w:val="18"/>
              </w:rPr>
              <w:t>below threshold, off</w:t>
            </w:r>
            <w:r>
              <w:rPr>
                <w:rFonts w:ascii="Arial" w:eastAsia="Arial" w:hAnsi="Arial" w:cs="Arial"/>
                <w:b w:val="0"/>
                <w:i w:val="0"/>
                <w:sz w:val="18"/>
              </w:rPr>
              <w:t>setting satisfactory completion of other such goals</w:t>
            </w:r>
            <w:r>
              <w:rPr>
                <w:rFonts w:ascii="Arial" w:eastAsia="Arial" w:hAnsi="Arial" w:cs="Arial"/>
                <w:b w:val="0"/>
                <w:i w:val="0"/>
                <w:sz w:val="18"/>
              </w:rPr>
              <w:t>.</w:t>
            </w:r>
          </w:p>
        </w:tc>
      </w:tr>
      <w:tr>
        <w:tblPrEx>
          <w:tblW w:w="10260" w:type="dxa"/>
          <w:tblInd w:w="0" w:type="dxa"/>
          <w:tblLayout w:type="fixed"/>
          <w:tblCellMar>
            <w:left w:w="108" w:type="dxa"/>
            <w:right w:w="108" w:type="dxa"/>
          </w:tblCellMar>
        </w:tblPrEx>
        <w:trPr>
          <w:cantSplit/>
          <w:trHeight w:hRule="exact" w:val="1725"/>
        </w:trPr>
        <w:tc>
          <w:tcPr>
            <w:tcW w:w="23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40" w:lineRule="auto"/>
              <w:jc w:val="left"/>
            </w:pPr>
            <w:r>
              <w:rPr>
                <w:rFonts w:ascii="Arial" w:eastAsia="Arial" w:hAnsi="Arial" w:cs="Arial"/>
                <w:b w:val="0"/>
                <w:i w:val="0"/>
                <w:color w:val="000000"/>
                <w:sz w:val="18"/>
                <w:u w:val="none"/>
              </w:rPr>
              <w:t>Engage and contribute to Group Executive Leadership Program</w:t>
            </w:r>
          </w:p>
        </w:tc>
        <w:tc>
          <w:tcPr>
            <w:tcW w:w="103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10%</w:t>
            </w:r>
          </w:p>
        </w:tc>
        <w:tc>
          <w:tcPr>
            <w:tcW w:w="127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val="0"/>
                <w:i w:val="0"/>
                <w:color w:val="000000"/>
                <w:sz w:val="18"/>
                <w:u w:val="none"/>
              </w:rPr>
              <w:t>Target</w:t>
            </w:r>
          </w:p>
        </w:tc>
        <w:tc>
          <w:tcPr>
            <w:tcW w:w="5625" w:type="dxa"/>
            <w:tcBorders>
              <w:top w:val="single" w:sz="8" w:space="0" w:color="B6B6B6"/>
              <w:left w:val="nil"/>
              <w:bottom w:val="single" w:sz="8" w:space="0" w:color="B6B6B6"/>
              <w:right w:val="nil"/>
            </w:tcBorders>
            <w:tcMar>
              <w:top w:w="0" w:type="dxa"/>
              <w:left w:w="53" w:type="dxa"/>
              <w:bottom w:w="0" w:type="dxa"/>
              <w:right w:w="53" w:type="dxa"/>
            </w:tcMar>
            <w:vAlign w:val="top"/>
          </w:tcPr>
          <w:p>
            <w:pPr>
              <w:keepNext/>
              <w:pageBreakBefore w:val="0"/>
              <w:numPr>
                <w:ilvl w:val="0"/>
                <w:numId w:val="0"/>
              </w:numPr>
              <w:spacing w:before="33" w:after="0" w:line="240" w:lineRule="auto"/>
              <w:ind w:left="-450" w:right="0" w:firstLine="0"/>
              <w:jc w:val="left"/>
              <w:outlineLvl w:val="9"/>
              <w:rPr>
                <w:rFonts w:ascii="Arial" w:eastAsia="Arial" w:hAnsi="Arial" w:cs="Arial"/>
                <w:b w:val="0"/>
                <w:i w:val="0"/>
                <w:color w:val="4494D1"/>
                <w:sz w:val="6"/>
                <w:u w:val="none"/>
              </w:rPr>
            </w:pPr>
            <w:r>
              <w:rPr>
                <w:rFonts w:ascii="Arial" w:eastAsia="Arial" w:hAnsi="Arial" w:cs="Arial"/>
                <w:b w:val="0"/>
                <w:i w:val="0"/>
                <w:color w:val="4494D1"/>
                <w:sz w:val="6"/>
                <w:u w:val="none"/>
              </w:rPr>
              <w:t xml:space="preserve"> </w:t>
            </w:r>
          </w:p>
          <w:p>
            <w:pPr>
              <w:pageBreakBefore w:val="0"/>
              <w:numPr>
                <w:ilvl w:val="0"/>
                <w:numId w:val="304"/>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 xml:space="preserve">Engaged in the Group Executive Leadership Program to foster collaboration and support strong organizational culture and overall performance. </w:t>
            </w:r>
          </w:p>
          <w:p>
            <w:pPr>
              <w:pageBreakBefore w:val="0"/>
              <w:numPr>
                <w:ilvl w:val="0"/>
                <w:numId w:val="305"/>
              </w:numPr>
              <w:spacing w:before="0" w:after="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The team’s aggregated results were ahead of benchmarks on all  of the leadership capabilities identified as core to high performing executive teams.</w:t>
            </w:r>
          </w:p>
          <w:p>
            <w:pPr>
              <w:pageBreakBefore w:val="0"/>
              <w:numPr>
                <w:ilvl w:val="0"/>
                <w:numId w:val="306"/>
              </w:numPr>
              <w:spacing w:before="0" w:after="30" w:line="240" w:lineRule="auto"/>
              <w:ind w:left="270" w:right="0" w:hanging="180"/>
              <w:jc w:val="left"/>
              <w:outlineLvl w:val="9"/>
              <w:rPr>
                <w:rFonts w:ascii="Arial" w:eastAsia="Arial" w:hAnsi="Arial" w:cs="Arial"/>
                <w:b w:val="0"/>
                <w:i w:val="0"/>
                <w:sz w:val="18"/>
              </w:rPr>
            </w:pPr>
            <w:r>
              <w:rPr>
                <w:rFonts w:ascii="Arial" w:eastAsia="Arial" w:hAnsi="Arial" w:cs="Arial"/>
                <w:b w:val="0"/>
                <w:i w:val="0"/>
                <w:sz w:val="18"/>
              </w:rPr>
              <w:t>Program laid the foundation for executive team's comprehensive strategy review completed at the end of 2023.</w:t>
            </w:r>
          </w:p>
        </w:tc>
      </w:tr>
      <w:tr>
        <w:tblPrEx>
          <w:tblW w:w="10260" w:type="dxa"/>
          <w:tblInd w:w="0" w:type="dxa"/>
          <w:tblLayout w:type="fixed"/>
          <w:tblCellMar>
            <w:left w:w="108" w:type="dxa"/>
            <w:right w:w="108" w:type="dxa"/>
          </w:tblCellMar>
        </w:tblPrEx>
        <w:trPr>
          <w:cantSplit/>
          <w:trHeight w:hRule="exact" w:val="405"/>
        </w:trPr>
        <w:tc>
          <w:tcPr>
            <w:tcW w:w="10260" w:type="dxa"/>
            <w:gridSpan w:val="4"/>
            <w:tcBorders>
              <w:top w:val="nil"/>
              <w:left w:val="nil"/>
              <w:bottom w:val="nil"/>
              <w:right w:val="nil"/>
            </w:tcBorders>
            <w:shd w:val="clear" w:color="auto" w:fill="FFFFFF"/>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sz w:val="18"/>
              </w:rPr>
            </w:pPr>
            <w:r>
              <w:rPr>
                <w:rFonts w:ascii="Arial" w:eastAsia="Arial" w:hAnsi="Arial" w:cs="Arial"/>
                <w:b/>
                <w:i w:val="0"/>
                <w:sz w:val="18"/>
              </w:rPr>
              <w:t xml:space="preserve">Percentage of Target Individual Performance Objective Achieved: </w:t>
            </w:r>
            <w:r>
              <w:rPr>
                <w:rFonts w:ascii="Arial" w:eastAsia="Arial" w:hAnsi="Arial" w:cs="Arial"/>
                <w:b/>
                <w:i w:val="0"/>
                <w:color w:val="000000"/>
                <w:sz w:val="18"/>
                <w:u w:val="none"/>
              </w:rPr>
              <w:t>98.0%</w:t>
            </w: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i w:val="0"/>
          <w:color w:val="4494D1"/>
          <w:sz w:val="20"/>
          <w:u w:val="none"/>
        </w:rPr>
      </w:pPr>
      <w:r>
        <w:rPr>
          <w:rFonts w:ascii="Arial" w:eastAsia="Arial" w:hAnsi="Arial" w:cs="Arial"/>
          <w:b/>
          <w:i w:val="0"/>
          <w:color w:val="4494D1"/>
          <w:sz w:val="20"/>
          <w:u w:val="none"/>
        </w:rPr>
        <w:t xml:space="preserve">Settlement of </w:t>
      </w:r>
      <w:r>
        <w:rPr>
          <w:rFonts w:ascii="Arial" w:eastAsia="Arial" w:hAnsi="Arial" w:cs="Arial"/>
          <w:b/>
          <w:i w:val="0"/>
          <w:color w:val="4494D1"/>
          <w:sz w:val="20"/>
          <w:u w:val="none"/>
        </w:rPr>
        <w:t>P</w:t>
      </w:r>
      <w:r>
        <w:rPr>
          <w:rFonts w:ascii="Arial" w:eastAsia="Arial" w:hAnsi="Arial" w:cs="Arial"/>
          <w:b/>
          <w:i w:val="0"/>
          <w:color w:val="4494D1"/>
          <w:sz w:val="20"/>
          <w:u w:val="none"/>
        </w:rPr>
        <w:t>e</w:t>
      </w:r>
      <w:r>
        <w:rPr>
          <w:rFonts w:ascii="Arial" w:eastAsia="Arial" w:hAnsi="Arial" w:cs="Arial"/>
          <w:b/>
          <w:i w:val="0"/>
          <w:color w:val="4494D1"/>
          <w:sz w:val="20"/>
          <w:u w:val="none"/>
        </w:rPr>
        <w:t>rf</w:t>
      </w:r>
      <w:r>
        <w:rPr>
          <w:rFonts w:ascii="Arial" w:eastAsia="Arial" w:hAnsi="Arial" w:cs="Arial"/>
          <w:b/>
          <w:i w:val="0"/>
          <w:color w:val="4494D1"/>
          <w:sz w:val="20"/>
          <w:u w:val="none"/>
        </w:rPr>
        <w:t>ormance-Based Equity</w:t>
      </w:r>
      <w:r>
        <w:rPr>
          <w:rFonts w:ascii="Arial" w:eastAsia="Arial" w:hAnsi="Arial" w:cs="Arial"/>
          <w:b/>
          <w:i w:val="0"/>
          <w:color w:val="4494D1"/>
          <w:sz w:val="20"/>
          <w:u w:val="none"/>
        </w:rPr>
        <w:t xml:space="preserve"> Awards</w:t>
      </w:r>
    </w:p>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color w:val="000000"/>
          <w:sz w:val="20"/>
          <w:u w:val="none"/>
          <w:shd w:val="clear" w:color="auto" w:fill="FFFF00"/>
        </w:rPr>
      </w:pPr>
      <w:r>
        <w:rPr>
          <w:rFonts w:ascii="Arial" w:eastAsia="Arial" w:hAnsi="Arial" w:cs="Arial"/>
          <w:b w:val="0"/>
          <w:i w:val="0"/>
          <w:sz w:val="20"/>
        </w:rPr>
        <w:t xml:space="preserve">The table below sets forth the number of ordinary shares that Mr. </w:t>
      </w:r>
      <w:r>
        <w:rPr>
          <w:rFonts w:ascii="Arial" w:eastAsia="Arial" w:hAnsi="Arial" w:cs="Arial"/>
          <w:b w:val="0"/>
          <w:i w:val="0"/>
          <w:sz w:val="20"/>
        </w:rPr>
        <w:t>Alobaidat</w:t>
      </w:r>
      <w:r>
        <w:rPr>
          <w:rFonts w:ascii="Arial" w:eastAsia="Arial" w:hAnsi="Arial" w:cs="Arial"/>
          <w:b w:val="0"/>
          <w:i w:val="0"/>
          <w:sz w:val="20"/>
        </w:rPr>
        <w:t xml:space="preserve"> earned as a result of the settlement of PSU awards with a performance period that ended on December 31, 2023, which were based on the Company's achievement of </w:t>
      </w:r>
      <w:r>
        <w:rPr>
          <w:rFonts w:ascii="Arial" w:eastAsia="Arial" w:hAnsi="Arial" w:cs="Arial"/>
          <w:b w:val="0"/>
          <w:i w:val="0"/>
          <w:sz w:val="20"/>
        </w:rPr>
        <w:t>Operating Income</w:t>
      </w:r>
      <w:r>
        <w:rPr>
          <w:rFonts w:ascii="Arial" w:eastAsia="Arial" w:hAnsi="Arial" w:cs="Arial"/>
          <w:b w:val="0"/>
          <w:i w:val="0"/>
          <w:sz w:val="20"/>
        </w:rPr>
        <w:t xml:space="preserve"> ROE and </w:t>
      </w:r>
      <w:r>
        <w:rPr>
          <w:rFonts w:ascii="Arial" w:eastAsia="Arial" w:hAnsi="Arial" w:cs="Arial"/>
          <w:b w:val="0"/>
          <w:i w:val="0"/>
          <w:sz w:val="20"/>
        </w:rPr>
        <w:t>FD</w:t>
      </w:r>
      <w:r>
        <w:rPr>
          <w:rFonts w:ascii="Arial" w:eastAsia="Arial" w:hAnsi="Arial" w:cs="Arial"/>
          <w:b w:val="0"/>
          <w:i w:val="0"/>
          <w:sz w:val="20"/>
        </w:rPr>
        <w:t xml:space="preserve">BVPS. </w:t>
      </w:r>
    </w:p>
    <w:tbl>
      <w:tblPr>
        <w:tblW w:w="99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085"/>
        <w:gridCol w:w="2805"/>
        <w:gridCol w:w="2700"/>
        <w:gridCol w:w="2400"/>
      </w:tblGrid>
      <w:tr>
        <w:tblPrEx>
          <w:tblW w:w="99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35"/>
        </w:trPr>
        <w:tc>
          <w:tcPr>
            <w:tcW w:w="208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Financial Metric</w:t>
            </w:r>
          </w:p>
        </w:tc>
        <w:tc>
          <w:tcPr>
            <w:tcW w:w="2805"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Target PSUs Awarded in 2021</w:t>
            </w:r>
          </w:p>
        </w:tc>
        <w:tc>
          <w:tcPr>
            <w:tcW w:w="2700"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Actual Performance as a Percent of Target</w:t>
            </w:r>
          </w:p>
        </w:tc>
        <w:tc>
          <w:tcPr>
            <w:tcW w:w="2400"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8"/>
                <w:u w:val="none"/>
              </w:rPr>
              <w:t>PSUs Settled as Ordinary Shares</w:t>
            </w:r>
          </w:p>
        </w:tc>
      </w:tr>
      <w:tr>
        <w:tblPrEx>
          <w:tblW w:w="9990" w:type="dxa"/>
          <w:tblInd w:w="0" w:type="dxa"/>
          <w:tblLayout w:type="fixed"/>
          <w:tblCellMar>
            <w:left w:w="108" w:type="dxa"/>
            <w:right w:w="108" w:type="dxa"/>
          </w:tblCellMar>
        </w:tblPrEx>
        <w:trPr>
          <w:cantSplit/>
          <w:trHeight w:hRule="exact" w:val="345"/>
        </w:trPr>
        <w:tc>
          <w:tcPr>
            <w:tcW w:w="2085" w:type="dxa"/>
            <w:tcBorders>
              <w:top w:val="single" w:sz="12" w:space="0" w:color="4494D1"/>
              <w:left w:val="nil"/>
              <w:bottom w:val="single" w:sz="4" w:space="0" w:color="000000"/>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Operating Income ROE</w:t>
            </w:r>
          </w:p>
        </w:tc>
        <w:tc>
          <w:tcPr>
            <w:tcW w:w="2805" w:type="dxa"/>
            <w:tcBorders>
              <w:top w:val="single" w:sz="12" w:space="0" w:color="4494D1"/>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770</w:t>
            </w:r>
          </w:p>
        </w:tc>
        <w:tc>
          <w:tcPr>
            <w:tcW w:w="2700" w:type="dxa"/>
            <w:tcBorders>
              <w:top w:val="single" w:sz="12" w:space="0" w:color="4494D1"/>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65.7%</w:t>
            </w:r>
          </w:p>
        </w:tc>
        <w:tc>
          <w:tcPr>
            <w:tcW w:w="2400" w:type="dxa"/>
            <w:tcBorders>
              <w:top w:val="single" w:sz="12" w:space="0" w:color="4494D1"/>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506</w:t>
            </w:r>
          </w:p>
        </w:tc>
      </w:tr>
      <w:tr>
        <w:tblPrEx>
          <w:tblW w:w="9990" w:type="dxa"/>
          <w:tblInd w:w="0" w:type="dxa"/>
          <w:tblLayout w:type="fixed"/>
          <w:tblCellMar>
            <w:left w:w="108" w:type="dxa"/>
            <w:right w:w="108" w:type="dxa"/>
          </w:tblCellMar>
        </w:tblPrEx>
        <w:trPr>
          <w:cantSplit/>
          <w:trHeight w:hRule="exact" w:val="315"/>
        </w:trPr>
        <w:tc>
          <w:tcPr>
            <w:tcW w:w="2085" w:type="dxa"/>
            <w:tcBorders>
              <w:top w:val="single" w:sz="4" w:space="0" w:color="000000"/>
              <w:left w:val="nil"/>
              <w:bottom w:val="single" w:sz="8" w:space="0" w:color="B6B6B6"/>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FD</w:t>
            </w:r>
            <w:r>
              <w:rPr>
                <w:rFonts w:ascii="Arial" w:eastAsia="Arial" w:hAnsi="Arial" w:cs="Arial"/>
                <w:b w:val="0"/>
                <w:i w:val="0"/>
                <w:sz w:val="18"/>
              </w:rPr>
              <w:t>BVPS</w:t>
            </w:r>
          </w:p>
        </w:tc>
        <w:tc>
          <w:tcPr>
            <w:tcW w:w="2805" w:type="dxa"/>
            <w:tcBorders>
              <w:top w:val="single" w:sz="8" w:space="0" w:color="B6B6B6"/>
              <w:left w:val="nil"/>
              <w:bottom w:val="single" w:sz="8" w:space="0" w:color="B6B6B6"/>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771</w:t>
            </w:r>
          </w:p>
        </w:tc>
        <w:tc>
          <w:tcPr>
            <w:tcW w:w="2700"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w:t>
            </w:r>
          </w:p>
        </w:tc>
        <w:tc>
          <w:tcPr>
            <w:tcW w:w="2400" w:type="dxa"/>
            <w:tcBorders>
              <w:top w:val="single" w:sz="8" w:space="0" w:color="B6B6B6"/>
              <w:left w:val="nil"/>
              <w:bottom w:val="single" w:sz="8" w:space="0" w:color="B6B6B6"/>
              <w:right w:val="nil"/>
            </w:tcBorders>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w:t>
            </w:r>
          </w:p>
        </w:tc>
      </w:tr>
      <w:tr>
        <w:tblPrEx>
          <w:tblW w:w="9990" w:type="dxa"/>
          <w:tblInd w:w="0" w:type="dxa"/>
          <w:tblLayout w:type="fixed"/>
          <w:tblCellMar>
            <w:left w:w="108" w:type="dxa"/>
            <w:right w:w="108" w:type="dxa"/>
          </w:tblCellMar>
        </w:tblPrEx>
        <w:trPr>
          <w:cantSplit/>
          <w:trHeight w:hRule="exact" w:val="345"/>
        </w:trPr>
        <w:tc>
          <w:tcPr>
            <w:tcW w:w="2085" w:type="dxa"/>
            <w:tcBorders>
              <w:top w:val="single" w:sz="8" w:space="0" w:color="B6B6B6"/>
              <w:left w:val="nil"/>
              <w:bottom w:val="nil"/>
              <w:right w:val="nil"/>
            </w:tcBorders>
            <w:tcMar>
              <w:top w:w="0" w:type="dxa"/>
              <w:left w:w="53" w:type="dxa"/>
              <w:bottom w:w="0" w:type="dxa"/>
              <w:right w:w="53" w:type="dxa"/>
            </w:tcMar>
            <w:vAlign w:val="center"/>
          </w:tcPr>
          <w:p>
            <w:pPr>
              <w:pageBreakBefore w:val="0"/>
              <w:spacing w:before="0" w:after="0" w:line="240" w:lineRule="auto"/>
              <w:jc w:val="left"/>
            </w:pPr>
            <w:r>
              <w:rPr>
                <w:rFonts w:ascii="Arial" w:eastAsia="Arial" w:hAnsi="Arial" w:cs="Arial"/>
                <w:b/>
                <w:i w:val="0"/>
                <w:color w:val="000000"/>
                <w:sz w:val="18"/>
                <w:u w:val="none"/>
              </w:rPr>
              <w:t>Total</w:t>
            </w:r>
          </w:p>
        </w:tc>
        <w:tc>
          <w:tcPr>
            <w:tcW w:w="2805" w:type="dxa"/>
            <w:tcBorders>
              <w:top w:val="single" w:sz="8" w:space="0" w:color="B6B6B6"/>
              <w:left w:val="nil"/>
              <w:bottom w:val="nil"/>
              <w:right w:val="nil"/>
            </w:tcBorders>
            <w:tcMar>
              <w:top w:w="0" w:type="dxa"/>
              <w:left w:w="53" w:type="dxa"/>
              <w:bottom w:w="0" w:type="dxa"/>
              <w:right w:w="53" w:type="dxa"/>
            </w:tcMar>
            <w:vAlign w:val="center"/>
          </w:tcPr>
          <w:p>
            <w:pPr>
              <w:pageBreakBefore w:val="0"/>
              <w:spacing w:before="0" w:after="0" w:line="240" w:lineRule="auto"/>
              <w:jc w:val="left"/>
            </w:pPr>
            <w:r>
              <w:rPr>
                <w:rFonts w:ascii="Arial" w:eastAsia="Arial" w:hAnsi="Arial" w:cs="Arial"/>
                <w:b/>
                <w:i w:val="0"/>
                <w:color w:val="000000"/>
                <w:sz w:val="18"/>
                <w:u w:val="none"/>
              </w:rPr>
              <w:t>1541</w:t>
            </w:r>
          </w:p>
        </w:tc>
        <w:tc>
          <w:tcPr>
            <w:tcW w:w="2700"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33%</w:t>
            </w:r>
          </w:p>
        </w:tc>
        <w:tc>
          <w:tcPr>
            <w:tcW w:w="2400" w:type="dxa"/>
            <w:tcBorders>
              <w:top w:val="single" w:sz="8" w:space="0" w:color="B6B6B6"/>
              <w:left w:val="nil"/>
              <w:bottom w:val="nil"/>
              <w:right w:val="nil"/>
            </w:tcBorders>
            <w:tcMar>
              <w:top w:w="0" w:type="dxa"/>
              <w:left w:w="53" w:type="dxa"/>
              <w:bottom w:w="0" w:type="dxa"/>
              <w:right w:w="15" w:type="dxa"/>
            </w:tcMar>
            <w:vAlign w:val="center"/>
          </w:tcPr>
          <w:p>
            <w:pPr>
              <w:pageBreakBefore w:val="0"/>
              <w:spacing w:before="0" w:after="0" w:line="240" w:lineRule="auto"/>
              <w:jc w:val="left"/>
            </w:pPr>
            <w:r>
              <w:rPr>
                <w:rFonts w:ascii="Arial" w:eastAsia="Arial" w:hAnsi="Arial" w:cs="Arial"/>
                <w:b/>
                <w:i w:val="0"/>
                <w:color w:val="000000"/>
                <w:sz w:val="18"/>
                <w:u w:val="none"/>
              </w:rPr>
              <w:t>506</w:t>
            </w:r>
          </w:p>
        </w:tc>
      </w:tr>
    </w:tbl>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sectPr>
          <w:headerReference w:type="default" r:id="rId259"/>
          <w:footerReference w:type="default" r:id="rId260"/>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91" w:name="Section94"/>
      <w:bookmarkEnd w:id="91"/>
    </w:p>
    <w:p>
      <w:pPr>
        <w:keepNext/>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Executive Employment Agreements</w:t>
      </w:r>
    </w:p>
    <w:p>
      <w:pPr>
        <w:keepNext w:val="0"/>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Employment contracts are required in certain jurisdictions in which our executive officers are based. The Board also sees the value in entering into employment contracts for key executives in order to obtain restrictive covenants for non-competition, non-solicitation and confidentiality, and to promote a sense of security and cohesiveness among the leadership team. As such, we have entered into employment agreements with each of our executive officers. See "Executive Compensation Tables - Narrative Disclosure to Summary Compensation Table and Grants of Plan Based Awards Table - Employment Agreements with Executive Officers" below for a summary of the material terms of the employment agreements currently in effect.</w:t>
      </w:r>
    </w:p>
    <w:p>
      <w:pPr>
        <w:keepNext w:val="0"/>
        <w:keepLines/>
        <w:pageBreakBefore w:val="0"/>
        <w:widowControl w:val="0"/>
        <w:numPr>
          <w:ilvl w:val="0"/>
          <w:numId w:val="0"/>
        </w:numPr>
        <w:spacing w:before="0" w:after="120" w:line="300" w:lineRule="auto"/>
        <w:ind w:left="0" w:right="0" w:firstLine="0"/>
        <w:jc w:val="both"/>
        <w:outlineLvl w:val="9"/>
        <w:sectPr>
          <w:headerReference w:type="default" r:id="rId261"/>
          <w:footerReference w:type="default" r:id="rId262"/>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92" w:name="Section95"/>
      <w:bookmarkEnd w:id="92"/>
    </w:p>
    <w:p>
      <w:pPr>
        <w:keepNext/>
        <w:keepLines w:val="0"/>
        <w:pageBreakBefore w:val="0"/>
        <w:widowControl/>
        <w:numPr>
          <w:ilvl w:val="0"/>
          <w:numId w:val="0"/>
        </w:numPr>
        <w:spacing w:before="0" w:after="60" w:line="288" w:lineRule="auto"/>
        <w:ind w:left="0" w:right="0" w:firstLine="0"/>
        <w:jc w:val="both"/>
        <w:outlineLvl w:val="2"/>
        <w:rPr>
          <w:rFonts w:ascii="Arial" w:eastAsia="Arial" w:hAnsi="Arial" w:cs="Arial"/>
          <w:b/>
          <w:i w:val="0"/>
          <w:color w:val="171449"/>
          <w:sz w:val="24"/>
          <w:u w:val="none"/>
        </w:rPr>
      </w:pPr>
      <w:r>
        <w:rPr>
          <w:rFonts w:ascii="Arial" w:eastAsia="Arial" w:hAnsi="Arial" w:cs="Arial"/>
          <w:b/>
          <w:i w:val="0"/>
          <w:color w:val="171449"/>
          <w:sz w:val="24"/>
          <w:u w:val="none"/>
        </w:rPr>
        <w:t>Other Benefits and Perquisites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We provide certain additional benefits in furtherance of our objective of retaining and attracting key talent and pursuant to contractual provisions. In </w:t>
      </w:r>
      <w:r>
        <w:rPr>
          <w:rFonts w:ascii="Arial" w:eastAsia="Arial" w:hAnsi="Arial" w:cs="Arial"/>
          <w:b w:val="0"/>
          <w:i w:val="0"/>
          <w:color w:val="000000"/>
          <w:sz w:val="20"/>
          <w:u w:val="none"/>
        </w:rPr>
        <w:t>2023</w:t>
      </w:r>
      <w:r>
        <w:rPr>
          <w:rFonts w:ascii="Arial" w:eastAsia="Arial" w:hAnsi="Arial" w:cs="Arial"/>
          <w:b w:val="0"/>
          <w:i w:val="0"/>
          <w:sz w:val="20"/>
        </w:rPr>
        <w:t xml:space="preserve">, our executive officers participated in the same group insurance and employee benefit plans, including long-term disability insurance, life insurance, and medical and dental benefits on the same basis as our other salaried employees. We pay the employee’s share of Bermudian government payroll and social insurance taxes for all of our Bermuda employees, including our executive officers based in Bermuda, which we believe is common practice at other Bermuda-based public companies. Our Bermuda-based executive officers also receive a payment in lieu of a retirement benefit contribution, as described below in "Executive Compensation Table - Narrative Disclosure to Summary Compensation Table and Grants of Plan-Based Awards Table - Retirement and Other Benefits." Our U.S.-based executive officers participate in our U.S. 401(k) plan, which has matching contributions. Mr. Silvester's employment agreement provides for certain additional benefits such as expense reimbursements for non-plan medical and dental items, reimbursement for Bermuda-to-U.K. personal commercial travel, and a housing benefit </w:t>
      </w:r>
      <w:r>
        <w:rPr>
          <w:rFonts w:ascii="Arial" w:eastAsia="Arial" w:hAnsi="Arial" w:cs="Arial"/>
          <w:b w:val="0"/>
          <w:i w:val="0"/>
          <w:sz w:val="20"/>
        </w:rPr>
        <w:t>in</w:t>
      </w:r>
      <w:r>
        <w:rPr>
          <w:rFonts w:ascii="Arial" w:eastAsia="Arial" w:hAnsi="Arial" w:cs="Arial"/>
          <w:b w:val="0"/>
          <w:i w:val="0"/>
          <w:sz w:val="20"/>
        </w:rPr>
        <w:t xml:space="preserve"> Bermuda.</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w:t>
      </w:r>
      <w:r>
        <w:rPr>
          <w:rFonts w:ascii="Arial" w:eastAsia="Arial" w:hAnsi="Arial" w:cs="Arial"/>
          <w:b w:val="0"/>
          <w:i w:val="0"/>
          <w:sz w:val="20"/>
        </w:rPr>
        <w:t>he Company</w:t>
      </w:r>
      <w:r>
        <w:rPr>
          <w:rFonts w:ascii="Arial" w:eastAsia="Arial" w:hAnsi="Arial" w:cs="Arial"/>
          <w:b w:val="0"/>
          <w:i w:val="0"/>
          <w:sz w:val="20"/>
        </w:rPr>
        <w:t xml:space="preserve">'s </w:t>
      </w:r>
      <w:r>
        <w:rPr>
          <w:rFonts w:ascii="Arial" w:eastAsia="Arial" w:hAnsi="Arial" w:cs="Arial"/>
          <w:b w:val="0"/>
          <w:i w:val="0"/>
          <w:sz w:val="20"/>
        </w:rPr>
        <w:t>policy</w:t>
      </w:r>
      <w:r>
        <w:rPr>
          <w:rFonts w:ascii="Arial" w:eastAsia="Arial" w:hAnsi="Arial" w:cs="Arial"/>
          <w:b w:val="0"/>
          <w:i w:val="0"/>
          <w:sz w:val="20"/>
        </w:rPr>
        <w:t xml:space="preserve"> </w:t>
      </w:r>
      <w:r>
        <w:rPr>
          <w:rFonts w:ascii="Arial" w:eastAsia="Arial" w:hAnsi="Arial" w:cs="Arial"/>
          <w:b w:val="0"/>
          <w:i w:val="0"/>
          <w:sz w:val="20"/>
        </w:rPr>
        <w:t>permits</w:t>
      </w:r>
      <w:r>
        <w:rPr>
          <w:rFonts w:ascii="Arial" w:eastAsia="Arial" w:hAnsi="Arial" w:cs="Arial"/>
          <w:b w:val="0"/>
          <w:i w:val="0"/>
          <w:sz w:val="20"/>
        </w:rPr>
        <w:t xml:space="preserve"> our </w:t>
      </w:r>
      <w:r>
        <w:rPr>
          <w:rFonts w:ascii="Arial" w:eastAsia="Arial" w:hAnsi="Arial" w:cs="Arial"/>
          <w:b w:val="0"/>
          <w:i w:val="0"/>
          <w:sz w:val="20"/>
        </w:rPr>
        <w:t xml:space="preserve">executive officers </w:t>
      </w:r>
      <w:r>
        <w:rPr>
          <w:rFonts w:ascii="Arial" w:eastAsia="Arial" w:hAnsi="Arial" w:cs="Arial"/>
          <w:b w:val="0"/>
          <w:i w:val="0"/>
          <w:sz w:val="20"/>
        </w:rPr>
        <w:t xml:space="preserve">to use private aircraft travel in </w:t>
      </w:r>
      <w:r>
        <w:rPr>
          <w:rFonts w:ascii="Arial" w:eastAsia="Arial" w:hAnsi="Arial" w:cs="Arial"/>
          <w:b w:val="0"/>
          <w:i w:val="0"/>
          <w:sz w:val="20"/>
        </w:rPr>
        <w:t xml:space="preserve">limited </w:t>
      </w:r>
      <w:r>
        <w:rPr>
          <w:rFonts w:ascii="Arial" w:eastAsia="Arial" w:hAnsi="Arial" w:cs="Arial"/>
          <w:b w:val="0"/>
          <w:i w:val="0"/>
          <w:sz w:val="20"/>
        </w:rPr>
        <w:t xml:space="preserve">circumstances where it provides </w:t>
      </w:r>
      <w:r>
        <w:rPr>
          <w:rFonts w:ascii="Arial" w:eastAsia="Arial" w:hAnsi="Arial" w:cs="Arial"/>
          <w:b w:val="0"/>
          <w:i w:val="0"/>
          <w:sz w:val="20"/>
        </w:rPr>
        <w:t xml:space="preserve">work efficiency and scheduling advantages. If a trip or portion of a trip for a business purpose includes elements or routing for the executive's convenience, the trip can proceed </w:t>
      </w:r>
      <w:r>
        <w:rPr>
          <w:rFonts w:ascii="Arial" w:eastAsia="Arial" w:hAnsi="Arial" w:cs="Arial"/>
          <w:b w:val="0"/>
          <w:i w:val="0"/>
          <w:sz w:val="20"/>
        </w:rPr>
        <w:t xml:space="preserve">if </w:t>
      </w:r>
      <w:r>
        <w:rPr>
          <w:rFonts w:ascii="Arial" w:eastAsia="Arial" w:hAnsi="Arial" w:cs="Arial"/>
          <w:b w:val="0"/>
          <w:i w:val="0"/>
          <w:sz w:val="20"/>
        </w:rPr>
        <w:t xml:space="preserve">within </w:t>
      </w:r>
      <w:r>
        <w:rPr>
          <w:rFonts w:ascii="Arial" w:eastAsia="Arial" w:hAnsi="Arial" w:cs="Arial"/>
          <w:b w:val="0"/>
          <w:i w:val="0"/>
          <w:sz w:val="20"/>
        </w:rPr>
        <w:t xml:space="preserve">policy limits or </w:t>
      </w:r>
      <w:r>
        <w:rPr>
          <w:rFonts w:ascii="Arial" w:eastAsia="Arial" w:hAnsi="Arial" w:cs="Arial"/>
          <w:b w:val="0"/>
          <w:i w:val="0"/>
          <w:sz w:val="20"/>
        </w:rPr>
        <w:t>subject to the Chairman of the Board's approval</w:t>
      </w:r>
      <w:r>
        <w:rPr>
          <w:rFonts w:ascii="Arial" w:eastAsia="Arial" w:hAnsi="Arial" w:cs="Arial"/>
          <w:b w:val="0"/>
          <w:i w:val="0"/>
          <w:sz w:val="20"/>
        </w:rPr>
        <w:t>.</w:t>
      </w:r>
      <w:r>
        <w:rPr>
          <w:rFonts w:ascii="Arial" w:eastAsia="Arial" w:hAnsi="Arial" w:cs="Arial"/>
          <w:b w:val="0"/>
          <w:i w:val="0"/>
          <w:sz w:val="20"/>
        </w:rPr>
        <w:t xml:space="preserve"> A</w:t>
      </w:r>
      <w:r>
        <w:rPr>
          <w:rFonts w:ascii="Arial" w:eastAsia="Arial" w:hAnsi="Arial" w:cs="Arial"/>
          <w:b w:val="0"/>
          <w:i w:val="0"/>
          <w:sz w:val="20"/>
        </w:rPr>
        <w:t>ny incremental cost</w:t>
      </w:r>
      <w:r>
        <w:rPr>
          <w:rFonts w:ascii="Arial" w:eastAsia="Arial" w:hAnsi="Arial" w:cs="Arial"/>
          <w:b w:val="0"/>
          <w:i w:val="0"/>
          <w:sz w:val="20"/>
        </w:rPr>
        <w:t xml:space="preserve"> to the </w:t>
      </w:r>
      <w:r>
        <w:rPr>
          <w:rFonts w:ascii="Arial" w:eastAsia="Arial" w:hAnsi="Arial" w:cs="Arial"/>
          <w:b w:val="0"/>
          <w:i w:val="0"/>
          <w:sz w:val="20"/>
        </w:rPr>
        <w:t>Co</w:t>
      </w:r>
      <w:r>
        <w:rPr>
          <w:rFonts w:ascii="Arial" w:eastAsia="Arial" w:hAnsi="Arial" w:cs="Arial"/>
          <w:b w:val="0"/>
          <w:i w:val="0"/>
          <w:sz w:val="20"/>
        </w:rPr>
        <w:t>mpany</w:t>
      </w:r>
      <w:r>
        <w:rPr>
          <w:rFonts w:ascii="Arial" w:eastAsia="Arial" w:hAnsi="Arial" w:cs="Arial"/>
          <w:b w:val="0"/>
          <w:i w:val="0"/>
          <w:sz w:val="20"/>
        </w:rPr>
        <w:t xml:space="preserve"> </w:t>
      </w:r>
      <w:r>
        <w:rPr>
          <w:rFonts w:ascii="Arial" w:eastAsia="Arial" w:hAnsi="Arial" w:cs="Arial"/>
          <w:b w:val="0"/>
          <w:i w:val="0"/>
          <w:sz w:val="20"/>
        </w:rPr>
        <w:t xml:space="preserve">associated with such personal use </w:t>
      </w:r>
      <w:r>
        <w:rPr>
          <w:rFonts w:ascii="Arial" w:eastAsia="Arial" w:hAnsi="Arial" w:cs="Arial"/>
          <w:b w:val="0"/>
          <w:i w:val="0"/>
          <w:sz w:val="20"/>
        </w:rPr>
        <w:t xml:space="preserve">is reported </w:t>
      </w:r>
      <w:r>
        <w:rPr>
          <w:rFonts w:ascii="Arial" w:eastAsia="Arial" w:hAnsi="Arial" w:cs="Arial"/>
          <w:b w:val="0"/>
          <w:i w:val="0"/>
          <w:sz w:val="20"/>
        </w:rPr>
        <w:t>in the Summary Compensation Table</w:t>
      </w:r>
      <w:r>
        <w:rPr>
          <w:rFonts w:ascii="Arial" w:eastAsia="Arial" w:hAnsi="Arial" w:cs="Arial"/>
          <w:b w:val="0"/>
          <w:i w:val="0"/>
          <w:sz w:val="20"/>
        </w:rPr>
        <w:t xml:space="preserve">. </w:t>
      </w:r>
      <w:r>
        <w:rPr>
          <w:rFonts w:ascii="Arial" w:eastAsia="Arial" w:hAnsi="Arial" w:cs="Arial"/>
          <w:b w:val="0"/>
          <w:i w:val="0"/>
          <w:sz w:val="20"/>
        </w:rPr>
        <w:t xml:space="preserve">During 2023, </w:t>
      </w:r>
      <w:r>
        <w:rPr>
          <w:rFonts w:ascii="Arial" w:eastAsia="Arial" w:hAnsi="Arial" w:cs="Arial"/>
          <w:b w:val="0"/>
          <w:i w:val="0"/>
          <w:sz w:val="20"/>
        </w:rPr>
        <w:t>t</w:t>
      </w:r>
      <w:r>
        <w:rPr>
          <w:rFonts w:ascii="Arial" w:eastAsia="Arial" w:hAnsi="Arial" w:cs="Arial"/>
          <w:b w:val="0"/>
          <w:i w:val="0"/>
          <w:sz w:val="20"/>
        </w:rPr>
        <w:t xml:space="preserve">he CEO’s immediate family members </w:t>
      </w:r>
      <w:r>
        <w:rPr>
          <w:rFonts w:ascii="Arial" w:eastAsia="Arial" w:hAnsi="Arial" w:cs="Arial"/>
          <w:b w:val="0"/>
          <w:i w:val="0"/>
          <w:sz w:val="20"/>
        </w:rPr>
        <w:t>accompanied him on certain business flights at no incremental cost to the Company.</w:t>
      </w:r>
      <w:r>
        <w:rPr>
          <w:rFonts w:ascii="Arial" w:eastAsia="Arial" w:hAnsi="Arial" w:cs="Arial"/>
          <w:b w:val="0"/>
          <w:i w:val="0"/>
          <w:sz w:val="20"/>
        </w:rPr>
        <w:t xml:space="preserve"> The Compa</w:t>
      </w:r>
      <w:r>
        <w:rPr>
          <w:rFonts w:ascii="Arial" w:eastAsia="Arial" w:hAnsi="Arial" w:cs="Arial"/>
          <w:b w:val="0"/>
          <w:i w:val="0"/>
          <w:sz w:val="20"/>
        </w:rPr>
        <w:t>ny's policy</w:t>
      </w:r>
      <w:r>
        <w:rPr>
          <w:rFonts w:ascii="Arial" w:eastAsia="Arial" w:hAnsi="Arial" w:cs="Arial"/>
          <w:b w:val="0"/>
          <w:i w:val="0"/>
          <w:sz w:val="20"/>
        </w:rPr>
        <w:t xml:space="preserve"> has an aggregate limit of all </w:t>
      </w:r>
      <w:r>
        <w:rPr>
          <w:rFonts w:ascii="Arial" w:eastAsia="Arial" w:hAnsi="Arial" w:cs="Arial"/>
          <w:b w:val="0"/>
          <w:i w:val="0"/>
          <w:sz w:val="20"/>
        </w:rPr>
        <w:t>private aircraft travel of $500,000 and</w:t>
      </w:r>
      <w:r>
        <w:rPr>
          <w:rFonts w:ascii="Arial" w:eastAsia="Arial" w:hAnsi="Arial" w:cs="Arial"/>
          <w:b w:val="0"/>
          <w:i w:val="0"/>
          <w:sz w:val="20"/>
        </w:rPr>
        <w:t xml:space="preserve"> a</w:t>
      </w:r>
      <w:r>
        <w:rPr>
          <w:rFonts w:ascii="Arial" w:eastAsia="Arial" w:hAnsi="Arial" w:cs="Arial"/>
          <w:b w:val="0"/>
          <w:i w:val="0"/>
          <w:sz w:val="20"/>
        </w:rPr>
        <w:t xml:space="preserve"> sub-limit of $150,000 for </w:t>
      </w:r>
      <w:r>
        <w:rPr>
          <w:rFonts w:ascii="Arial" w:eastAsia="Arial" w:hAnsi="Arial" w:cs="Arial"/>
          <w:b w:val="0"/>
          <w:i w:val="0"/>
          <w:sz w:val="20"/>
        </w:rPr>
        <w:t>Company-funded other acceptable use</w:t>
      </w:r>
      <w:r>
        <w:rPr>
          <w:rFonts w:ascii="Arial" w:eastAsia="Arial" w:hAnsi="Arial" w:cs="Arial"/>
          <w:b w:val="0"/>
          <w:i w:val="0"/>
          <w:sz w:val="20"/>
        </w:rPr>
        <w:t xml:space="preserve"> </w:t>
      </w:r>
      <w:r>
        <w:rPr>
          <w:rFonts w:ascii="Arial" w:eastAsia="Arial" w:hAnsi="Arial" w:cs="Arial"/>
          <w:b w:val="0"/>
          <w:i w:val="0"/>
          <w:sz w:val="20"/>
        </w:rPr>
        <w:t>by the CEO.</w:t>
      </w:r>
      <w:r>
        <w:rPr>
          <w:rFonts w:ascii="Arial" w:eastAsia="Arial" w:hAnsi="Arial" w:cs="Arial"/>
          <w:b w:val="0"/>
          <w:i w:val="0"/>
          <w:sz w:val="20"/>
        </w:rPr>
        <w:t xml:space="preserve"> Any Company-funded other acceptable use </w:t>
      </w:r>
      <w:r>
        <w:rPr>
          <w:rFonts w:ascii="Arial" w:eastAsia="Arial" w:hAnsi="Arial" w:cs="Arial"/>
          <w:b w:val="0"/>
          <w:i w:val="0"/>
          <w:sz w:val="20"/>
        </w:rPr>
        <w:t>would be</w:t>
      </w:r>
      <w:r>
        <w:rPr>
          <w:rFonts w:ascii="Arial" w:eastAsia="Arial" w:hAnsi="Arial" w:cs="Arial"/>
          <w:b w:val="0"/>
          <w:i w:val="0"/>
          <w:sz w:val="20"/>
        </w:rPr>
        <w:t xml:space="preserve"> reported in the Summary Compensation Table</w:t>
      </w:r>
      <w:r>
        <w:rPr>
          <w:rFonts w:ascii="Arial" w:eastAsia="Arial" w:hAnsi="Arial" w:cs="Arial"/>
          <w:b w:val="0"/>
          <w:i w:val="0"/>
          <w:sz w:val="20"/>
        </w:rPr>
        <w:t>, although there was none in 2023</w:t>
      </w:r>
      <w:r>
        <w:rPr>
          <w:rFonts w:ascii="Arial" w:eastAsia="Arial" w:hAnsi="Arial" w:cs="Arial"/>
          <w:b w:val="0"/>
          <w:i w:val="0"/>
          <w:sz w:val="20"/>
        </w:rPr>
        <w:t>.</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263"/>
          <w:footerReference w:type="default" r:id="rId264"/>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93" w:name="Section96"/>
      <w:bookmarkEnd w:id="93"/>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 xml:space="preserve">Change in Control and Post-Termination </w:t>
      </w:r>
      <w:r>
        <w:rPr>
          <w:rFonts w:ascii="Arial" w:eastAsia="Arial" w:hAnsi="Arial" w:cs="Arial"/>
          <w:b/>
          <w:i w:val="0"/>
          <w:color w:val="171449"/>
          <w:sz w:val="24"/>
          <w:u w:val="none"/>
        </w:rPr>
        <w:t>Payments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Upon a qualifying termination or change in control, our executive officers may be entitled to vesting of equity-based incentive awards and other severance payments and benefits pursuant to the terms of the Equity Plan and their employment agreements. These benefits vary, and are described below under "Executive Compensation Tables - Potential Payments Upon Termination or Change in Control."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terms of the employment agreements reflect arm’s-length negotiations between us and each executive officer regarding change in control and post-termination payments. See “Executive Compensation Tables - Narrative Disclosure to Summary Compensation Table and Grants of Plan Based Awards Table - Employment Agreements with Executive Officers" below for a summary of the employment agreements currently in effect. </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265"/>
          <w:footerReference w:type="default" r:id="rId266"/>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94" w:name="Section97"/>
      <w:bookmarkEnd w:id="94"/>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Clawback of Incentive Compensation</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We have a</w:t>
      </w:r>
      <w:r>
        <w:rPr>
          <w:rFonts w:ascii="Arial" w:eastAsia="Arial" w:hAnsi="Arial" w:cs="Arial"/>
          <w:b w:val="0"/>
          <w:i w:val="0"/>
          <w:sz w:val="20"/>
        </w:rPr>
        <w:t>dopted a recoupment policy (the "Clawback Policy") to comply with NAS</w:t>
      </w:r>
      <w:r>
        <w:rPr>
          <w:rFonts w:ascii="Arial" w:eastAsia="Arial" w:hAnsi="Arial" w:cs="Arial"/>
          <w:b w:val="0"/>
          <w:i w:val="0"/>
          <w:sz w:val="20"/>
        </w:rPr>
        <w:t>DAQ listing standards implemen</w:t>
      </w:r>
      <w:r>
        <w:rPr>
          <w:rFonts w:ascii="Arial" w:eastAsia="Arial" w:hAnsi="Arial" w:cs="Arial"/>
          <w:b w:val="0"/>
          <w:i w:val="0"/>
          <w:sz w:val="20"/>
        </w:rPr>
        <w:t>ting the compensation recovery requirements under the Dodd-Frank Wall Street R</w:t>
      </w:r>
      <w:r>
        <w:rPr>
          <w:rFonts w:ascii="Arial" w:eastAsia="Arial" w:hAnsi="Arial" w:cs="Arial"/>
          <w:b w:val="0"/>
          <w:i w:val="0"/>
          <w:sz w:val="20"/>
        </w:rPr>
        <w:t xml:space="preserve">eform and Consumer Protection Act. </w:t>
      </w:r>
      <w:r>
        <w:rPr>
          <w:rFonts w:ascii="Arial" w:eastAsia="Arial" w:hAnsi="Arial" w:cs="Arial"/>
          <w:b w:val="0"/>
          <w:i w:val="0"/>
          <w:sz w:val="20"/>
        </w:rPr>
        <w:t>The Clawback Policy require</w:t>
      </w:r>
      <w:r>
        <w:rPr>
          <w:rFonts w:ascii="Arial" w:eastAsia="Arial" w:hAnsi="Arial" w:cs="Arial"/>
          <w:b w:val="0"/>
          <w:i w:val="0"/>
          <w:sz w:val="20"/>
        </w:rPr>
        <w:t xml:space="preserve">s the Compensation Committee </w:t>
      </w:r>
      <w:r>
        <w:rPr>
          <w:rFonts w:ascii="Arial" w:eastAsia="Arial" w:hAnsi="Arial" w:cs="Arial"/>
          <w:b w:val="0"/>
          <w:i w:val="0"/>
          <w:sz w:val="20"/>
        </w:rPr>
        <w:t xml:space="preserve">to recoup certain cash and equity incentive compensation paid or granted to certain current and former executives officers in the event the Company is required to prepare an accounting restatement due to material noncompliance with any financial reporting requirement under the federal securities laws. Under the policy, the </w:t>
      </w:r>
      <w:r>
        <w:rPr>
          <w:rFonts w:ascii="Arial" w:eastAsia="Arial" w:hAnsi="Arial" w:cs="Arial"/>
          <w:b w:val="0"/>
          <w:i w:val="0"/>
          <w:sz w:val="20"/>
        </w:rPr>
        <w:t>Compensation</w:t>
      </w:r>
      <w:r>
        <w:rPr>
          <w:rFonts w:ascii="Arial" w:eastAsia="Arial" w:hAnsi="Arial" w:cs="Arial"/>
          <w:b w:val="0"/>
          <w:i w:val="0"/>
          <w:sz w:val="20"/>
        </w:rPr>
        <w:t xml:space="preserve"> </w:t>
      </w:r>
      <w:r>
        <w:rPr>
          <w:rFonts w:ascii="Arial" w:eastAsia="Arial" w:hAnsi="Arial" w:cs="Arial"/>
          <w:b w:val="0"/>
          <w:i w:val="0"/>
          <w:sz w:val="20"/>
        </w:rPr>
        <w:t>Committee will require recoupment if it determines that incentive-based compensation received by an executive exceeded the amount of incentive-based compensation that otherwise would have been received, had it been calculated based on the restated financial results.</w:t>
      </w:r>
      <w:r>
        <w:rPr>
          <w:rFonts w:ascii="Arial" w:eastAsia="Arial" w:hAnsi="Arial" w:cs="Arial"/>
          <w:b w:val="0"/>
          <w:i w:val="0"/>
          <w:sz w:val="20"/>
        </w:rPr>
        <w:t xml:space="preserve"> </w:t>
      </w:r>
      <w:r>
        <w:rPr>
          <w:rFonts w:ascii="Arial" w:eastAsia="Arial" w:hAnsi="Arial" w:cs="Arial"/>
          <w:b w:val="0"/>
          <w:i w:val="0"/>
          <w:sz w:val="20"/>
        </w:rPr>
        <w:t xml:space="preserve">In addition, our Clawback policy allows the Committee to seek </w:t>
      </w:r>
      <w:r>
        <w:rPr>
          <w:rFonts w:ascii="Arial" w:eastAsia="Arial" w:hAnsi="Arial" w:cs="Arial"/>
          <w:b w:val="0"/>
          <w:i w:val="0"/>
          <w:sz w:val="20"/>
        </w:rPr>
        <w:t>rec</w:t>
      </w:r>
      <w:r>
        <w:rPr>
          <w:rFonts w:ascii="Arial" w:eastAsia="Arial" w:hAnsi="Arial" w:cs="Arial"/>
          <w:b w:val="0"/>
          <w:i w:val="0"/>
          <w:sz w:val="20"/>
        </w:rPr>
        <w:t>oupment</w:t>
      </w:r>
      <w:r>
        <w:rPr>
          <w:rFonts w:ascii="Arial" w:eastAsia="Arial" w:hAnsi="Arial" w:cs="Arial"/>
          <w:b w:val="0"/>
          <w:i w:val="0"/>
          <w:sz w:val="20"/>
        </w:rPr>
        <w:t xml:space="preserve"> from</w:t>
      </w:r>
      <w:r>
        <w:rPr>
          <w:rFonts w:ascii="Arial" w:eastAsia="Arial" w:hAnsi="Arial" w:cs="Arial"/>
          <w:b w:val="0"/>
          <w:i w:val="0"/>
          <w:sz w:val="20"/>
        </w:rPr>
        <w:t xml:space="preserve"> or adjust the outstanding awards of any employee or director who engages in fraud, theft, misapp</w:t>
      </w:r>
      <w:r>
        <w:rPr>
          <w:rFonts w:ascii="Arial" w:eastAsia="Arial" w:hAnsi="Arial" w:cs="Arial"/>
          <w:b w:val="0"/>
          <w:i w:val="0"/>
          <w:sz w:val="20"/>
        </w:rPr>
        <w:t>r</w:t>
      </w:r>
      <w:r>
        <w:rPr>
          <w:rFonts w:ascii="Arial" w:eastAsia="Arial" w:hAnsi="Arial" w:cs="Arial"/>
          <w:b w:val="0"/>
          <w:i w:val="0"/>
          <w:sz w:val="20"/>
        </w:rPr>
        <w:t>opriat</w:t>
      </w:r>
      <w:r>
        <w:rPr>
          <w:rFonts w:ascii="Arial" w:eastAsia="Arial" w:hAnsi="Arial" w:cs="Arial"/>
          <w:b w:val="0"/>
          <w:i w:val="0"/>
          <w:sz w:val="20"/>
        </w:rPr>
        <w:t>ion o</w:t>
      </w:r>
      <w:r>
        <w:rPr>
          <w:rFonts w:ascii="Arial" w:eastAsia="Arial" w:hAnsi="Arial" w:cs="Arial"/>
          <w:b w:val="0"/>
          <w:i w:val="0"/>
          <w:sz w:val="20"/>
        </w:rPr>
        <w:t xml:space="preserve">r embezzlement, or otherwise acts in a bad faith manner that damages or impairs the Company or its business.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O</w:t>
      </w:r>
      <w:r>
        <w:rPr>
          <w:rFonts w:ascii="Arial" w:eastAsia="Arial" w:hAnsi="Arial" w:cs="Arial"/>
          <w:b w:val="0"/>
          <w:i w:val="0"/>
          <w:sz w:val="20"/>
        </w:rPr>
        <w:t xml:space="preserve">ur AIP works in conjunction with </w:t>
      </w:r>
      <w:r>
        <w:rPr>
          <w:rFonts w:ascii="Arial" w:eastAsia="Arial" w:hAnsi="Arial" w:cs="Arial"/>
          <w:b w:val="0"/>
          <w:i w:val="0"/>
          <w:sz w:val="20"/>
        </w:rPr>
        <w:t>the</w:t>
      </w:r>
      <w:r>
        <w:rPr>
          <w:rFonts w:ascii="Arial" w:eastAsia="Arial" w:hAnsi="Arial" w:cs="Arial"/>
          <w:b w:val="0"/>
          <w:i w:val="0"/>
          <w:sz w:val="20"/>
        </w:rPr>
        <w:t xml:space="preserve"> Clawback Policy in that it allows the Compensation Committee to cancel an award if the program participant has engaged in conduct or acts determined to be materially injurious, detrimental, or prejudicial to the Company's interest, and allows us to recoup any amount in excess of what the participant should have received under the terms of the award for any reason, including financial restatement, mistake in calculations, or other administrative error. Awards made under our Equity Plan are also subject to the Clawback Policy. In addition to the </w:t>
      </w:r>
      <w:r>
        <w:rPr>
          <w:rFonts w:ascii="Arial" w:eastAsia="Arial" w:hAnsi="Arial" w:cs="Arial"/>
          <w:b w:val="0"/>
          <w:i w:val="0"/>
          <w:sz w:val="20"/>
        </w:rPr>
        <w:t xml:space="preserve">Clawback </w:t>
      </w:r>
      <w:r>
        <w:rPr>
          <w:rFonts w:ascii="Arial" w:eastAsia="Arial" w:hAnsi="Arial" w:cs="Arial"/>
          <w:b w:val="0"/>
          <w:i w:val="0"/>
          <w:sz w:val="20"/>
        </w:rPr>
        <w:t>P</w:t>
      </w:r>
      <w:r>
        <w:rPr>
          <w:rFonts w:ascii="Arial" w:eastAsia="Arial" w:hAnsi="Arial" w:cs="Arial"/>
          <w:b w:val="0"/>
          <w:i w:val="0"/>
          <w:sz w:val="20"/>
        </w:rPr>
        <w:t xml:space="preserve">olicy, our </w:t>
      </w:r>
      <w:r>
        <w:rPr>
          <w:rFonts w:ascii="Arial" w:eastAsia="Arial" w:hAnsi="Arial" w:cs="Arial"/>
          <w:b w:val="0"/>
          <w:i w:val="0"/>
          <w:sz w:val="20"/>
        </w:rPr>
        <w:t>E</w:t>
      </w:r>
      <w:r>
        <w:rPr>
          <w:rFonts w:ascii="Arial" w:eastAsia="Arial" w:hAnsi="Arial" w:cs="Arial"/>
          <w:b w:val="0"/>
          <w:i w:val="0"/>
          <w:sz w:val="20"/>
        </w:rPr>
        <w:t xml:space="preserve">quity </w:t>
      </w:r>
      <w:r>
        <w:rPr>
          <w:rFonts w:ascii="Arial" w:eastAsia="Arial" w:hAnsi="Arial" w:cs="Arial"/>
          <w:b w:val="0"/>
          <w:i w:val="0"/>
          <w:sz w:val="20"/>
        </w:rPr>
        <w:t>P</w:t>
      </w:r>
      <w:r>
        <w:rPr>
          <w:rFonts w:ascii="Arial" w:eastAsia="Arial" w:hAnsi="Arial" w:cs="Arial"/>
          <w:b w:val="0"/>
          <w:i w:val="0"/>
          <w:sz w:val="20"/>
        </w:rPr>
        <w:t>lan provides that the Compensation Committee has the authority to require disgorgement of any profit, gain, or other benefit received in respect of restricted shares, options, and stock appreciation rights for a period of up to 12 months prior to the grantee’s termination for cause.  As a publicly traded company, the mandates of the Sarbanes-Oxley Act requiring clawback of compensation under specified circumstances also apply to us.</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267"/>
          <w:footerReference w:type="default" r:id="rId268"/>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95" w:name="Section98"/>
      <w:bookmarkEnd w:id="95"/>
    </w:p>
    <w:p>
      <w:pPr>
        <w:keepNext/>
        <w:keepLines w:val="0"/>
        <w:pageBreakBefore w:val="0"/>
        <w:widowControl/>
        <w:numPr>
          <w:ilvl w:val="0"/>
          <w:numId w:val="0"/>
        </w:numPr>
        <w:spacing w:before="0" w:after="10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Other Matters</w:t>
      </w:r>
    </w:p>
    <w:p>
      <w:pPr>
        <w:keepNext/>
        <w:keepLines w:val="0"/>
        <w:pageBreakBefore w:val="0"/>
        <w:widowControl/>
        <w:numPr>
          <w:ilvl w:val="0"/>
          <w:numId w:val="0"/>
        </w:numPr>
        <w:spacing w:before="0" w:after="60" w:line="288" w:lineRule="auto"/>
        <w:ind w:left="0" w:right="0" w:firstLine="0"/>
        <w:jc w:val="left"/>
        <w:outlineLvl w:val="2"/>
        <w:sectPr>
          <w:headerReference w:type="default" r:id="rId269"/>
          <w:footerReference w:type="default" r:id="rId270"/>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4495D1"/>
          <w:sz w:val="20"/>
          <w:u w:val="none"/>
        </w:rPr>
      </w:pPr>
      <w:bookmarkStart w:id="96" w:name="Section99"/>
      <w:bookmarkEnd w:id="96"/>
    </w:p>
    <w:p>
      <w:pPr>
        <w:keepNext w:val="0"/>
        <w:keepLines w:val="0"/>
        <w:pageBreakBefore w:val="0"/>
        <w:widowControl/>
        <w:numPr>
          <w:ilvl w:val="0"/>
          <w:numId w:val="0"/>
        </w:numPr>
        <w:spacing w:before="0" w:after="60" w:line="288" w:lineRule="auto"/>
        <w:ind w:left="0" w:right="0" w:firstLine="0"/>
        <w:jc w:val="both"/>
        <w:outlineLvl w:val="3"/>
        <w:rPr>
          <w:rFonts w:ascii="Arial" w:eastAsia="Arial" w:hAnsi="Arial" w:cs="Arial"/>
          <w:b/>
          <w:i w:val="0"/>
          <w:color w:val="4495D1"/>
          <w:sz w:val="20"/>
          <w:u w:val="none"/>
        </w:rPr>
      </w:pPr>
      <w:r>
        <w:rPr>
          <w:rFonts w:ascii="Arial" w:eastAsia="Arial" w:hAnsi="Arial" w:cs="Arial"/>
          <w:b/>
          <w:i w:val="0"/>
          <w:color w:val="4495D1"/>
          <w:sz w:val="20"/>
          <w:u w:val="none"/>
        </w:rPr>
        <w:t>Hedging</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Under our Insider Trading Policy, our directors, officers and employees (and members of such individuals’ immediate family with whom such individuals share a household, other persons with whom such individuals share a household, persons who principally rely on such individuals for financial support, and persons or entities over whom such individuals have control or influence with respect to a transaction in securities (i.e., a trustee of a trust or an executor of an estate)) are prohibited from</w:t>
      </w:r>
      <w:r>
        <w:rPr>
          <w:rFonts w:ascii="Arial" w:eastAsia="Arial" w:hAnsi="Arial" w:cs="Arial"/>
          <w:b w:val="0"/>
          <w:i w:val="0"/>
          <w:sz w:val="20"/>
        </w:rPr>
        <w:t>:</w:t>
      </w:r>
      <w:r>
        <w:rPr>
          <w:rFonts w:ascii="Arial" w:eastAsia="Arial" w:hAnsi="Arial" w:cs="Arial"/>
          <w:b w:val="0"/>
          <w:i w:val="0"/>
          <w:sz w:val="20"/>
        </w:rPr>
        <w:t xml:space="preserve"> (1) engaging in any hedging or monetization transactions involving our securities, such as zero-cost collars and forward sale contracts, and (2) trading in derivatives of our securities, such as exchange-traded put or call options and forward transactions. Further, such individuals are prohibited from short selling our </w:t>
      </w:r>
      <w:r>
        <w:rPr>
          <w:rFonts w:ascii="Arial" w:eastAsia="Arial" w:hAnsi="Arial" w:cs="Arial"/>
          <w:b w:val="0"/>
          <w:i w:val="0"/>
          <w:color w:val="000000"/>
          <w:sz w:val="20"/>
          <w:u w:val="none"/>
        </w:rPr>
        <w:t>shares.</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271"/>
          <w:footerReference w:type="default" r:id="rId272"/>
          <w:type w:val="continuous"/>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0"/>
          <w:u w:val="none"/>
        </w:rPr>
      </w:pPr>
      <w:bookmarkStart w:id="97" w:name="Section100"/>
      <w:bookmarkEnd w:id="97"/>
    </w:p>
    <w:p>
      <w:pPr>
        <w:keepNext/>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Share Ownership Guidelines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Our Share Ownership Guidelines require our executive officers</w:t>
      </w:r>
      <w:r>
        <w:rPr>
          <w:rFonts w:ascii="Arial" w:eastAsia="Arial" w:hAnsi="Arial" w:cs="Arial"/>
          <w:b w:val="0"/>
          <w:i w:val="0"/>
          <w:sz w:val="20"/>
        </w:rPr>
        <w:t>,</w:t>
      </w:r>
      <w:r>
        <w:rPr>
          <w:rFonts w:ascii="Arial" w:eastAsia="Arial" w:hAnsi="Arial" w:cs="Arial"/>
          <w:b w:val="0"/>
          <w:i w:val="0"/>
          <w:sz w:val="20"/>
        </w:rPr>
        <w:t xml:space="preserve"> </w:t>
      </w:r>
      <w:r>
        <w:rPr>
          <w:rFonts w:ascii="Arial" w:eastAsia="Arial" w:hAnsi="Arial" w:cs="Arial"/>
          <w:b w:val="0"/>
          <w:i w:val="0"/>
          <w:sz w:val="20"/>
        </w:rPr>
        <w:t>directors</w:t>
      </w:r>
      <w:r>
        <w:rPr>
          <w:rFonts w:ascii="Arial" w:eastAsia="Arial" w:hAnsi="Arial" w:cs="Arial"/>
          <w:b w:val="0"/>
          <w:i w:val="0"/>
          <w:sz w:val="20"/>
        </w:rPr>
        <w:t>,</w:t>
      </w:r>
      <w:r>
        <w:rPr>
          <w:rFonts w:ascii="Arial" w:eastAsia="Arial" w:hAnsi="Arial" w:cs="Arial"/>
          <w:b w:val="0"/>
          <w:i w:val="0"/>
          <w:sz w:val="20"/>
        </w:rPr>
        <w:t xml:space="preserve"> and </w:t>
      </w:r>
      <w:r>
        <w:rPr>
          <w:rFonts w:ascii="Arial" w:eastAsia="Arial" w:hAnsi="Arial" w:cs="Arial"/>
          <w:b w:val="0"/>
          <w:i w:val="0"/>
          <w:sz w:val="20"/>
        </w:rPr>
        <w:t>certain</w:t>
      </w:r>
      <w:r>
        <w:rPr>
          <w:rFonts w:ascii="Arial" w:eastAsia="Arial" w:hAnsi="Arial" w:cs="Arial"/>
          <w:b w:val="0"/>
          <w:i w:val="0"/>
          <w:sz w:val="20"/>
        </w:rPr>
        <w:t xml:space="preserve"> members of senior management</w:t>
      </w:r>
      <w:r>
        <w:rPr>
          <w:rFonts w:ascii="Arial" w:eastAsia="Arial" w:hAnsi="Arial" w:cs="Arial"/>
          <w:b w:val="0"/>
          <w:i w:val="0"/>
          <w:sz w:val="20"/>
        </w:rPr>
        <w:t xml:space="preserve"> to achieve and maintain ownership of our ordinary shares at the levels specified in the table below within </w:t>
      </w:r>
      <w:r>
        <w:rPr>
          <w:rFonts w:ascii="Arial" w:eastAsia="Arial" w:hAnsi="Arial" w:cs="Arial"/>
          <w:b w:val="0"/>
          <w:i w:val="0"/>
          <w:sz w:val="20"/>
        </w:rPr>
        <w:t>seven</w:t>
      </w:r>
      <w:r>
        <w:rPr>
          <w:rFonts w:ascii="Arial" w:eastAsia="Arial" w:hAnsi="Arial" w:cs="Arial"/>
          <w:b w:val="0"/>
          <w:i w:val="0"/>
          <w:sz w:val="20"/>
        </w:rPr>
        <w:t xml:space="preserve"> years of becoming subject to the guidelines. </w:t>
      </w:r>
      <w:r>
        <w:rPr>
          <w:rFonts w:ascii="Arial" w:eastAsia="Arial" w:hAnsi="Arial" w:cs="Arial"/>
          <w:b w:val="0"/>
          <w:i w:val="0"/>
          <w:sz w:val="20"/>
        </w:rPr>
        <w:t xml:space="preserve">An individual may not sell or otherwise dispose of Company shares </w:t>
      </w:r>
      <w:r>
        <w:rPr>
          <w:rFonts w:ascii="Arial" w:eastAsia="Arial" w:hAnsi="Arial" w:cs="Arial"/>
          <w:b w:val="0"/>
          <w:i w:val="0"/>
          <w:sz w:val="20"/>
        </w:rPr>
        <w:t>following th</w:t>
      </w:r>
      <w:r>
        <w:rPr>
          <w:rFonts w:ascii="Arial" w:eastAsia="Arial" w:hAnsi="Arial" w:cs="Arial"/>
          <w:b w:val="0"/>
          <w:i w:val="0"/>
          <w:sz w:val="20"/>
        </w:rPr>
        <w:t xml:space="preserve">e conclusion of the </w:t>
      </w:r>
      <w:r>
        <w:rPr>
          <w:rFonts w:ascii="Arial" w:eastAsia="Arial" w:hAnsi="Arial" w:cs="Arial"/>
          <w:b w:val="0"/>
          <w:i w:val="0"/>
          <w:sz w:val="20"/>
        </w:rPr>
        <w:t>seven</w:t>
      </w:r>
      <w:r>
        <w:rPr>
          <w:rFonts w:ascii="Arial" w:eastAsia="Arial" w:hAnsi="Arial" w:cs="Arial"/>
          <w:b w:val="0"/>
          <w:i w:val="0"/>
          <w:sz w:val="20"/>
        </w:rPr>
        <w:t xml:space="preserve"> year </w:t>
      </w:r>
      <w:r>
        <w:rPr>
          <w:rFonts w:ascii="Arial" w:eastAsia="Arial" w:hAnsi="Arial" w:cs="Arial"/>
          <w:b w:val="0"/>
          <w:i w:val="0"/>
          <w:sz w:val="20"/>
        </w:rPr>
        <w:t>accumulation</w:t>
      </w:r>
      <w:r>
        <w:rPr>
          <w:rFonts w:ascii="Arial" w:eastAsia="Arial" w:hAnsi="Arial" w:cs="Arial"/>
          <w:b w:val="0"/>
          <w:i w:val="0"/>
          <w:sz w:val="20"/>
        </w:rPr>
        <w:t xml:space="preserve"> period</w:t>
      </w:r>
      <w:r>
        <w:rPr>
          <w:rFonts w:ascii="Arial" w:eastAsia="Arial" w:hAnsi="Arial" w:cs="Arial"/>
          <w:b w:val="0"/>
          <w:i w:val="0"/>
          <w:sz w:val="20"/>
        </w:rPr>
        <w:t xml:space="preserve"> until he or she has met his or her minimum ownership requirement, except that</w:t>
      </w:r>
      <w:r>
        <w:rPr>
          <w:rFonts w:ascii="Arial" w:eastAsia="Arial" w:hAnsi="Arial" w:cs="Arial"/>
          <w:b w:val="0"/>
          <w:i w:val="0"/>
          <w:sz w:val="20"/>
        </w:rPr>
        <w:t xml:space="preserve"> shares may be withheld upon vesting to satisfy tax obligations. </w:t>
      </w:r>
      <w:r>
        <w:rPr>
          <w:rFonts w:ascii="Arial" w:eastAsia="Arial" w:hAnsi="Arial" w:cs="Arial"/>
          <w:b w:val="0"/>
          <w:i w:val="0"/>
          <w:sz w:val="20"/>
        </w:rPr>
        <w:t>Persons subject to the guidelines</w:t>
      </w:r>
      <w:r>
        <w:rPr>
          <w:rFonts w:ascii="Arial" w:eastAsia="Arial" w:hAnsi="Arial" w:cs="Arial"/>
          <w:b w:val="0"/>
          <w:i w:val="0"/>
          <w:sz w:val="20"/>
        </w:rPr>
        <w:t xml:space="preserve"> who have not yet met their share ownership objective </w:t>
      </w:r>
      <w:r>
        <w:rPr>
          <w:rFonts w:ascii="Arial" w:eastAsia="Arial" w:hAnsi="Arial" w:cs="Arial"/>
          <w:b w:val="0"/>
          <w:i w:val="0"/>
          <w:sz w:val="20"/>
        </w:rPr>
        <w:t>during the accumulation per</w:t>
      </w:r>
      <w:r>
        <w:rPr>
          <w:rFonts w:ascii="Arial" w:eastAsia="Arial" w:hAnsi="Arial" w:cs="Arial"/>
          <w:b w:val="0"/>
          <w:i w:val="0"/>
          <w:sz w:val="20"/>
        </w:rPr>
        <w:t>io</w:t>
      </w:r>
      <w:r>
        <w:rPr>
          <w:rFonts w:ascii="Arial" w:eastAsia="Arial" w:hAnsi="Arial" w:cs="Arial"/>
          <w:b w:val="0"/>
          <w:i w:val="0"/>
          <w:sz w:val="20"/>
        </w:rPr>
        <w:t xml:space="preserve">d </w:t>
      </w:r>
      <w:r>
        <w:rPr>
          <w:rFonts w:ascii="Arial" w:eastAsia="Arial" w:hAnsi="Arial" w:cs="Arial"/>
          <w:b w:val="0"/>
          <w:i w:val="0"/>
          <w:sz w:val="20"/>
        </w:rPr>
        <w:t>must retain 50% of the shares (after paying taxes)</w:t>
      </w:r>
      <w:r>
        <w:rPr>
          <w:rFonts w:ascii="Arial" w:eastAsia="Arial" w:hAnsi="Arial" w:cs="Arial"/>
          <w:b w:val="0"/>
          <w:i w:val="0"/>
          <w:sz w:val="20"/>
        </w:rPr>
        <w:t xml:space="preserve"> </w:t>
      </w:r>
      <w:r>
        <w:rPr>
          <w:rFonts w:ascii="Arial" w:eastAsia="Arial" w:hAnsi="Arial" w:cs="Arial"/>
          <w:b w:val="0"/>
          <w:i w:val="0"/>
          <w:sz w:val="20"/>
        </w:rPr>
        <w:t>obtained from option exercises or from the release of performance shares or restricted stock awards until the earlier of the date</w:t>
      </w:r>
      <w:r>
        <w:rPr>
          <w:rFonts w:ascii="Arial" w:eastAsia="Arial" w:hAnsi="Arial" w:cs="Arial"/>
          <w:b w:val="0"/>
          <w:i w:val="0"/>
          <w:sz w:val="20"/>
        </w:rPr>
        <w:t xml:space="preserve"> </w:t>
      </w:r>
      <w:r>
        <w:rPr>
          <w:rFonts w:ascii="Arial" w:eastAsia="Arial" w:hAnsi="Arial" w:cs="Arial"/>
          <w:b w:val="0"/>
          <w:i w:val="0"/>
          <w:sz w:val="20"/>
        </w:rPr>
        <w:t xml:space="preserve">on which the share ownership objective is met or separation from the Company. </w:t>
      </w:r>
      <w:r>
        <w:rPr>
          <w:rFonts w:ascii="Arial" w:eastAsia="Arial" w:hAnsi="Arial" w:cs="Arial"/>
          <w:b w:val="0"/>
          <w:i w:val="0"/>
          <w:sz w:val="20"/>
        </w:rPr>
        <w:t xml:space="preserve">In cases where covered persons hold multiple roles with different share ownership requirements, the higher ownership requirement applies. All covered persons are currently in compliance with our Share Ownership Guidelines, which are as follows: </w:t>
      </w: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6660"/>
        <w:gridCol w:w="3600"/>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6660"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Officer</w:t>
            </w:r>
          </w:p>
          <w:p>
            <w:pPr>
              <w:pageBreakBefore w:val="0"/>
              <w:numPr>
                <w:ilvl w:val="0"/>
                <w:numId w:val="0"/>
              </w:numPr>
              <w:spacing w:before="0" w:after="30" w:line="240" w:lineRule="auto"/>
              <w:ind w:left="0" w:right="0" w:firstLine="0"/>
              <w:jc w:val="left"/>
              <w:outlineLvl w:val="9"/>
              <w:rPr>
                <w:rFonts w:ascii="Arial" w:eastAsia="Arial" w:hAnsi="Arial" w:cs="Arial"/>
                <w:b w:val="0"/>
                <w:i w:val="0"/>
                <w:sz w:val="6"/>
              </w:rPr>
            </w:pPr>
            <w:r>
              <w:rPr>
                <w:rFonts w:ascii="Arial" w:eastAsia="Arial" w:hAnsi="Arial" w:cs="Arial"/>
                <w:b w:val="0"/>
                <w:i w:val="0"/>
                <w:sz w:val="6"/>
              </w:rPr>
              <w:t xml:space="preserve"> </w:t>
            </w:r>
          </w:p>
        </w:tc>
        <w:tc>
          <w:tcPr>
            <w:tcW w:w="3600" w:type="dxa"/>
            <w:tcBorders>
              <w:top w:val="nil"/>
              <w:left w:val="nil"/>
              <w:bottom w:val="single" w:sz="12" w:space="0" w:color="4494D1"/>
              <w:right w:val="nil"/>
            </w:tcBorders>
            <w:tcMar>
              <w:top w:w="0" w:type="dxa"/>
              <w:left w:w="53" w:type="dxa"/>
              <w:bottom w:w="0" w:type="dxa"/>
              <w:right w:w="53" w:type="dxa"/>
            </w:tcMar>
            <w:vAlign w:val="bottom"/>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8"/>
              </w:rPr>
            </w:pPr>
            <w:r>
              <w:rPr>
                <w:rFonts w:ascii="Arial" w:eastAsia="Arial" w:hAnsi="Arial" w:cs="Arial"/>
                <w:b/>
                <w:i w:val="0"/>
                <w:sz w:val="18"/>
              </w:rPr>
              <w:t>Ownership Requirement</w:t>
            </w:r>
          </w:p>
          <w:p>
            <w:pPr>
              <w:pageBreakBefore w:val="0"/>
              <w:numPr>
                <w:ilvl w:val="0"/>
                <w:numId w:val="0"/>
              </w:numPr>
              <w:spacing w:before="0" w:after="30" w:line="240" w:lineRule="auto"/>
              <w:ind w:left="0" w:right="0" w:firstLine="0"/>
              <w:jc w:val="left"/>
              <w:outlineLvl w:val="9"/>
              <w:rPr>
                <w:rFonts w:ascii="Arial" w:eastAsia="Arial" w:hAnsi="Arial" w:cs="Arial"/>
                <w:b w:val="0"/>
                <w:i w:val="0"/>
                <w:sz w:val="6"/>
              </w:rPr>
            </w:pPr>
            <w:r>
              <w:rPr>
                <w:rFonts w:ascii="Arial" w:eastAsia="Arial" w:hAnsi="Arial" w:cs="Arial"/>
                <w:b w:val="0"/>
                <w:i w:val="0"/>
                <w:sz w:val="6"/>
              </w:rPr>
              <w:t xml:space="preserve"> </w:t>
            </w:r>
          </w:p>
        </w:tc>
      </w:tr>
      <w:tr>
        <w:tblPrEx>
          <w:tblW w:w="10260" w:type="dxa"/>
          <w:jc w:val="left"/>
          <w:tblInd w:w="0" w:type="dxa"/>
          <w:tblLayout w:type="fixed"/>
          <w:tblCellMar>
            <w:left w:w="108" w:type="dxa"/>
            <w:right w:w="108" w:type="dxa"/>
          </w:tblCellMar>
        </w:tblPrEx>
        <w:trPr>
          <w:cantSplit/>
          <w:trHeight w:hRule="exact" w:val="345"/>
          <w:jc w:val="left"/>
        </w:trPr>
        <w:tc>
          <w:tcPr>
            <w:tcW w:w="6660" w:type="dxa"/>
            <w:tcBorders>
              <w:top w:val="single" w:sz="12" w:space="0" w:color="4494D1"/>
              <w:left w:val="nil"/>
              <w:bottom w:val="single" w:sz="4" w:space="0" w:color="000000"/>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CEO</w:t>
            </w:r>
          </w:p>
        </w:tc>
        <w:tc>
          <w:tcPr>
            <w:tcW w:w="3600" w:type="dxa"/>
            <w:tcBorders>
              <w:top w:val="single" w:sz="12" w:space="0" w:color="4494D1"/>
              <w:left w:val="nil"/>
              <w:bottom w:val="single" w:sz="4" w:space="0" w:color="000000"/>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6x base salary</w:t>
            </w:r>
          </w:p>
        </w:tc>
      </w:tr>
      <w:tr>
        <w:tblPrEx>
          <w:tblW w:w="10260" w:type="dxa"/>
          <w:jc w:val="left"/>
          <w:tblInd w:w="0" w:type="dxa"/>
          <w:tblLayout w:type="fixed"/>
          <w:tblCellMar>
            <w:left w:w="108" w:type="dxa"/>
            <w:right w:w="108" w:type="dxa"/>
          </w:tblCellMar>
        </w:tblPrEx>
        <w:trPr>
          <w:cantSplit/>
          <w:trHeight w:hRule="exact" w:val="345"/>
          <w:jc w:val="left"/>
        </w:trPr>
        <w:tc>
          <w:tcPr>
            <w:tcW w:w="6660" w:type="dxa"/>
            <w:tcBorders>
              <w:top w:val="single" w:sz="4" w:space="0" w:color="000000"/>
              <w:left w:val="nil"/>
              <w:bottom w:val="single" w:sz="4" w:space="0" w:color="000000"/>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President</w:t>
            </w:r>
          </w:p>
        </w:tc>
        <w:tc>
          <w:tcPr>
            <w:tcW w:w="3600" w:type="dxa"/>
            <w:tcBorders>
              <w:top w:val="single" w:sz="4" w:space="0" w:color="000000"/>
              <w:left w:val="nil"/>
              <w:bottom w:val="single" w:sz="4" w:space="0" w:color="000000"/>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3x base salary</w:t>
            </w:r>
          </w:p>
        </w:tc>
      </w:tr>
      <w:tr>
        <w:tblPrEx>
          <w:tblW w:w="10260" w:type="dxa"/>
          <w:jc w:val="left"/>
          <w:tblInd w:w="0" w:type="dxa"/>
          <w:tblLayout w:type="fixed"/>
          <w:tblCellMar>
            <w:left w:w="108" w:type="dxa"/>
            <w:right w:w="108" w:type="dxa"/>
          </w:tblCellMar>
        </w:tblPrEx>
        <w:trPr>
          <w:cantSplit/>
          <w:trHeight w:hRule="exact" w:val="345"/>
          <w:jc w:val="left"/>
        </w:trPr>
        <w:tc>
          <w:tcPr>
            <w:tcW w:w="6660" w:type="dxa"/>
            <w:tcBorders>
              <w:top w:val="single" w:sz="4" w:space="0" w:color="000000"/>
              <w:left w:val="nil"/>
              <w:bottom w:val="single" w:sz="4" w:space="0" w:color="000000"/>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Other Executive Officers</w:t>
            </w:r>
            <w:r>
              <w:rPr>
                <w:rFonts w:ascii="Arial" w:eastAsia="Arial" w:hAnsi="Arial" w:cs="Arial"/>
                <w:b w:val="0"/>
                <w:i w:val="0"/>
                <w:sz w:val="18"/>
              </w:rPr>
              <w:t xml:space="preserve"> </w:t>
            </w:r>
            <w:r>
              <w:rPr>
                <w:rFonts w:ascii="Arial" w:eastAsia="Arial" w:hAnsi="Arial" w:cs="Arial"/>
                <w:b w:val="0"/>
                <w:i w:val="0"/>
                <w:sz w:val="18"/>
              </w:rPr>
              <w:t>and S</w:t>
            </w:r>
            <w:r>
              <w:rPr>
                <w:rFonts w:ascii="Arial" w:eastAsia="Arial" w:hAnsi="Arial" w:cs="Arial"/>
                <w:b w:val="0"/>
                <w:i w:val="0"/>
                <w:sz w:val="18"/>
              </w:rPr>
              <w:t>elect Members of Senior Management</w:t>
            </w:r>
          </w:p>
        </w:tc>
        <w:tc>
          <w:tcPr>
            <w:tcW w:w="3600" w:type="dxa"/>
            <w:tcBorders>
              <w:top w:val="single" w:sz="4" w:space="0" w:color="000000"/>
              <w:left w:val="nil"/>
              <w:bottom w:val="single" w:sz="4" w:space="0" w:color="000000"/>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2x base salary</w:t>
            </w:r>
          </w:p>
        </w:tc>
      </w:tr>
      <w:tr>
        <w:tblPrEx>
          <w:tblW w:w="10260" w:type="dxa"/>
          <w:jc w:val="left"/>
          <w:tblInd w:w="0" w:type="dxa"/>
          <w:tblLayout w:type="fixed"/>
          <w:tblCellMar>
            <w:left w:w="108" w:type="dxa"/>
            <w:right w:w="108" w:type="dxa"/>
          </w:tblCellMar>
        </w:tblPrEx>
        <w:trPr>
          <w:cantSplit/>
          <w:trHeight w:hRule="exact" w:val="345"/>
          <w:jc w:val="left"/>
        </w:trPr>
        <w:tc>
          <w:tcPr>
            <w:tcW w:w="6660" w:type="dxa"/>
            <w:tcBorders>
              <w:top w:val="single" w:sz="4" w:space="0" w:color="000000"/>
              <w:left w:val="nil"/>
              <w:bottom w:val="single" w:sz="4" w:space="0" w:color="000000"/>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Non-Employee Directors</w:t>
            </w:r>
          </w:p>
        </w:tc>
        <w:tc>
          <w:tcPr>
            <w:tcW w:w="3600" w:type="dxa"/>
            <w:tcBorders>
              <w:top w:val="single" w:sz="4" w:space="0" w:color="000000"/>
              <w:left w:val="nil"/>
              <w:bottom w:val="single" w:sz="4" w:space="0" w:color="000000"/>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5</w:t>
            </w:r>
            <w:r>
              <w:rPr>
                <w:rFonts w:ascii="Arial" w:eastAsia="Arial" w:hAnsi="Arial" w:cs="Arial"/>
                <w:b w:val="0"/>
                <w:i w:val="0"/>
                <w:sz w:val="18"/>
              </w:rPr>
              <w:t>x</w:t>
            </w:r>
            <w:r>
              <w:rPr>
                <w:rFonts w:ascii="Arial" w:eastAsia="Arial" w:hAnsi="Arial" w:cs="Arial"/>
                <w:b w:val="0"/>
                <w:i w:val="0"/>
                <w:sz w:val="18"/>
              </w:rPr>
              <w:t xml:space="preserve"> annual Board cash retainer</w:t>
            </w:r>
          </w:p>
        </w:tc>
      </w:tr>
      <w:tr>
        <w:tblPrEx>
          <w:tblW w:w="10260" w:type="dxa"/>
          <w:jc w:val="left"/>
          <w:tblInd w:w="0" w:type="dxa"/>
          <w:tblLayout w:type="fixed"/>
          <w:tblCellMar>
            <w:left w:w="108" w:type="dxa"/>
            <w:right w:w="108" w:type="dxa"/>
          </w:tblCellMar>
        </w:tblPrEx>
        <w:trPr>
          <w:cantSplit/>
          <w:trHeight w:hRule="exact" w:val="120"/>
          <w:jc w:val="left"/>
        </w:trPr>
        <w:tc>
          <w:tcPr>
            <w:tcW w:w="6660" w:type="dxa"/>
            <w:tcBorders>
              <w:top w:val="single" w:sz="4" w:space="0" w:color="000000"/>
              <w:left w:val="nil"/>
              <w:bottom w:val="nil"/>
              <w:right w:val="nil"/>
            </w:tcBorders>
            <w:shd w:val="clear" w:color="auto" w:fill="FFFFFF"/>
            <w:tcMar>
              <w:top w:w="0" w:type="dxa"/>
              <w:left w:w="0" w:type="dxa"/>
              <w:bottom w:w="0" w:type="dxa"/>
              <w:right w:w="0" w:type="dxa"/>
            </w:tcMar>
            <w:vAlign w:val="bottom"/>
          </w:tcPr>
          <w:p>
            <w:pPr>
              <w:pageBreakBefore w:val="0"/>
              <w:spacing w:before="0" w:after="0"/>
            </w:pPr>
          </w:p>
        </w:tc>
        <w:tc>
          <w:tcPr>
            <w:tcW w:w="3600" w:type="dxa"/>
            <w:tcBorders>
              <w:top w:val="single" w:sz="4" w:space="0" w:color="000000"/>
              <w:left w:val="nil"/>
              <w:bottom w:val="nil"/>
              <w:right w:val="nil"/>
            </w:tcBorders>
            <w:shd w:val="clear" w:color="auto" w:fill="FFFFFF"/>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Individuals may satisfy their ownership requirements with (i) shares owned directly or indirectly (including </w:t>
      </w:r>
      <w:r>
        <w:rPr>
          <w:rFonts w:ascii="Arial" w:eastAsia="Arial" w:hAnsi="Arial" w:cs="Arial"/>
          <w:b w:val="0"/>
          <w:i w:val="0"/>
          <w:sz w:val="20"/>
        </w:rPr>
        <w:t>shar</w:t>
      </w:r>
      <w:r>
        <w:rPr>
          <w:rFonts w:ascii="Arial" w:eastAsia="Arial" w:hAnsi="Arial" w:cs="Arial"/>
          <w:b w:val="0"/>
          <w:i w:val="0"/>
          <w:sz w:val="20"/>
        </w:rPr>
        <w:t>e</w:t>
      </w:r>
      <w:r>
        <w:rPr>
          <w:rFonts w:ascii="Arial" w:eastAsia="Arial" w:hAnsi="Arial" w:cs="Arial"/>
          <w:b w:val="0"/>
          <w:i w:val="0"/>
          <w:sz w:val="20"/>
        </w:rPr>
        <w:t>s owned by a spouse</w:t>
      </w:r>
      <w:r>
        <w:rPr>
          <w:rFonts w:ascii="Arial" w:eastAsia="Arial" w:hAnsi="Arial" w:cs="Arial"/>
          <w:b w:val="0"/>
          <w:i w:val="0"/>
          <w:sz w:val="20"/>
        </w:rPr>
        <w:t xml:space="preserve">, a trust or other estate planning </w:t>
      </w:r>
      <w:r>
        <w:rPr>
          <w:rFonts w:ascii="Arial" w:eastAsia="Arial" w:hAnsi="Arial" w:cs="Arial"/>
          <w:b w:val="0"/>
          <w:i w:val="0"/>
          <w:sz w:val="20"/>
        </w:rPr>
        <w:t>vehicle</w:t>
      </w:r>
      <w:r>
        <w:rPr>
          <w:rFonts w:ascii="Arial" w:eastAsia="Arial" w:hAnsi="Arial" w:cs="Arial"/>
          <w:b w:val="0"/>
          <w:i w:val="0"/>
          <w:sz w:val="20"/>
        </w:rPr>
        <w:t>,</w:t>
      </w:r>
      <w:r>
        <w:rPr>
          <w:rFonts w:ascii="Arial" w:eastAsia="Arial" w:hAnsi="Arial" w:cs="Arial"/>
          <w:b w:val="0"/>
          <w:i w:val="0"/>
          <w:sz w:val="20"/>
        </w:rPr>
        <w:t xml:space="preserve"> and</w:t>
      </w:r>
      <w:r>
        <w:rPr>
          <w:rFonts w:ascii="Arial" w:eastAsia="Arial" w:hAnsi="Arial" w:cs="Arial"/>
          <w:b w:val="0"/>
          <w:i w:val="0"/>
          <w:sz w:val="20"/>
        </w:rPr>
        <w:t xml:space="preserve"> </w:t>
      </w:r>
      <w:r>
        <w:rPr>
          <w:rFonts w:ascii="Arial" w:eastAsia="Arial" w:hAnsi="Arial" w:cs="Arial"/>
          <w:b w:val="0"/>
          <w:i w:val="0"/>
          <w:sz w:val="20"/>
        </w:rPr>
        <w:t xml:space="preserve">shares </w:t>
      </w:r>
      <w:r>
        <w:rPr>
          <w:rFonts w:ascii="Arial" w:eastAsia="Arial" w:hAnsi="Arial" w:cs="Arial"/>
          <w:b w:val="0"/>
          <w:i w:val="0"/>
          <w:sz w:val="20"/>
        </w:rPr>
        <w:t>represented by amount</w:t>
      </w:r>
      <w:r>
        <w:rPr>
          <w:rFonts w:ascii="Arial" w:eastAsia="Arial" w:hAnsi="Arial" w:cs="Arial"/>
          <w:b w:val="0"/>
          <w:i w:val="0"/>
          <w:sz w:val="20"/>
        </w:rPr>
        <w:t xml:space="preserve">s invested </w:t>
      </w:r>
      <w:r>
        <w:rPr>
          <w:rFonts w:ascii="Arial" w:eastAsia="Arial" w:hAnsi="Arial" w:cs="Arial"/>
          <w:b w:val="0"/>
          <w:i w:val="0"/>
          <w:sz w:val="20"/>
        </w:rPr>
        <w:t>in a r</w:t>
      </w:r>
      <w:r>
        <w:rPr>
          <w:rFonts w:ascii="Arial" w:eastAsia="Arial" w:hAnsi="Arial" w:cs="Arial"/>
          <w:b w:val="0"/>
          <w:i w:val="0"/>
          <w:sz w:val="20"/>
        </w:rPr>
        <w:t>etirement account or deferred compensation plan maintained by the Company</w:t>
      </w:r>
      <w:r>
        <w:rPr>
          <w:rFonts w:ascii="Arial" w:eastAsia="Arial" w:hAnsi="Arial" w:cs="Arial"/>
          <w:b w:val="0"/>
          <w:i w:val="0"/>
          <w:sz w:val="20"/>
        </w:rPr>
        <w:t xml:space="preserve"> or an affiliate</w:t>
      </w:r>
      <w:r>
        <w:rPr>
          <w:rFonts w:ascii="Arial" w:eastAsia="Arial" w:hAnsi="Arial" w:cs="Arial"/>
          <w:b w:val="0"/>
          <w:i w:val="0"/>
          <w:sz w:val="20"/>
        </w:rPr>
        <w:t xml:space="preserve">), (ii) time vested restricted stock, RSUs or phantom stock, </w:t>
      </w:r>
      <w:r>
        <w:rPr>
          <w:rFonts w:ascii="Arial" w:eastAsia="Arial" w:hAnsi="Arial" w:cs="Arial"/>
          <w:b w:val="0"/>
          <w:i w:val="0"/>
          <w:sz w:val="20"/>
        </w:rPr>
        <w:t>or (i</w:t>
      </w:r>
      <w:r>
        <w:rPr>
          <w:rFonts w:ascii="Arial" w:eastAsia="Arial" w:hAnsi="Arial" w:cs="Arial"/>
          <w:b w:val="0"/>
          <w:i w:val="0"/>
          <w:sz w:val="20"/>
        </w:rPr>
        <w:t>ii</w:t>
      </w:r>
      <w:r>
        <w:rPr>
          <w:rFonts w:ascii="Arial" w:eastAsia="Arial" w:hAnsi="Arial" w:cs="Arial"/>
          <w:b w:val="0"/>
          <w:i w:val="0"/>
          <w:sz w:val="20"/>
        </w:rPr>
        <w:t xml:space="preserve">) share units held in a non-employee director's deferred compensation plan. </w:t>
      </w:r>
      <w:r>
        <w:rPr>
          <w:rFonts w:ascii="Arial" w:eastAsia="Arial" w:hAnsi="Arial" w:cs="Arial"/>
          <w:b w:val="0"/>
          <w:i w:val="0"/>
          <w:sz w:val="20"/>
        </w:rPr>
        <w:t>PSUs</w:t>
      </w:r>
      <w:r>
        <w:rPr>
          <w:rFonts w:ascii="Arial" w:eastAsia="Arial" w:hAnsi="Arial" w:cs="Arial"/>
          <w:b w:val="0"/>
          <w:i w:val="0"/>
          <w:sz w:val="20"/>
        </w:rPr>
        <w:t>,</w:t>
      </w:r>
      <w:r>
        <w:rPr>
          <w:rFonts w:ascii="Arial" w:eastAsia="Arial" w:hAnsi="Arial" w:cs="Arial"/>
          <w:b w:val="0"/>
          <w:i w:val="0"/>
          <w:sz w:val="20"/>
        </w:rPr>
        <w:t xml:space="preserve"> </w:t>
      </w:r>
      <w:r>
        <w:rPr>
          <w:rFonts w:ascii="Arial" w:eastAsia="Arial" w:hAnsi="Arial" w:cs="Arial"/>
          <w:b w:val="0"/>
          <w:i w:val="0"/>
          <w:sz w:val="20"/>
        </w:rPr>
        <w:t>s</w:t>
      </w:r>
      <w:r>
        <w:rPr>
          <w:rFonts w:ascii="Arial" w:eastAsia="Arial" w:hAnsi="Arial" w:cs="Arial"/>
          <w:b w:val="0"/>
          <w:i w:val="0"/>
          <w:sz w:val="20"/>
        </w:rPr>
        <w:t>hares pledged as collateral for any reason,</w:t>
      </w:r>
      <w:r>
        <w:rPr>
          <w:rFonts w:ascii="Arial" w:eastAsia="Arial" w:hAnsi="Arial" w:cs="Arial"/>
          <w:b w:val="0"/>
          <w:i w:val="0"/>
          <w:sz w:val="20"/>
        </w:rPr>
        <w:t xml:space="preserve"> </w:t>
      </w:r>
      <w:r>
        <w:rPr>
          <w:rFonts w:ascii="Arial" w:eastAsia="Arial" w:hAnsi="Arial" w:cs="Arial"/>
          <w:b w:val="0"/>
          <w:i w:val="0"/>
          <w:sz w:val="20"/>
        </w:rPr>
        <w:t>un</w:t>
      </w:r>
      <w:r>
        <w:rPr>
          <w:rFonts w:ascii="Arial" w:eastAsia="Arial" w:hAnsi="Arial" w:cs="Arial"/>
          <w:b w:val="0"/>
          <w:i w:val="0"/>
          <w:sz w:val="20"/>
        </w:rPr>
        <w:t>exerci</w:t>
      </w:r>
      <w:r>
        <w:rPr>
          <w:rFonts w:ascii="Arial" w:eastAsia="Arial" w:hAnsi="Arial" w:cs="Arial"/>
          <w:b w:val="0"/>
          <w:i w:val="0"/>
          <w:sz w:val="20"/>
        </w:rPr>
        <w:t>s</w:t>
      </w:r>
      <w:r>
        <w:rPr>
          <w:rFonts w:ascii="Arial" w:eastAsia="Arial" w:hAnsi="Arial" w:cs="Arial"/>
          <w:b w:val="0"/>
          <w:i w:val="0"/>
          <w:sz w:val="20"/>
        </w:rPr>
        <w:t>ed stock appreciation rights and</w:t>
      </w:r>
      <w:r>
        <w:rPr>
          <w:rFonts w:ascii="Arial" w:eastAsia="Arial" w:hAnsi="Arial" w:cs="Arial"/>
          <w:b w:val="0"/>
          <w:i w:val="0"/>
          <w:sz w:val="20"/>
        </w:rPr>
        <w:t xml:space="preserve"> </w:t>
      </w:r>
      <w:r>
        <w:rPr>
          <w:rFonts w:ascii="Arial" w:eastAsia="Arial" w:hAnsi="Arial" w:cs="Arial"/>
          <w:b w:val="0"/>
          <w:i w:val="0"/>
          <w:sz w:val="20"/>
        </w:rPr>
        <w:t xml:space="preserve">options (whether vested or unvested), and </w:t>
      </w:r>
      <w:r>
        <w:rPr>
          <w:rFonts w:ascii="Arial" w:eastAsia="Arial" w:hAnsi="Arial" w:cs="Arial"/>
          <w:b w:val="0"/>
          <w:i w:val="0"/>
          <w:sz w:val="20"/>
        </w:rPr>
        <w:t>l</w:t>
      </w:r>
      <w:r>
        <w:rPr>
          <w:rFonts w:ascii="Arial" w:eastAsia="Arial" w:hAnsi="Arial" w:cs="Arial"/>
          <w:b w:val="0"/>
          <w:i w:val="0"/>
          <w:sz w:val="20"/>
        </w:rPr>
        <w:t>ong‐term incentive performance awards that</w:t>
      </w:r>
      <w:r>
        <w:rPr>
          <w:rFonts w:ascii="Arial" w:eastAsia="Arial" w:hAnsi="Arial" w:cs="Arial"/>
          <w:b w:val="0"/>
          <w:i w:val="0"/>
          <w:sz w:val="20"/>
        </w:rPr>
        <w:t xml:space="preserve"> </w:t>
      </w:r>
      <w:r>
        <w:rPr>
          <w:rFonts w:ascii="Arial" w:eastAsia="Arial" w:hAnsi="Arial" w:cs="Arial"/>
          <w:b w:val="0"/>
          <w:i w:val="0"/>
          <w:sz w:val="20"/>
        </w:rPr>
        <w:t>may be settled in cash (whether vested or</w:t>
      </w:r>
      <w:r>
        <w:rPr>
          <w:rFonts w:ascii="Arial" w:eastAsia="Arial" w:hAnsi="Arial" w:cs="Arial"/>
          <w:b w:val="0"/>
          <w:i w:val="0"/>
          <w:sz w:val="20"/>
        </w:rPr>
        <w:t xml:space="preserve"> </w:t>
      </w:r>
      <w:r>
        <w:rPr>
          <w:rFonts w:ascii="Arial" w:eastAsia="Arial" w:hAnsi="Arial" w:cs="Arial"/>
          <w:b w:val="0"/>
          <w:i w:val="0"/>
          <w:sz w:val="20"/>
        </w:rPr>
        <w:t>unvested)</w:t>
      </w:r>
      <w:r>
        <w:rPr>
          <w:rFonts w:ascii="Arial" w:eastAsia="Arial" w:hAnsi="Arial" w:cs="Arial"/>
          <w:b w:val="0"/>
          <w:i w:val="0"/>
          <w:sz w:val="20"/>
        </w:rPr>
        <w:t xml:space="preserve"> </w:t>
      </w:r>
      <w:r>
        <w:rPr>
          <w:rFonts w:ascii="Arial" w:eastAsia="Arial" w:hAnsi="Arial" w:cs="Arial"/>
          <w:b w:val="0"/>
          <w:i w:val="0"/>
          <w:sz w:val="20"/>
        </w:rPr>
        <w:t xml:space="preserve">do not count towards </w:t>
      </w:r>
      <w:r>
        <w:rPr>
          <w:rFonts w:ascii="Arial" w:eastAsia="Arial" w:hAnsi="Arial" w:cs="Arial"/>
          <w:b w:val="0"/>
          <w:i w:val="0"/>
          <w:sz w:val="20"/>
        </w:rPr>
        <w:t>applicable</w:t>
      </w:r>
      <w:r>
        <w:rPr>
          <w:rFonts w:ascii="Arial" w:eastAsia="Arial" w:hAnsi="Arial" w:cs="Arial"/>
          <w:b w:val="0"/>
          <w:i w:val="0"/>
          <w:sz w:val="20"/>
        </w:rPr>
        <w:t xml:space="preserve"> </w:t>
      </w:r>
      <w:r>
        <w:rPr>
          <w:rFonts w:ascii="Arial" w:eastAsia="Arial" w:hAnsi="Arial" w:cs="Arial"/>
          <w:b w:val="0"/>
          <w:i w:val="0"/>
          <w:sz w:val="20"/>
        </w:rPr>
        <w:t>o</w:t>
      </w:r>
      <w:r>
        <w:rPr>
          <w:rFonts w:ascii="Arial" w:eastAsia="Arial" w:hAnsi="Arial" w:cs="Arial"/>
          <w:b w:val="0"/>
          <w:i w:val="0"/>
          <w:sz w:val="20"/>
        </w:rPr>
        <w:t>w</w:t>
      </w:r>
      <w:r>
        <w:rPr>
          <w:rFonts w:ascii="Arial" w:eastAsia="Arial" w:hAnsi="Arial" w:cs="Arial"/>
          <w:b w:val="0"/>
          <w:i w:val="0"/>
          <w:sz w:val="20"/>
        </w:rPr>
        <w:t xml:space="preserve">nership </w:t>
      </w:r>
      <w:r>
        <w:rPr>
          <w:rFonts w:ascii="Arial" w:eastAsia="Arial" w:hAnsi="Arial" w:cs="Arial"/>
          <w:b w:val="0"/>
          <w:i w:val="0"/>
          <w:sz w:val="20"/>
        </w:rPr>
        <w:t>requirements</w:t>
      </w:r>
      <w:r>
        <w:rPr>
          <w:rFonts w:ascii="Arial" w:eastAsia="Arial" w:hAnsi="Arial" w:cs="Arial"/>
          <w:b w:val="0"/>
          <w:i w:val="0"/>
          <w:sz w:val="20"/>
        </w:rPr>
        <w:t xml:space="preserve">. </w:t>
      </w:r>
      <w:r>
        <w:rPr>
          <w:rFonts w:ascii="Arial" w:eastAsia="Arial" w:hAnsi="Arial" w:cs="Arial"/>
          <w:b w:val="0"/>
          <w:i w:val="0"/>
          <w:sz w:val="20"/>
        </w:rPr>
        <w:t>Director</w:t>
      </w:r>
      <w:r>
        <w:rPr>
          <w:rFonts w:ascii="Arial" w:eastAsia="Arial" w:hAnsi="Arial" w:cs="Arial"/>
          <w:b w:val="0"/>
          <w:i w:val="0"/>
          <w:sz w:val="20"/>
        </w:rPr>
        <w:t>s</w:t>
      </w:r>
      <w:r>
        <w:rPr>
          <w:rFonts w:ascii="Arial" w:eastAsia="Arial" w:hAnsi="Arial" w:cs="Arial"/>
          <w:b w:val="0"/>
          <w:i w:val="0"/>
          <w:sz w:val="20"/>
        </w:rPr>
        <w:t xml:space="preserve"> </w:t>
      </w:r>
      <w:r>
        <w:rPr>
          <w:rFonts w:ascii="Arial" w:eastAsia="Arial" w:hAnsi="Arial" w:cs="Arial"/>
          <w:b w:val="0"/>
          <w:i w:val="0"/>
          <w:sz w:val="20"/>
        </w:rPr>
        <w:t>who are</w:t>
      </w:r>
      <w:r>
        <w:rPr>
          <w:rFonts w:ascii="Arial" w:eastAsia="Arial" w:hAnsi="Arial" w:cs="Arial"/>
          <w:b w:val="0"/>
          <w:i w:val="0"/>
          <w:sz w:val="20"/>
        </w:rPr>
        <w:t xml:space="preserve"> </w:t>
      </w:r>
      <w:r>
        <w:rPr>
          <w:rFonts w:ascii="Arial" w:eastAsia="Arial" w:hAnsi="Arial" w:cs="Arial"/>
          <w:b w:val="0"/>
          <w:i w:val="0"/>
          <w:sz w:val="20"/>
        </w:rPr>
        <w:t>representatives of significant shareholders may</w:t>
      </w:r>
      <w:r>
        <w:rPr>
          <w:rFonts w:ascii="Arial" w:eastAsia="Arial" w:hAnsi="Arial" w:cs="Arial"/>
          <w:b w:val="0"/>
          <w:i w:val="0"/>
          <w:sz w:val="20"/>
        </w:rPr>
        <w:t xml:space="preserve"> </w:t>
      </w:r>
      <w:r>
        <w:rPr>
          <w:rFonts w:ascii="Arial" w:eastAsia="Arial" w:hAnsi="Arial" w:cs="Arial"/>
          <w:b w:val="0"/>
          <w:i w:val="0"/>
          <w:sz w:val="20"/>
        </w:rPr>
        <w:t>satisfy minimum ownership requirements by</w:t>
      </w:r>
      <w:r>
        <w:rPr>
          <w:rFonts w:ascii="Arial" w:eastAsia="Arial" w:hAnsi="Arial" w:cs="Arial"/>
          <w:b w:val="0"/>
          <w:i w:val="0"/>
          <w:sz w:val="20"/>
        </w:rPr>
        <w:t xml:space="preserve"> </w:t>
      </w:r>
      <w:r>
        <w:rPr>
          <w:rFonts w:ascii="Arial" w:eastAsia="Arial" w:hAnsi="Arial" w:cs="Arial"/>
          <w:b w:val="0"/>
          <w:i w:val="0"/>
          <w:sz w:val="20"/>
        </w:rPr>
        <w:t>reference to their represented entity’s shares</w:t>
      </w:r>
      <w:r>
        <w:rPr>
          <w:rFonts w:ascii="Arial" w:eastAsia="Arial" w:hAnsi="Arial" w:cs="Arial"/>
          <w:b w:val="0"/>
          <w:i w:val="0"/>
          <w:sz w:val="20"/>
        </w:rPr>
        <w:t xml:space="preserve">, and </w:t>
      </w:r>
      <w:r>
        <w:rPr>
          <w:rFonts w:ascii="Arial" w:eastAsia="Arial" w:hAnsi="Arial" w:cs="Arial"/>
          <w:b w:val="0"/>
          <w:i w:val="0"/>
          <w:sz w:val="20"/>
        </w:rPr>
        <w:t>n</w:t>
      </w:r>
      <w:r>
        <w:rPr>
          <w:rFonts w:ascii="Arial" w:eastAsia="Arial" w:hAnsi="Arial" w:cs="Arial"/>
          <w:b w:val="0"/>
          <w:i w:val="0"/>
          <w:sz w:val="20"/>
        </w:rPr>
        <w:t>on-</w:t>
      </w:r>
      <w:r>
        <w:rPr>
          <w:rFonts w:ascii="Arial" w:eastAsia="Arial" w:hAnsi="Arial" w:cs="Arial"/>
          <w:b w:val="0"/>
          <w:i w:val="0"/>
          <w:sz w:val="20"/>
        </w:rPr>
        <w:t>e</w:t>
      </w:r>
      <w:r>
        <w:rPr>
          <w:rFonts w:ascii="Arial" w:eastAsia="Arial" w:hAnsi="Arial" w:cs="Arial"/>
          <w:b w:val="0"/>
          <w:i w:val="0"/>
          <w:sz w:val="20"/>
        </w:rPr>
        <w:t xml:space="preserve">mployee </w:t>
      </w:r>
      <w:r>
        <w:rPr>
          <w:rFonts w:ascii="Arial" w:eastAsia="Arial" w:hAnsi="Arial" w:cs="Arial"/>
          <w:b w:val="0"/>
          <w:i w:val="0"/>
          <w:sz w:val="20"/>
        </w:rPr>
        <w:t>d</w:t>
      </w:r>
      <w:r>
        <w:rPr>
          <w:rFonts w:ascii="Arial" w:eastAsia="Arial" w:hAnsi="Arial" w:cs="Arial"/>
          <w:b w:val="0"/>
          <w:i w:val="0"/>
          <w:sz w:val="20"/>
        </w:rPr>
        <w:t>irectors who waive all remuneration are exempt from minimum ownership requirements.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Shares are valued based on the </w:t>
      </w:r>
      <w:r>
        <w:rPr>
          <w:rFonts w:ascii="Arial" w:eastAsia="Arial" w:hAnsi="Arial" w:cs="Arial"/>
          <w:b w:val="0"/>
          <w:i w:val="0"/>
          <w:sz w:val="20"/>
        </w:rPr>
        <w:t xml:space="preserve">higher of </w:t>
      </w:r>
      <w:r>
        <w:rPr>
          <w:rFonts w:ascii="Arial" w:eastAsia="Arial" w:hAnsi="Arial" w:cs="Arial"/>
          <w:b w:val="0"/>
          <w:i w:val="0"/>
          <w:sz w:val="20"/>
        </w:rPr>
        <w:t xml:space="preserve">(i) </w:t>
      </w:r>
      <w:r>
        <w:rPr>
          <w:rFonts w:ascii="Arial" w:eastAsia="Arial" w:hAnsi="Arial" w:cs="Arial"/>
          <w:b w:val="0"/>
          <w:i w:val="0"/>
          <w:sz w:val="20"/>
        </w:rPr>
        <w:t xml:space="preserve">the closing price </w:t>
      </w:r>
      <w:r>
        <w:rPr>
          <w:rFonts w:ascii="Arial" w:eastAsia="Arial" w:hAnsi="Arial" w:cs="Arial"/>
          <w:b w:val="0"/>
          <w:i w:val="0"/>
          <w:sz w:val="20"/>
        </w:rPr>
        <w:t xml:space="preserve">on the trading day immediately preceding the date of </w:t>
      </w:r>
      <w:r>
        <w:rPr>
          <w:rFonts w:ascii="Arial" w:eastAsia="Arial" w:hAnsi="Arial" w:cs="Arial"/>
          <w:b w:val="0"/>
          <w:i w:val="0"/>
          <w:sz w:val="20"/>
        </w:rPr>
        <w:t>calculation</w:t>
      </w:r>
      <w:r>
        <w:rPr>
          <w:rFonts w:ascii="Arial" w:eastAsia="Arial" w:hAnsi="Arial" w:cs="Arial"/>
          <w:b w:val="0"/>
          <w:i w:val="0"/>
          <w:sz w:val="20"/>
        </w:rPr>
        <w:t>,</w:t>
      </w:r>
      <w:r>
        <w:rPr>
          <w:rFonts w:ascii="Arial" w:eastAsia="Arial" w:hAnsi="Arial" w:cs="Arial"/>
          <w:b w:val="0"/>
          <w:i w:val="0"/>
          <w:sz w:val="20"/>
        </w:rPr>
        <w:t xml:space="preserve"> and </w:t>
      </w:r>
      <w:r>
        <w:rPr>
          <w:rFonts w:ascii="Arial" w:eastAsia="Arial" w:hAnsi="Arial" w:cs="Arial"/>
          <w:b w:val="0"/>
          <w:i w:val="0"/>
          <w:sz w:val="20"/>
        </w:rPr>
        <w:t xml:space="preserve">(ii) </w:t>
      </w:r>
      <w:r>
        <w:rPr>
          <w:rFonts w:ascii="Arial" w:eastAsia="Arial" w:hAnsi="Arial" w:cs="Arial"/>
          <w:b w:val="0"/>
          <w:i w:val="0"/>
          <w:sz w:val="20"/>
        </w:rPr>
        <w:t xml:space="preserve">the average closing price </w:t>
      </w:r>
      <w:r>
        <w:rPr>
          <w:rFonts w:ascii="Arial" w:eastAsia="Arial" w:hAnsi="Arial" w:cs="Arial"/>
          <w:b w:val="0"/>
          <w:i w:val="0"/>
          <w:sz w:val="20"/>
        </w:rPr>
        <w:t>for th</w:t>
      </w:r>
      <w:r>
        <w:rPr>
          <w:rFonts w:ascii="Arial" w:eastAsia="Arial" w:hAnsi="Arial" w:cs="Arial"/>
          <w:b w:val="0"/>
          <w:i w:val="0"/>
          <w:sz w:val="20"/>
        </w:rPr>
        <w:t xml:space="preserve">e three-year period </w:t>
      </w:r>
      <w:r>
        <w:rPr>
          <w:rFonts w:ascii="Arial" w:eastAsia="Arial" w:hAnsi="Arial" w:cs="Arial"/>
          <w:b w:val="0"/>
          <w:i w:val="0"/>
          <w:sz w:val="20"/>
        </w:rPr>
        <w:t>immediately preceding (an</w:t>
      </w:r>
      <w:r>
        <w:rPr>
          <w:rFonts w:ascii="Arial" w:eastAsia="Arial" w:hAnsi="Arial" w:cs="Arial"/>
          <w:b w:val="0"/>
          <w:i w:val="0"/>
          <w:sz w:val="20"/>
        </w:rPr>
        <w:t>d ending on the trading date immediately prior to</w:t>
      </w:r>
      <w:r>
        <w:rPr>
          <w:rFonts w:ascii="Arial" w:eastAsia="Arial" w:hAnsi="Arial" w:cs="Arial"/>
          <w:b w:val="0"/>
          <w:i w:val="0"/>
          <w:sz w:val="20"/>
        </w:rPr>
        <w:t>)</w:t>
      </w:r>
      <w:r>
        <w:rPr>
          <w:rFonts w:ascii="Arial" w:eastAsia="Arial" w:hAnsi="Arial" w:cs="Arial"/>
          <w:b w:val="0"/>
          <w:i w:val="0"/>
          <w:sz w:val="20"/>
        </w:rPr>
        <w:t xml:space="preserve"> the date of calculation. </w:t>
      </w:r>
      <w:r>
        <w:rPr>
          <w:rFonts w:ascii="Arial" w:eastAsia="Arial" w:hAnsi="Arial" w:cs="Arial"/>
          <w:b w:val="0"/>
          <w:i w:val="0"/>
          <w:sz w:val="20"/>
        </w:rPr>
        <w:t xml:space="preserve">A copy of our Share Ownership Guidelines is available on our website at </w:t>
      </w:r>
      <w:r>
        <w:rPr>
          <w:rFonts w:ascii="Arial" w:eastAsia="Arial" w:hAnsi="Arial" w:cs="Arial"/>
          <w:b w:val="0"/>
          <w:i/>
          <w:color w:val="4495D1"/>
          <w:sz w:val="18"/>
          <w:u w:val="none"/>
        </w:rPr>
        <w:t>http://www.enstargroup.com/corporate-governance.</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sectPr>
          <w:headerReference w:type="default" r:id="rId273"/>
          <w:footerReference w:type="default" r:id="rId274"/>
          <w:type w:val="continuous"/>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4495D1"/>
          <w:sz w:val="20"/>
          <w:u w:val="none"/>
        </w:rPr>
      </w:pPr>
      <w:bookmarkStart w:id="98" w:name="Section101"/>
      <w:bookmarkEnd w:id="98"/>
    </w:p>
    <w:p>
      <w:pPr>
        <w:keepNext/>
        <w:keepLines w:val="0"/>
        <w:pageBreakBefore w:val="0"/>
        <w:widowControl/>
        <w:numPr>
          <w:ilvl w:val="0"/>
          <w:numId w:val="0"/>
        </w:numPr>
        <w:spacing w:before="0" w:after="60" w:line="288" w:lineRule="auto"/>
        <w:ind w:left="0" w:right="0" w:firstLine="0"/>
        <w:jc w:val="both"/>
        <w:outlineLvl w:val="3"/>
        <w:rPr>
          <w:rFonts w:ascii="Arial" w:eastAsia="Arial" w:hAnsi="Arial" w:cs="Arial"/>
          <w:b/>
          <w:i w:val="0"/>
          <w:color w:val="4495D1"/>
          <w:sz w:val="20"/>
          <w:u w:val="none"/>
        </w:rPr>
      </w:pPr>
      <w:r>
        <w:rPr>
          <w:rFonts w:ascii="Arial" w:eastAsia="Arial" w:hAnsi="Arial" w:cs="Arial"/>
          <w:b/>
          <w:i w:val="0"/>
          <w:color w:val="4495D1"/>
          <w:sz w:val="20"/>
          <w:u w:val="none"/>
        </w:rPr>
        <w:t>Accounting Treatment of Compensation</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We account for equity compensation paid to our employees based on the guidance of the Share-Based Payment topic of the Financial Accounting Standards Board Accounting Standards Codification, which requires us to estimate and record an expense for each award of equity compensation over the service period of the award. Accounting rules also require us to record cash compensation as an expense at the time the obligation is incurred.</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275"/>
          <w:footerReference w:type="default" r:id="rId276"/>
          <w:type w:val="continuous"/>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99" w:name="Section102"/>
      <w:bookmarkEnd w:id="99"/>
    </w:p>
    <w:p>
      <w:pPr>
        <w:keepNext/>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Compensation Risk Assessment</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As part of our risk management practices, the Compensation Committee reviews and considers risk implications of and incentives created by our executive compensation program and our compensation policies and practices for the Company as a whole. At the Compensation Committee’s direction, our Group Chief Risk Officer and Group General Counsel annually conduct a risk assessment of our compensation policies and practices for executives and all employees, which is discussed and reviewed by the Compensation Committee. The review analyzes compensation governance processes, situations where compensation programs may have the potential to raise material risks to the Company, internal controls that mitigate the risk of incentive compensation having an adverse effect, and program elements that further mitigate these risks. Through this review, the Compensation Committee has concluded that our compensation program does not create risks that are reasonably likely to have a material adverse effect on us.</w:t>
      </w:r>
    </w:p>
    <w:p>
      <w:pPr>
        <w:keepNext/>
        <w:keepLines w:val="0"/>
        <w:pageBreakBefore w:val="0"/>
        <w:widowControl/>
        <w:numPr>
          <w:ilvl w:val="0"/>
          <w:numId w:val="0"/>
        </w:numPr>
        <w:spacing w:before="0" w:after="120" w:line="300" w:lineRule="auto"/>
        <w:ind w:left="0" w:right="0" w:firstLine="0"/>
        <w:jc w:val="both"/>
        <w:outlineLvl w:val="9"/>
        <w:sectPr>
          <w:headerReference w:type="default" r:id="rId277"/>
          <w:footerReference w:type="default" r:id="rId278"/>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720"/>
        <w:jc w:val="left"/>
        <w:outlineLvl w:val="9"/>
        <w:rPr>
          <w:rFonts w:ascii="Arial" w:eastAsia="Arial" w:hAnsi="Arial" w:cs="Arial"/>
          <w:b/>
          <w:i w:val="0"/>
          <w:color w:val="171449"/>
          <w:sz w:val="24"/>
          <w:u w:val="none"/>
        </w:rPr>
      </w:pPr>
      <w:bookmarkStart w:id="100" w:name="Section103"/>
      <w:bookmarkEnd w:id="100"/>
    </w:p>
    <w:p>
      <w:pPr>
        <w:keepNext/>
        <w:keepLines/>
        <w:pageBreakBefore w:val="0"/>
        <w:widowControl w:val="0"/>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Human Resources and Compensation Committee Report</w:t>
      </w:r>
    </w:p>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Human Resources and Compensation Committee has reviewed and discussed the Compensation Discussion and Analysis set forth above with our management. Based on its review and discussions, the Human Resources and Compensation Committee recommended to our Board of Directors that the Compensation Discussion and Analysis be included in this proxy statement and incorporated by reference into our Annual Report on Form 10-K filed with the SEC on </w:t>
      </w:r>
      <w:r>
        <w:rPr>
          <w:rFonts w:ascii="Arial" w:eastAsia="Arial" w:hAnsi="Arial" w:cs="Arial"/>
          <w:b w:val="0"/>
          <w:i w:val="0"/>
          <w:color w:val="000000"/>
          <w:sz w:val="20"/>
          <w:u w:val="none"/>
        </w:rPr>
        <w:t>February 22, 2024</w:t>
      </w:r>
      <w:r>
        <w:rPr>
          <w:rFonts w:ascii="Arial" w:eastAsia="Arial" w:hAnsi="Arial" w:cs="Arial"/>
          <w:b w:val="0"/>
          <w:i w:val="0"/>
          <w:sz w:val="20"/>
        </w:rPr>
        <w:t xml:space="preserve"> for the year ended </w:t>
      </w:r>
      <w:r>
        <w:rPr>
          <w:rFonts w:ascii="Arial" w:eastAsia="Arial" w:hAnsi="Arial" w:cs="Arial"/>
          <w:b w:val="0"/>
          <w:i w:val="0"/>
          <w:color w:val="000000"/>
          <w:sz w:val="20"/>
          <w:u w:val="none"/>
        </w:rPr>
        <w:t>December 31, 2023</w:t>
      </w:r>
      <w:r>
        <w:rPr>
          <w:rFonts w:ascii="Arial" w:eastAsia="Arial" w:hAnsi="Arial" w:cs="Arial"/>
          <w:b w:val="0"/>
          <w:i w:val="0"/>
          <w:sz w:val="20"/>
        </w:rPr>
        <w:t>.</w:t>
      </w:r>
    </w:p>
    <w:p>
      <w:pPr>
        <w:keepNext/>
        <w:keepLines/>
        <w:pageBreakBefore w:val="0"/>
        <w:widowControl w:val="0"/>
        <w:numPr>
          <w:ilvl w:val="0"/>
          <w:numId w:val="0"/>
        </w:numPr>
        <w:spacing w:before="0" w:after="0" w:line="288" w:lineRule="auto"/>
        <w:ind w:left="0" w:right="0" w:firstLine="0"/>
        <w:jc w:val="both"/>
        <w:outlineLvl w:val="9"/>
        <w:rPr>
          <w:rFonts w:ascii="Arial" w:eastAsia="Arial" w:hAnsi="Arial" w:cs="Arial"/>
          <w:b/>
          <w:i w:val="0"/>
          <w:sz w:val="20"/>
        </w:rPr>
      </w:pPr>
    </w:p>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i w:val="0"/>
          <w:sz w:val="20"/>
        </w:rPr>
        <w:t>HUMAN RESOURCES AND COMPENSATION COMMITTEE</w:t>
      </w:r>
    </w:p>
    <w:tbl>
      <w:tblPr>
        <w:tblW w:w="101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195"/>
        <w:gridCol w:w="2400"/>
        <w:gridCol w:w="195"/>
        <w:gridCol w:w="2400"/>
        <w:gridCol w:w="195"/>
        <w:gridCol w:w="2400"/>
      </w:tblGrid>
      <w:tr>
        <w:tblPrEx>
          <w:tblW w:w="101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125"/>
        </w:trPr>
        <w:tc>
          <w:tcPr>
            <w:tcW w:w="240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s1249" type="#_x0000_t75" style="width:47.09pt;height:54pt;margin-top:0;margin-left:0;mso-position-horizontal:left;position:absolute;z-index:251793408">
                  <v:imagedata r:id="rId46" o:title=""/>
                  <o:lock v:ext="edit" aspectratio="t"/>
                  <w10:wrap type="square"/>
                </v:shape>
              </w:pict>
            </w: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40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s1250" type="#_x0000_t75" style="width:46.55pt;height:54pt;margin-top:0;margin-left:0;mso-position-horizontal:left;position:absolute;z-index:251794432">
                  <v:imagedata r:id="rId48" o:title=""/>
                  <o:lock v:ext="edit" aspectratio="t"/>
                  <w10:wrap type="square"/>
                </v:shape>
              </w:pict>
            </w: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40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s1251" type="#_x0000_t75" style="width:43.09pt;height:54pt;margin-top:0;margin-left:0;mso-position-horizontal:left;position:absolute;z-index:251795456">
                  <v:imagedata r:id="rId51" o:title=""/>
                  <o:lock v:ext="edit" aspectratio="t"/>
                  <w10:wrap type="square"/>
                </v:shape>
              </w:pict>
            </w: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40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s1252" type="#_x0000_t75" style="width:47.83pt;height:54pt;margin-top:0;margin-left:0;mso-position-horizontal:left;position:absolute;z-index:251796480">
                  <v:imagedata r:id="rId57" o:title=""/>
                  <o:lock v:ext="edit" aspectratio="t"/>
                  <w10:wrap type="square"/>
                </v:shape>
              </w:pict>
            </w:r>
          </w:p>
        </w:tc>
      </w:tr>
      <w:tr>
        <w:tblPrEx>
          <w:tblW w:w="10185" w:type="dxa"/>
          <w:tblInd w:w="0" w:type="dxa"/>
          <w:tblLayout w:type="fixed"/>
          <w:tblCellMar>
            <w:left w:w="108" w:type="dxa"/>
            <w:right w:w="108" w:type="dxa"/>
          </w:tblCellMar>
        </w:tblPrEx>
        <w:trPr>
          <w:cantSplit/>
          <w:trHeight w:hRule="exact" w:val="195"/>
        </w:trPr>
        <w:tc>
          <w:tcPr>
            <w:tcW w:w="24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4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4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4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85" w:type="dxa"/>
          <w:tblInd w:w="0" w:type="dxa"/>
          <w:tblLayout w:type="fixed"/>
          <w:tblCellMar>
            <w:left w:w="108" w:type="dxa"/>
            <w:right w:w="108" w:type="dxa"/>
          </w:tblCellMar>
        </w:tblPrEx>
        <w:trPr>
          <w:cantSplit/>
          <w:trHeight w:hRule="exact" w:val="435"/>
        </w:trPr>
        <w:tc>
          <w:tcPr>
            <w:tcW w:w="2400" w:type="dxa"/>
            <w:tcBorders>
              <w:top w:val="nil"/>
              <w:left w:val="nil"/>
              <w:bottom w:val="nil"/>
              <w:right w:val="nil"/>
            </w:tcBorders>
            <w:tcMar>
              <w:top w:w="0" w:type="dxa"/>
              <w:left w:w="53" w:type="dxa"/>
              <w:bottom w:w="0" w:type="dxa"/>
              <w:right w:w="53" w:type="dxa"/>
            </w:tcMar>
            <w:vAlign w:val="bottom"/>
          </w:tcPr>
          <w:p>
            <w:pPr>
              <w:keepNext/>
              <w:pageBreakBefore w:val="0"/>
              <w:spacing w:before="53" w:line="240" w:lineRule="auto"/>
              <w:ind w:left="90" w:hanging="90"/>
              <w:jc w:val="left"/>
            </w:pPr>
            <w:r>
              <w:rPr>
                <w:rFonts w:ascii="Arial" w:eastAsia="Arial" w:hAnsi="Arial" w:cs="Arial"/>
                <w:b/>
                <w:i w:val="0"/>
                <w:color w:val="000000"/>
                <w:sz w:val="18"/>
                <w:u w:val="none"/>
              </w:rPr>
              <w:t>B. Frederick Becker</w:t>
            </w:r>
          </w:p>
          <w:p>
            <w:pPr>
              <w:spacing w:after="30" w:line="240" w:lineRule="auto"/>
              <w:ind w:left="90" w:hanging="90"/>
              <w:jc w:val="left"/>
            </w:pPr>
            <w:r>
              <w:rPr>
                <w:rFonts w:ascii="Arial" w:eastAsia="Arial" w:hAnsi="Arial" w:cs="Arial"/>
                <w:b/>
                <w:i w:val="0"/>
                <w:color w:val="000000"/>
                <w:sz w:val="18"/>
                <w:u w:val="none"/>
              </w:rPr>
              <w:t>(Chair)</w:t>
            </w: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40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i w:val="0"/>
                <w:color w:val="000000"/>
                <w:sz w:val="18"/>
                <w:u w:val="none"/>
              </w:rPr>
              <w:t>Robert J. Campbell</w:t>
            </w: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40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i w:val="0"/>
                <w:color w:val="000000"/>
                <w:sz w:val="18"/>
                <w:u w:val="none"/>
              </w:rPr>
              <w:t>Hans-Peter Gerhardt</w:t>
            </w:r>
          </w:p>
        </w:tc>
        <w:tc>
          <w:tcPr>
            <w:tcW w:w="19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p>
        </w:tc>
        <w:tc>
          <w:tcPr>
            <w:tcW w:w="240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i w:val="0"/>
                <w:color w:val="000000"/>
                <w:sz w:val="18"/>
                <w:u w:val="none"/>
              </w:rPr>
              <w:t>Poul A. Winslow</w:t>
            </w:r>
          </w:p>
        </w:tc>
      </w:tr>
      <w:tr>
        <w:tblPrEx>
          <w:tblW w:w="10185" w:type="dxa"/>
          <w:tblInd w:w="0" w:type="dxa"/>
          <w:tblLayout w:type="fixed"/>
          <w:tblCellMar>
            <w:left w:w="108" w:type="dxa"/>
            <w:right w:w="108" w:type="dxa"/>
          </w:tblCellMar>
        </w:tblPrEx>
        <w:trPr>
          <w:cantSplit/>
          <w:trHeight w:hRule="exact" w:val="315"/>
        </w:trPr>
        <w:tc>
          <w:tcPr>
            <w:tcW w:w="240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240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240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2400"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bl>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sz w:val="20"/>
        </w:rPr>
      </w:pPr>
    </w:p>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sz w:val="20"/>
        </w:rPr>
      </w:pPr>
    </w:p>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sz w:val="20"/>
        </w:rPr>
        <w:sectPr>
          <w:headerReference w:type="default" r:id="rId279"/>
          <w:footerReference w:type="default" r:id="rId280"/>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4"/>
          <w:u w:val="none"/>
        </w:rPr>
      </w:pPr>
      <w:bookmarkStart w:id="101" w:name="Section104"/>
      <w:bookmarkEnd w:id="101"/>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EXECUTIVE COMPENSATION TABLES</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
          <w:u w:val="none"/>
        </w:rPr>
        <w:sectPr>
          <w:headerReference w:type="default" r:id="rId281"/>
          <w:footerReference w:type="default" r:id="rId282"/>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bookmarkStart w:id="102" w:name="Section105"/>
      <w:bookmarkEnd w:id="102"/>
      <w:r>
        <w:rPr>
          <w:rFonts w:ascii="Arial" w:eastAsia="Arial" w:hAnsi="Arial" w:cs="Arial"/>
          <w:b/>
          <w:i w:val="0"/>
          <w:color w:val="171449"/>
          <w:sz w:val="24"/>
          <w:u w:val="none"/>
        </w:rPr>
        <w:t>Summary Compensation Table</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following table sets forth compensation earned in the years presented by our CEO, President (who served as </w:t>
      </w:r>
      <w:r>
        <w:rPr>
          <w:rFonts w:ascii="Arial" w:eastAsia="Arial" w:hAnsi="Arial" w:cs="Arial"/>
          <w:b w:val="0"/>
          <w:i w:val="0"/>
          <w:sz w:val="20"/>
        </w:rPr>
        <w:t xml:space="preserve">our </w:t>
      </w:r>
      <w:r>
        <w:rPr>
          <w:rFonts w:ascii="Arial" w:eastAsia="Arial" w:hAnsi="Arial" w:cs="Arial"/>
          <w:b w:val="0"/>
          <w:i w:val="0"/>
          <w:sz w:val="20"/>
        </w:rPr>
        <w:t xml:space="preserve">CFO during </w:t>
      </w:r>
      <w:r>
        <w:rPr>
          <w:rFonts w:ascii="Arial" w:eastAsia="Arial" w:hAnsi="Arial" w:cs="Arial"/>
          <w:b w:val="0"/>
          <w:i w:val="0"/>
          <w:sz w:val="20"/>
        </w:rPr>
        <w:t>a portion of</w:t>
      </w:r>
      <w:r>
        <w:rPr>
          <w:rFonts w:ascii="Arial" w:eastAsia="Arial" w:hAnsi="Arial" w:cs="Arial"/>
          <w:b w:val="0"/>
          <w:i w:val="0"/>
          <w:sz w:val="20"/>
        </w:rPr>
        <w:t xml:space="preserve"> 202</w:t>
      </w:r>
      <w:r>
        <w:rPr>
          <w:rFonts w:ascii="Arial" w:eastAsia="Arial" w:hAnsi="Arial" w:cs="Arial"/>
          <w:b w:val="0"/>
          <w:i w:val="0"/>
          <w:sz w:val="20"/>
        </w:rPr>
        <w:t>3</w:t>
      </w:r>
      <w:r>
        <w:rPr>
          <w:rFonts w:ascii="Arial" w:eastAsia="Arial" w:hAnsi="Arial" w:cs="Arial"/>
          <w:b w:val="0"/>
          <w:i w:val="0"/>
          <w:sz w:val="20"/>
        </w:rPr>
        <w:t xml:space="preserve">), </w:t>
      </w:r>
      <w:r>
        <w:rPr>
          <w:rFonts w:ascii="Arial" w:eastAsia="Arial" w:hAnsi="Arial" w:cs="Arial"/>
          <w:b w:val="0"/>
          <w:i w:val="0"/>
          <w:sz w:val="20"/>
        </w:rPr>
        <w:t xml:space="preserve">CFO, </w:t>
      </w:r>
      <w:r>
        <w:rPr>
          <w:rFonts w:ascii="Arial" w:eastAsia="Arial" w:hAnsi="Arial" w:cs="Arial"/>
          <w:b w:val="0"/>
          <w:i w:val="0"/>
          <w:sz w:val="20"/>
        </w:rPr>
        <w:t>CSO, COO</w:t>
      </w:r>
      <w:r>
        <w:rPr>
          <w:rFonts w:ascii="Arial" w:eastAsia="Arial" w:hAnsi="Arial" w:cs="Arial"/>
          <w:b w:val="0"/>
          <w:i w:val="0"/>
          <w:sz w:val="20"/>
        </w:rPr>
        <w:t xml:space="preserve">, and </w:t>
      </w:r>
      <w:r>
        <w:rPr>
          <w:rFonts w:ascii="Arial" w:eastAsia="Arial" w:hAnsi="Arial" w:cs="Arial"/>
          <w:b w:val="0"/>
          <w:i w:val="0"/>
          <w:sz w:val="20"/>
        </w:rPr>
        <w:t>CIO</w:t>
      </w:r>
      <w:r>
        <w:rPr>
          <w:rFonts w:ascii="Arial" w:eastAsia="Arial" w:hAnsi="Arial" w:cs="Arial"/>
          <w:b w:val="0"/>
          <w:i w:val="0"/>
          <w:sz w:val="20"/>
        </w:rPr>
        <w:t xml:space="preserve">. These individuals are referred to in this proxy statement as the "executive officers" or the "named executive officers." </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830"/>
        <w:gridCol w:w="630"/>
        <w:gridCol w:w="1140"/>
        <w:gridCol w:w="945"/>
        <w:gridCol w:w="1020"/>
        <w:gridCol w:w="1035"/>
        <w:gridCol w:w="1365"/>
        <w:gridCol w:w="1215"/>
        <w:gridCol w:w="108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825"/>
          <w:jc w:val="center"/>
        </w:trPr>
        <w:tc>
          <w:tcPr>
            <w:tcW w:w="1830"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ind w:left="90"/>
              <w:jc w:val="left"/>
            </w:pPr>
            <w:r>
              <w:rPr>
                <w:rFonts w:ascii="Arial" w:eastAsia="Arial" w:hAnsi="Arial" w:cs="Arial"/>
                <w:b/>
                <w:i w:val="0"/>
                <w:color w:val="FFFFFF"/>
                <w:sz w:val="16"/>
                <w:u w:val="none"/>
              </w:rPr>
              <w:t>Name &amp; Principal Position</w:t>
            </w:r>
          </w:p>
        </w:tc>
        <w:tc>
          <w:tcPr>
            <w:tcW w:w="630"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jc w:val="center"/>
            </w:pPr>
            <w:r>
              <w:rPr>
                <w:rFonts w:ascii="Arial" w:eastAsia="Arial" w:hAnsi="Arial" w:cs="Arial"/>
                <w:b/>
                <w:i w:val="0"/>
                <w:color w:val="FFFFFF"/>
                <w:sz w:val="16"/>
                <w:u w:val="none"/>
              </w:rPr>
              <w:t>Year</w:t>
            </w:r>
          </w:p>
        </w:tc>
        <w:tc>
          <w:tcPr>
            <w:tcW w:w="1140"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3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Salary</w:t>
            </w:r>
            <w:r>
              <w:rPr>
                <w:rFonts w:ascii="Arial" w:eastAsia="Arial" w:hAnsi="Arial" w:cs="Arial"/>
                <w:b/>
                <w:i w:val="0"/>
                <w:color w:val="FFFFFF"/>
                <w:sz w:val="16"/>
                <w:u w:val="none"/>
                <w:vertAlign w:val="superscript"/>
              </w:rPr>
              <w:t>(1)</w:t>
            </w:r>
          </w:p>
        </w:tc>
        <w:tc>
          <w:tcPr>
            <w:tcW w:w="945" w:type="dxa"/>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after="30" w:line="288" w:lineRule="auto"/>
              <w:jc w:val="right"/>
            </w:pPr>
            <w:r>
              <w:rPr>
                <w:rFonts w:ascii="Arial" w:eastAsia="Arial" w:hAnsi="Arial" w:cs="Arial"/>
                <w:b/>
                <w:i w:val="0"/>
                <w:color w:val="FFFFFF"/>
                <w:sz w:val="16"/>
                <w:u w:val="none"/>
              </w:rPr>
              <w:t>Bonus</w:t>
            </w:r>
          </w:p>
        </w:tc>
        <w:tc>
          <w:tcPr>
            <w:tcW w:w="1020"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3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Stock Awards</w:t>
            </w:r>
            <w:r>
              <w:rPr>
                <w:rFonts w:ascii="Arial" w:eastAsia="Arial" w:hAnsi="Arial" w:cs="Arial"/>
                <w:b/>
                <w:i w:val="0"/>
                <w:color w:val="FFFFFF"/>
                <w:sz w:val="16"/>
                <w:u w:val="none"/>
                <w:vertAlign w:val="superscript"/>
              </w:rPr>
              <w:t>(2)</w:t>
            </w:r>
          </w:p>
        </w:tc>
        <w:tc>
          <w:tcPr>
            <w:tcW w:w="103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3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Option Awards</w:t>
            </w:r>
            <w:r>
              <w:rPr>
                <w:rFonts w:ascii="Arial" w:eastAsia="Arial" w:hAnsi="Arial" w:cs="Arial"/>
                <w:b/>
                <w:i w:val="0"/>
                <w:color w:val="FFFFFF"/>
                <w:sz w:val="16"/>
                <w:u w:val="none"/>
                <w:vertAlign w:val="superscript"/>
              </w:rPr>
              <w:t>(3)</w:t>
            </w:r>
          </w:p>
        </w:tc>
        <w:tc>
          <w:tcPr>
            <w:tcW w:w="136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Non-Equity</w:t>
            </w:r>
          </w:p>
          <w:p>
            <w:pPr>
              <w:pageBreakBefore w:val="0"/>
              <w:numPr>
                <w:ilvl w:val="0"/>
                <w:numId w:val="0"/>
              </w:numPr>
              <w:spacing w:before="0" w:after="3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Plan Incentive Compensation</w:t>
            </w:r>
            <w:r>
              <w:rPr>
                <w:rFonts w:ascii="Arial" w:eastAsia="Arial" w:hAnsi="Arial" w:cs="Arial"/>
                <w:b/>
                <w:i w:val="0"/>
                <w:color w:val="FFFFFF"/>
                <w:sz w:val="16"/>
                <w:u w:val="none"/>
                <w:vertAlign w:val="superscript"/>
              </w:rPr>
              <w:t>(4)</w:t>
            </w:r>
          </w:p>
        </w:tc>
        <w:tc>
          <w:tcPr>
            <w:tcW w:w="1215" w:type="dxa"/>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after="30" w:line="288" w:lineRule="auto"/>
              <w:jc w:val="right"/>
            </w:pPr>
            <w:r>
              <w:rPr>
                <w:rFonts w:ascii="Arial" w:eastAsia="Arial" w:hAnsi="Arial" w:cs="Arial"/>
                <w:b/>
                <w:i w:val="0"/>
                <w:color w:val="FFFFFF"/>
                <w:sz w:val="16"/>
                <w:u w:val="none"/>
              </w:rPr>
              <w:t>All Other Compensation</w:t>
            </w:r>
          </w:p>
        </w:tc>
        <w:tc>
          <w:tcPr>
            <w:tcW w:w="1080" w:type="dxa"/>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after="30" w:line="288" w:lineRule="auto"/>
              <w:jc w:val="right"/>
            </w:pPr>
            <w:r>
              <w:rPr>
                <w:rFonts w:ascii="Arial" w:eastAsia="Arial" w:hAnsi="Arial" w:cs="Arial"/>
                <w:b/>
                <w:i w:val="0"/>
                <w:color w:val="FFFFFF"/>
                <w:sz w:val="16"/>
                <w:u w:val="none"/>
              </w:rPr>
              <w:t>Total</w:t>
            </w:r>
          </w:p>
        </w:tc>
      </w:tr>
      <w:tr>
        <w:tblPrEx>
          <w:tblW w:w="10260" w:type="dxa"/>
          <w:jc w:val="center"/>
          <w:tblLayout w:type="fixed"/>
          <w:tblCellMar>
            <w:left w:w="108" w:type="dxa"/>
            <w:right w:w="108" w:type="dxa"/>
          </w:tblCellMar>
        </w:tblPrEx>
        <w:trPr>
          <w:cantSplit/>
          <w:trHeight w:hRule="exact" w:val="105"/>
          <w:jc w:val="center"/>
        </w:trPr>
        <w:tc>
          <w:tcPr>
            <w:tcW w:w="183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63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02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03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r>
      <w:tr>
        <w:tblPrEx>
          <w:tblW w:w="10260" w:type="dxa"/>
          <w:jc w:val="center"/>
          <w:tblLayout w:type="fixed"/>
          <w:tblCellMar>
            <w:left w:w="108" w:type="dxa"/>
            <w:right w:w="108" w:type="dxa"/>
          </w:tblCellMar>
        </w:tblPrEx>
        <w:trPr>
          <w:cantSplit/>
          <w:trHeight w:hRule="exact" w:val="240"/>
          <w:jc w:val="center"/>
        </w:trPr>
        <w:tc>
          <w:tcPr>
            <w:tcW w:w="1830" w:type="dxa"/>
            <w:tcBorders>
              <w:top w:val="nil"/>
              <w:left w:val="nil"/>
              <w:bottom w:val="nil"/>
              <w:right w:val="nil"/>
            </w:tcBorders>
            <w:shd w:val="clear" w:color="auto" w:fill="DFDDDE"/>
            <w:tcMar>
              <w:top w:w="0" w:type="dxa"/>
              <w:left w:w="53" w:type="dxa"/>
              <w:bottom w:w="0" w:type="dxa"/>
              <w:right w:w="53" w:type="dxa"/>
            </w:tcMar>
            <w:vAlign w:val="top"/>
          </w:tcPr>
          <w:p>
            <w:pPr>
              <w:keepNext/>
              <w:pageBreakBefore w:val="0"/>
              <w:numPr>
                <w:ilvl w:val="0"/>
                <w:numId w:val="0"/>
              </w:numPr>
              <w:spacing w:before="53" w:after="30" w:line="240" w:lineRule="auto"/>
              <w:ind w:left="90" w:right="0" w:firstLine="0"/>
              <w:jc w:val="left"/>
              <w:outlineLvl w:val="9"/>
              <w:rPr>
                <w:rFonts w:ascii="Arial" w:eastAsia="Arial" w:hAnsi="Arial" w:cs="Arial"/>
                <w:b/>
                <w:i w:val="0"/>
                <w:sz w:val="16"/>
              </w:rPr>
            </w:pPr>
            <w:r>
              <w:rPr>
                <w:rFonts w:ascii="Arial" w:eastAsia="Arial" w:hAnsi="Arial" w:cs="Arial"/>
                <w:b/>
                <w:i w:val="0"/>
                <w:sz w:val="16"/>
              </w:rPr>
              <w:t>Dominic Silvester</w:t>
            </w:r>
            <w:r>
              <w:rPr>
                <w:rFonts w:ascii="Arial" w:eastAsia="Arial" w:hAnsi="Arial" w:cs="Arial"/>
                <w:b/>
                <w:i w:val="0"/>
                <w:sz w:val="16"/>
                <w:vertAlign w:val="superscript"/>
              </w:rPr>
              <w:t>(5)</w:t>
            </w:r>
          </w:p>
        </w:tc>
        <w:tc>
          <w:tcPr>
            <w:tcW w:w="630" w:type="dxa"/>
            <w:tcBorders>
              <w:top w:val="nil"/>
              <w:left w:val="nil"/>
              <w:bottom w:val="nil"/>
              <w:right w:val="nil"/>
            </w:tcBorders>
            <w:shd w:val="clear" w:color="auto" w:fill="DFDDDE"/>
            <w:tcMar>
              <w:top w:w="0" w:type="dxa"/>
              <w:left w:w="0" w:type="dxa"/>
              <w:bottom w:w="0" w:type="dxa"/>
              <w:right w:w="53" w:type="dxa"/>
            </w:tcMar>
            <w:vAlign w:val="top"/>
          </w:tcPr>
          <w:p>
            <w:pPr>
              <w:keepNext/>
              <w:pageBreakBefore w:val="0"/>
              <w:spacing w:before="53" w:after="30" w:line="240" w:lineRule="auto"/>
              <w:jc w:val="right"/>
            </w:pPr>
            <w:r>
              <w:rPr>
                <w:rFonts w:ascii="Arial" w:eastAsia="Arial" w:hAnsi="Arial" w:cs="Arial"/>
                <w:b w:val="0"/>
                <w:i w:val="0"/>
                <w:color w:val="000000"/>
                <w:sz w:val="16"/>
                <w:u w:val="none"/>
              </w:rPr>
              <w:t>2023</w:t>
            </w:r>
          </w:p>
        </w:tc>
        <w:tc>
          <w:tcPr>
            <w:tcW w:w="1140"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310"/>
                <w:tab w:val="left" w:pos="1072"/>
              </w:tabs>
              <w:spacing w:before="53" w:after="30" w:line="240" w:lineRule="auto"/>
              <w:jc w:val="right"/>
            </w:pPr>
            <w:r>
              <w:rPr>
                <w:rFonts w:ascii="Arial" w:eastAsia="Arial" w:hAnsi="Arial" w:cs="Arial"/>
                <w:b w:val="0"/>
                <w:i w:val="0"/>
                <w:color w:val="000000"/>
                <w:sz w:val="16"/>
                <w:u w:val="none"/>
              </w:rPr>
              <w:t xml:space="preserve">$ </w:t>
              <w:tab/>
              <w:t>2,500,000</w:t>
              <w:tab/>
            </w:r>
          </w:p>
        </w:tc>
        <w:tc>
          <w:tcPr>
            <w:tcW w:w="94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666"/>
                <w:tab w:val="left" w:pos="877"/>
              </w:tabs>
              <w:spacing w:before="53" w:after="30" w:line="240" w:lineRule="auto"/>
              <w:jc w:val="right"/>
            </w:pPr>
            <w:r>
              <w:rPr>
                <w:rFonts w:ascii="Arial" w:eastAsia="Arial" w:hAnsi="Arial" w:cs="Arial"/>
                <w:b w:val="0"/>
                <w:i w:val="0"/>
                <w:color w:val="000000"/>
                <w:sz w:val="16"/>
                <w:u w:val="none"/>
              </w:rPr>
              <w:t xml:space="preserve">$ </w:t>
              <w:tab/>
              <w:t>—</w:t>
              <w:tab/>
            </w:r>
          </w:p>
        </w:tc>
        <w:tc>
          <w:tcPr>
            <w:tcW w:w="1020"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741"/>
                <w:tab w:val="left" w:pos="952"/>
              </w:tabs>
              <w:spacing w:before="53" w:after="30" w:line="240" w:lineRule="auto"/>
              <w:jc w:val="right"/>
            </w:pPr>
            <w:r>
              <w:rPr>
                <w:rFonts w:ascii="Arial" w:eastAsia="Arial" w:hAnsi="Arial" w:cs="Arial"/>
                <w:b w:val="0"/>
                <w:i w:val="0"/>
                <w:color w:val="000000"/>
                <w:sz w:val="16"/>
                <w:u w:val="none"/>
              </w:rPr>
              <w:t>$</w:t>
              <w:tab/>
              <w:t>—</w:t>
              <w:tab/>
            </w:r>
          </w:p>
        </w:tc>
        <w:tc>
          <w:tcPr>
            <w:tcW w:w="103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756"/>
                <w:tab w:val="left" w:pos="967"/>
              </w:tabs>
              <w:spacing w:before="53" w:after="30" w:line="240" w:lineRule="auto"/>
              <w:jc w:val="right"/>
            </w:pPr>
            <w:r>
              <w:rPr>
                <w:rFonts w:ascii="Arial" w:eastAsia="Arial" w:hAnsi="Arial" w:cs="Arial"/>
                <w:b w:val="0"/>
                <w:i w:val="0"/>
                <w:color w:val="000000"/>
                <w:sz w:val="16"/>
                <w:u w:val="none"/>
              </w:rPr>
              <w:t xml:space="preserve">$ </w:t>
              <w:tab/>
              <w:t>—</w:t>
              <w:tab/>
            </w:r>
          </w:p>
        </w:tc>
        <w:tc>
          <w:tcPr>
            <w:tcW w:w="136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535"/>
                <w:tab w:val="left" w:pos="1297"/>
              </w:tabs>
              <w:spacing w:before="53" w:after="30" w:line="240" w:lineRule="auto"/>
              <w:jc w:val="right"/>
            </w:pPr>
            <w:r>
              <w:rPr>
                <w:rFonts w:ascii="Arial" w:eastAsia="Arial" w:hAnsi="Arial" w:cs="Arial"/>
                <w:b w:val="0"/>
                <w:i w:val="0"/>
                <w:color w:val="000000"/>
                <w:sz w:val="16"/>
                <w:u w:val="none"/>
              </w:rPr>
              <w:t xml:space="preserve">$ </w:t>
              <w:tab/>
              <w:t>3,821,959</w:t>
              <w:tab/>
            </w:r>
          </w:p>
        </w:tc>
        <w:tc>
          <w:tcPr>
            <w:tcW w:w="121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385"/>
                <w:tab w:val="left" w:pos="1147"/>
              </w:tabs>
              <w:spacing w:before="53" w:after="30" w:line="240" w:lineRule="auto"/>
              <w:jc w:val="right"/>
            </w:pPr>
            <w:r>
              <w:rPr>
                <w:rFonts w:ascii="Arial" w:eastAsia="Arial" w:hAnsi="Arial" w:cs="Arial"/>
                <w:b w:val="0"/>
                <w:i w:val="0"/>
                <w:color w:val="000000"/>
                <w:sz w:val="16"/>
                <w:u w:val="none"/>
              </w:rPr>
              <w:t xml:space="preserve">$ </w:t>
              <w:tab/>
              <w:t>1,170,367</w:t>
              <w:tab/>
            </w:r>
          </w:p>
        </w:tc>
        <w:tc>
          <w:tcPr>
            <w:tcW w:w="1080"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250"/>
                <w:tab w:val="left" w:pos="1012"/>
              </w:tabs>
              <w:spacing w:before="53" w:after="30" w:line="240" w:lineRule="auto"/>
              <w:jc w:val="right"/>
            </w:pPr>
            <w:r>
              <w:rPr>
                <w:rFonts w:ascii="Arial" w:eastAsia="Arial" w:hAnsi="Arial" w:cs="Arial"/>
                <w:b w:val="0"/>
                <w:i w:val="0"/>
                <w:color w:val="000000"/>
                <w:sz w:val="16"/>
                <w:u w:val="none"/>
              </w:rPr>
              <w:t xml:space="preserve">$  </w:t>
              <w:tab/>
              <w:t>7,492,326</w:t>
              <w:tab/>
            </w:r>
          </w:p>
        </w:tc>
      </w:tr>
      <w:tr>
        <w:tblPrEx>
          <w:tblW w:w="10260" w:type="dxa"/>
          <w:jc w:val="center"/>
          <w:tblLayout w:type="fixed"/>
          <w:tblCellMar>
            <w:left w:w="108" w:type="dxa"/>
            <w:right w:w="108" w:type="dxa"/>
          </w:tblCellMar>
        </w:tblPrEx>
        <w:trPr>
          <w:cantSplit/>
          <w:trHeight w:hRule="exact" w:val="240"/>
          <w:jc w:val="center"/>
        </w:trPr>
        <w:tc>
          <w:tcPr>
            <w:tcW w:w="1830" w:type="dxa"/>
            <w:vMerge w:val="restart"/>
            <w:tcBorders>
              <w:top w:val="nil"/>
              <w:left w:val="nil"/>
              <w:bottom w:val="nil"/>
              <w:right w:val="nil"/>
            </w:tcBorders>
            <w:shd w:val="clear" w:color="auto" w:fill="DFDDDE"/>
            <w:tcMar>
              <w:top w:w="0" w:type="dxa"/>
              <w:left w:w="53" w:type="dxa"/>
              <w:bottom w:w="0" w:type="dxa"/>
              <w:right w:w="53" w:type="dxa"/>
            </w:tcMar>
            <w:vAlign w:val="top"/>
          </w:tcPr>
          <w:p>
            <w:pPr>
              <w:keepNext/>
              <w:pageBreakBefore w:val="0"/>
              <w:spacing w:before="53" w:after="30" w:line="240" w:lineRule="auto"/>
              <w:ind w:left="90"/>
              <w:jc w:val="left"/>
            </w:pPr>
            <w:r>
              <w:rPr>
                <w:rFonts w:ascii="Arial" w:eastAsia="Arial" w:hAnsi="Arial" w:cs="Arial"/>
                <w:b w:val="0"/>
                <w:i w:val="0"/>
                <w:color w:val="000000"/>
                <w:sz w:val="16"/>
                <w:u w:val="none"/>
              </w:rPr>
              <w:t>Chief Executive Officer</w:t>
            </w:r>
          </w:p>
        </w:tc>
        <w:tc>
          <w:tcPr>
            <w:tcW w:w="630" w:type="dxa"/>
            <w:tcBorders>
              <w:top w:val="nil"/>
              <w:left w:val="nil"/>
              <w:bottom w:val="nil"/>
              <w:right w:val="nil"/>
            </w:tcBorders>
            <w:shd w:val="clear" w:color="auto" w:fill="DFDDDE"/>
            <w:tcMar>
              <w:top w:w="0" w:type="dxa"/>
              <w:left w:w="0" w:type="dxa"/>
              <w:bottom w:w="0" w:type="dxa"/>
              <w:right w:w="53" w:type="dxa"/>
            </w:tcMar>
            <w:vAlign w:val="top"/>
          </w:tcPr>
          <w:p>
            <w:pPr>
              <w:keepNext/>
              <w:pageBreakBefore w:val="0"/>
              <w:spacing w:before="53" w:after="30" w:line="240" w:lineRule="auto"/>
              <w:jc w:val="right"/>
            </w:pPr>
            <w:r>
              <w:rPr>
                <w:rFonts w:ascii="Arial" w:eastAsia="Arial" w:hAnsi="Arial" w:cs="Arial"/>
                <w:b w:val="0"/>
                <w:i w:val="0"/>
                <w:color w:val="000000"/>
                <w:sz w:val="16"/>
                <w:u w:val="none"/>
              </w:rPr>
              <w:t>2022</w:t>
            </w:r>
          </w:p>
        </w:tc>
        <w:tc>
          <w:tcPr>
            <w:tcW w:w="1140"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310"/>
                <w:tab w:val="left" w:pos="1072"/>
              </w:tabs>
              <w:spacing w:before="53" w:after="30" w:line="240" w:lineRule="auto"/>
              <w:jc w:val="right"/>
            </w:pPr>
            <w:r>
              <w:rPr>
                <w:rFonts w:ascii="Arial" w:eastAsia="Arial" w:hAnsi="Arial" w:cs="Arial"/>
                <w:b w:val="0"/>
                <w:i w:val="0"/>
                <w:color w:val="000000"/>
                <w:sz w:val="16"/>
                <w:u w:val="none"/>
              </w:rPr>
              <w:t xml:space="preserve">$ </w:t>
              <w:tab/>
              <w:t>2,500,000</w:t>
              <w:tab/>
            </w:r>
          </w:p>
        </w:tc>
        <w:tc>
          <w:tcPr>
            <w:tcW w:w="94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666"/>
                <w:tab w:val="left" w:pos="877"/>
              </w:tabs>
              <w:spacing w:before="53" w:after="30" w:line="240" w:lineRule="auto"/>
              <w:jc w:val="right"/>
            </w:pPr>
            <w:r>
              <w:rPr>
                <w:rFonts w:ascii="Arial" w:eastAsia="Arial" w:hAnsi="Arial" w:cs="Arial"/>
                <w:b w:val="0"/>
                <w:i w:val="0"/>
                <w:color w:val="000000"/>
                <w:sz w:val="16"/>
                <w:u w:val="none"/>
              </w:rPr>
              <w:t xml:space="preserve">$ </w:t>
              <w:tab/>
              <w:t>—</w:t>
              <w:tab/>
            </w:r>
          </w:p>
        </w:tc>
        <w:tc>
          <w:tcPr>
            <w:tcW w:w="1020"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741"/>
                <w:tab w:val="left" w:pos="952"/>
              </w:tabs>
              <w:spacing w:before="53" w:after="30" w:line="240" w:lineRule="auto"/>
              <w:jc w:val="right"/>
            </w:pPr>
            <w:r>
              <w:rPr>
                <w:rFonts w:ascii="Arial" w:eastAsia="Arial" w:hAnsi="Arial" w:cs="Arial"/>
                <w:b w:val="0"/>
                <w:i w:val="0"/>
                <w:color w:val="000000"/>
                <w:sz w:val="16"/>
                <w:u w:val="none"/>
              </w:rPr>
              <w:t>$</w:t>
              <w:tab/>
              <w:t>—</w:t>
              <w:tab/>
            </w:r>
          </w:p>
        </w:tc>
        <w:tc>
          <w:tcPr>
            <w:tcW w:w="103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135"/>
                <w:tab w:val="left" w:pos="986"/>
              </w:tabs>
              <w:spacing w:before="53" w:after="30" w:line="240" w:lineRule="auto"/>
              <w:jc w:val="right"/>
            </w:pPr>
            <w:r>
              <w:rPr>
                <w:rFonts w:ascii="Arial" w:eastAsia="Arial" w:hAnsi="Arial" w:cs="Arial"/>
                <w:b w:val="0"/>
                <w:i w:val="0"/>
                <w:color w:val="000000"/>
                <w:sz w:val="16"/>
                <w:u w:val="none"/>
              </w:rPr>
              <w:t xml:space="preserve">$ </w:t>
              <w:tab/>
              <w:t>15,413,418</w:t>
              <w:tab/>
            </w:r>
          </w:p>
        </w:tc>
        <w:tc>
          <w:tcPr>
            <w:tcW w:w="136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535"/>
                <w:tab w:val="left" w:pos="1297"/>
              </w:tabs>
              <w:spacing w:before="53" w:after="30" w:line="240" w:lineRule="auto"/>
              <w:jc w:val="right"/>
            </w:pPr>
            <w:r>
              <w:rPr>
                <w:rFonts w:ascii="Arial" w:eastAsia="Arial" w:hAnsi="Arial" w:cs="Arial"/>
                <w:b w:val="0"/>
                <w:i w:val="0"/>
                <w:color w:val="000000"/>
                <w:sz w:val="16"/>
                <w:u w:val="none"/>
              </w:rPr>
              <w:t xml:space="preserve">$ </w:t>
              <w:tab/>
              <w:t>2,101,563</w:t>
              <w:tab/>
            </w:r>
          </w:p>
        </w:tc>
        <w:tc>
          <w:tcPr>
            <w:tcW w:w="121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518"/>
                <w:tab w:val="left" w:pos="1147"/>
              </w:tabs>
              <w:spacing w:before="53" w:after="30" w:line="240" w:lineRule="auto"/>
              <w:jc w:val="right"/>
            </w:pPr>
            <w:r>
              <w:rPr>
                <w:rFonts w:ascii="Arial" w:eastAsia="Arial" w:hAnsi="Arial" w:cs="Arial"/>
                <w:b w:val="0"/>
                <w:i w:val="0"/>
                <w:color w:val="000000"/>
                <w:sz w:val="16"/>
                <w:u w:val="none"/>
              </w:rPr>
              <w:t xml:space="preserve">$ </w:t>
              <w:tab/>
              <w:t>926,210</w:t>
              <w:tab/>
            </w:r>
          </w:p>
        </w:tc>
        <w:tc>
          <w:tcPr>
            <w:tcW w:w="1080"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179"/>
                <w:tab w:val="left" w:pos="1030"/>
              </w:tabs>
              <w:spacing w:before="53" w:after="30" w:line="240" w:lineRule="auto"/>
              <w:jc w:val="right"/>
            </w:pPr>
            <w:r>
              <w:rPr>
                <w:rFonts w:ascii="Arial" w:eastAsia="Arial" w:hAnsi="Arial" w:cs="Arial"/>
                <w:b w:val="0"/>
                <w:i w:val="0"/>
                <w:color w:val="000000"/>
                <w:sz w:val="16"/>
                <w:u w:val="none"/>
              </w:rPr>
              <w:t xml:space="preserve">$  </w:t>
              <w:tab/>
              <w:t>20,941,190</w:t>
              <w:tab/>
            </w:r>
          </w:p>
        </w:tc>
      </w:tr>
      <w:tr>
        <w:tblPrEx>
          <w:tblW w:w="10260" w:type="dxa"/>
          <w:jc w:val="center"/>
          <w:tblLayout w:type="fixed"/>
          <w:tblCellMar>
            <w:left w:w="108" w:type="dxa"/>
            <w:right w:w="108" w:type="dxa"/>
          </w:tblCellMar>
        </w:tblPrEx>
        <w:trPr>
          <w:cantSplit/>
          <w:trHeight w:hRule="exact" w:val="240"/>
          <w:jc w:val="center"/>
        </w:trPr>
        <w:tc>
          <w:tcPr>
            <w:tcW w:w="1830" w:type="dxa"/>
            <w:vMerge/>
            <w:tcBorders>
              <w:top w:val="nil"/>
              <w:left w:val="nil"/>
              <w:bottom w:val="nil"/>
              <w:right w:val="nil"/>
            </w:tcBorders>
          </w:tcPr>
          <w:p>
            <w:pPr>
              <w:keepNext/>
              <w:pageBreakBefore w:val="0"/>
            </w:pPr>
          </w:p>
        </w:tc>
        <w:tc>
          <w:tcPr>
            <w:tcW w:w="630" w:type="dxa"/>
            <w:tcBorders>
              <w:top w:val="nil"/>
              <w:left w:val="nil"/>
              <w:bottom w:val="nil"/>
              <w:right w:val="nil"/>
            </w:tcBorders>
            <w:shd w:val="clear" w:color="auto" w:fill="DFDDDE"/>
            <w:tcMar>
              <w:top w:w="0" w:type="dxa"/>
              <w:left w:w="0" w:type="dxa"/>
              <w:bottom w:w="0" w:type="dxa"/>
              <w:right w:w="53" w:type="dxa"/>
            </w:tcMar>
            <w:vAlign w:val="top"/>
          </w:tcPr>
          <w:p>
            <w:pPr>
              <w:keepNext/>
              <w:pageBreakBefore w:val="0"/>
              <w:spacing w:before="53" w:after="30" w:line="240" w:lineRule="auto"/>
              <w:jc w:val="right"/>
            </w:pPr>
            <w:r>
              <w:rPr>
                <w:rFonts w:ascii="Arial" w:eastAsia="Arial" w:hAnsi="Arial" w:cs="Arial"/>
                <w:b w:val="0"/>
                <w:i w:val="0"/>
                <w:color w:val="000000"/>
                <w:sz w:val="16"/>
                <w:u w:val="none"/>
              </w:rPr>
              <w:t>2021</w:t>
            </w:r>
          </w:p>
        </w:tc>
        <w:tc>
          <w:tcPr>
            <w:tcW w:w="1140"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310"/>
                <w:tab w:val="left" w:pos="1072"/>
              </w:tabs>
              <w:spacing w:before="53" w:after="30" w:line="240" w:lineRule="auto"/>
              <w:jc w:val="right"/>
            </w:pPr>
            <w:r>
              <w:rPr>
                <w:rFonts w:ascii="Arial" w:eastAsia="Arial" w:hAnsi="Arial" w:cs="Arial"/>
                <w:b w:val="0"/>
                <w:i w:val="0"/>
                <w:color w:val="000000"/>
                <w:sz w:val="16"/>
                <w:u w:val="none"/>
              </w:rPr>
              <w:t xml:space="preserve">$ </w:t>
              <w:tab/>
              <w:t>1,901,561</w:t>
              <w:tab/>
            </w:r>
          </w:p>
        </w:tc>
        <w:tc>
          <w:tcPr>
            <w:tcW w:w="94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666"/>
                <w:tab w:val="left" w:pos="877"/>
              </w:tabs>
              <w:spacing w:before="53" w:after="30" w:line="240" w:lineRule="auto"/>
              <w:jc w:val="right"/>
            </w:pPr>
            <w:r>
              <w:rPr>
                <w:rFonts w:ascii="Arial" w:eastAsia="Arial" w:hAnsi="Arial" w:cs="Arial"/>
                <w:b w:val="0"/>
                <w:i w:val="0"/>
                <w:color w:val="000000"/>
                <w:sz w:val="16"/>
                <w:u w:val="none"/>
              </w:rPr>
              <w:t xml:space="preserve">$ </w:t>
              <w:tab/>
              <w:t>—</w:t>
              <w:tab/>
            </w:r>
          </w:p>
        </w:tc>
        <w:tc>
          <w:tcPr>
            <w:tcW w:w="1020"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741"/>
                <w:tab w:val="left" w:pos="952"/>
              </w:tabs>
              <w:spacing w:before="53" w:after="30" w:line="240" w:lineRule="auto"/>
              <w:jc w:val="right"/>
            </w:pPr>
            <w:r>
              <w:rPr>
                <w:rFonts w:ascii="Arial" w:eastAsia="Arial" w:hAnsi="Arial" w:cs="Arial"/>
                <w:b w:val="0"/>
                <w:i w:val="0"/>
                <w:color w:val="000000"/>
                <w:sz w:val="16"/>
                <w:u w:val="none"/>
              </w:rPr>
              <w:t xml:space="preserve">$ </w:t>
              <w:tab/>
              <w:t>—</w:t>
              <w:tab/>
            </w:r>
          </w:p>
        </w:tc>
        <w:tc>
          <w:tcPr>
            <w:tcW w:w="103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756"/>
                <w:tab w:val="left" w:pos="967"/>
              </w:tabs>
              <w:spacing w:before="53" w:after="30" w:line="240" w:lineRule="auto"/>
              <w:jc w:val="right"/>
            </w:pPr>
            <w:r>
              <w:rPr>
                <w:rFonts w:ascii="Arial" w:eastAsia="Arial" w:hAnsi="Arial" w:cs="Arial"/>
                <w:b w:val="0"/>
                <w:i w:val="0"/>
                <w:color w:val="000000"/>
                <w:sz w:val="16"/>
                <w:u w:val="none"/>
              </w:rPr>
              <w:t xml:space="preserve">$ </w:t>
              <w:tab/>
              <w:t>—</w:t>
              <w:tab/>
            </w:r>
          </w:p>
        </w:tc>
        <w:tc>
          <w:tcPr>
            <w:tcW w:w="136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535"/>
                <w:tab w:val="left" w:pos="1297"/>
              </w:tabs>
              <w:spacing w:before="53" w:after="30" w:line="240" w:lineRule="auto"/>
              <w:jc w:val="right"/>
            </w:pPr>
            <w:r>
              <w:rPr>
                <w:rFonts w:ascii="Arial" w:eastAsia="Arial" w:hAnsi="Arial" w:cs="Arial"/>
                <w:b w:val="0"/>
                <w:i w:val="0"/>
                <w:color w:val="000000"/>
                <w:sz w:val="16"/>
                <w:u w:val="none"/>
              </w:rPr>
              <w:t xml:space="preserve">$ </w:t>
              <w:tab/>
              <w:t>2,289,894</w:t>
              <w:tab/>
            </w:r>
          </w:p>
        </w:tc>
        <w:tc>
          <w:tcPr>
            <w:tcW w:w="121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518"/>
                <w:tab w:val="left" w:pos="1147"/>
              </w:tabs>
              <w:spacing w:before="53" w:after="30" w:line="240" w:lineRule="auto"/>
              <w:jc w:val="right"/>
            </w:pPr>
            <w:r>
              <w:rPr>
                <w:rFonts w:ascii="Arial" w:eastAsia="Arial" w:hAnsi="Arial" w:cs="Arial"/>
                <w:b w:val="0"/>
                <w:i w:val="0"/>
                <w:color w:val="000000"/>
                <w:sz w:val="16"/>
                <w:u w:val="none"/>
              </w:rPr>
              <w:t xml:space="preserve">$ </w:t>
              <w:tab/>
              <w:t>998,327</w:t>
              <w:tab/>
            </w:r>
          </w:p>
        </w:tc>
        <w:tc>
          <w:tcPr>
            <w:tcW w:w="1080"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250"/>
                <w:tab w:val="left" w:pos="1012"/>
              </w:tabs>
              <w:spacing w:before="53" w:after="30" w:line="240" w:lineRule="auto"/>
              <w:jc w:val="right"/>
            </w:pPr>
            <w:r>
              <w:rPr>
                <w:rFonts w:ascii="Arial" w:eastAsia="Arial" w:hAnsi="Arial" w:cs="Arial"/>
                <w:b w:val="0"/>
                <w:i w:val="0"/>
                <w:color w:val="000000"/>
                <w:sz w:val="16"/>
                <w:u w:val="none"/>
              </w:rPr>
              <w:t>$</w:t>
              <w:tab/>
              <w:t>5,189,781</w:t>
              <w:tab/>
            </w:r>
          </w:p>
        </w:tc>
      </w:tr>
      <w:tr>
        <w:tblPrEx>
          <w:tblW w:w="10260" w:type="dxa"/>
          <w:jc w:val="center"/>
          <w:tblLayout w:type="fixed"/>
          <w:tblCellMar>
            <w:left w:w="108" w:type="dxa"/>
            <w:right w:w="108" w:type="dxa"/>
          </w:tblCellMar>
        </w:tblPrEx>
        <w:trPr>
          <w:cantSplit/>
          <w:trHeight w:hRule="exact" w:val="105"/>
          <w:jc w:val="center"/>
        </w:trPr>
        <w:tc>
          <w:tcPr>
            <w:tcW w:w="1830"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630"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020"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03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r>
      <w:tr>
        <w:tblPrEx>
          <w:tblW w:w="10260" w:type="dxa"/>
          <w:jc w:val="center"/>
          <w:tblLayout w:type="fixed"/>
          <w:tblCellMar>
            <w:left w:w="108" w:type="dxa"/>
            <w:right w:w="108" w:type="dxa"/>
          </w:tblCellMar>
        </w:tblPrEx>
        <w:trPr>
          <w:cantSplit/>
          <w:trHeight w:hRule="exact" w:val="240"/>
          <w:jc w:val="center"/>
        </w:trPr>
        <w:tc>
          <w:tcPr>
            <w:tcW w:w="1830" w:type="dxa"/>
            <w:tcBorders>
              <w:top w:val="nil"/>
              <w:left w:val="nil"/>
              <w:bottom w:val="nil"/>
              <w:right w:val="nil"/>
            </w:tcBorders>
            <w:shd w:val="clear" w:color="auto" w:fill="FFFFFF"/>
            <w:tcMar>
              <w:top w:w="0" w:type="dxa"/>
              <w:left w:w="53" w:type="dxa"/>
              <w:bottom w:w="0" w:type="dxa"/>
              <w:right w:w="53" w:type="dxa"/>
            </w:tcMar>
            <w:vAlign w:val="top"/>
          </w:tcPr>
          <w:p>
            <w:pPr>
              <w:keepNext/>
              <w:pageBreakBefore w:val="0"/>
              <w:numPr>
                <w:ilvl w:val="0"/>
                <w:numId w:val="0"/>
              </w:numPr>
              <w:spacing w:before="53" w:after="30" w:line="240" w:lineRule="auto"/>
              <w:ind w:left="90" w:right="0" w:firstLine="0"/>
              <w:jc w:val="left"/>
              <w:outlineLvl w:val="9"/>
              <w:rPr>
                <w:rFonts w:ascii="Arial" w:eastAsia="Arial" w:hAnsi="Arial" w:cs="Arial"/>
                <w:b/>
                <w:i w:val="0"/>
                <w:sz w:val="16"/>
              </w:rPr>
            </w:pPr>
            <w:r>
              <w:rPr>
                <w:rFonts w:ascii="Arial" w:eastAsia="Arial" w:hAnsi="Arial" w:cs="Arial"/>
                <w:b/>
                <w:i w:val="0"/>
                <w:sz w:val="16"/>
              </w:rPr>
              <w:t>Matthew Kirk</w:t>
            </w:r>
            <w:r>
              <w:rPr>
                <w:rFonts w:ascii="Arial" w:eastAsia="Arial" w:hAnsi="Arial" w:cs="Arial"/>
                <w:b/>
                <w:i w:val="0"/>
                <w:sz w:val="16"/>
                <w:vertAlign w:val="superscript"/>
              </w:rPr>
              <w:t>(</w:t>
            </w:r>
            <w:r>
              <w:rPr>
                <w:rFonts w:ascii="Arial" w:eastAsia="Arial" w:hAnsi="Arial" w:cs="Arial"/>
                <w:b/>
                <w:i w:val="0"/>
                <w:sz w:val="16"/>
                <w:vertAlign w:val="superscript"/>
              </w:rPr>
              <w:t>6</w:t>
            </w:r>
            <w:r>
              <w:rPr>
                <w:rFonts w:ascii="Arial" w:eastAsia="Arial" w:hAnsi="Arial" w:cs="Arial"/>
                <w:b/>
                <w:i w:val="0"/>
                <w:sz w:val="16"/>
                <w:vertAlign w:val="superscript"/>
              </w:rPr>
              <w:t>)</w:t>
            </w:r>
          </w:p>
        </w:tc>
        <w:tc>
          <w:tcPr>
            <w:tcW w:w="630" w:type="dxa"/>
            <w:tcBorders>
              <w:top w:val="nil"/>
              <w:left w:val="nil"/>
              <w:bottom w:val="nil"/>
              <w:right w:val="nil"/>
            </w:tcBorders>
            <w:shd w:val="clear" w:color="auto" w:fill="FFFFFF"/>
            <w:tcMar>
              <w:top w:w="0" w:type="dxa"/>
              <w:left w:w="0" w:type="dxa"/>
              <w:bottom w:w="0" w:type="dxa"/>
              <w:right w:w="53" w:type="dxa"/>
            </w:tcMar>
            <w:vAlign w:val="top"/>
          </w:tcPr>
          <w:p>
            <w:pPr>
              <w:keepNext/>
              <w:pageBreakBefore w:val="0"/>
              <w:spacing w:before="53" w:after="30" w:line="240" w:lineRule="auto"/>
              <w:jc w:val="right"/>
            </w:pPr>
            <w:r>
              <w:rPr>
                <w:rFonts w:ascii="Arial" w:eastAsia="Arial" w:hAnsi="Arial" w:cs="Arial"/>
                <w:b w:val="0"/>
                <w:i w:val="0"/>
                <w:color w:val="000000"/>
                <w:sz w:val="16"/>
                <w:u w:val="none"/>
              </w:rPr>
              <w:t>2023</w:t>
            </w:r>
          </w:p>
        </w:tc>
        <w:tc>
          <w:tcPr>
            <w:tcW w:w="1140" w:type="dxa"/>
            <w:tcBorders>
              <w:top w:val="nil"/>
              <w:left w:val="nil"/>
              <w:bottom w:val="nil"/>
              <w:right w:val="nil"/>
            </w:tcBorders>
            <w:shd w:val="clear" w:color="auto" w:fill="FFFFFF"/>
            <w:tcMar>
              <w:top w:w="0" w:type="dxa"/>
              <w:left w:w="0" w:type="dxa"/>
              <w:bottom w:w="0" w:type="dxa"/>
              <w:right w:w="15" w:type="dxa"/>
            </w:tcMar>
            <w:vAlign w:val="top"/>
          </w:tcPr>
          <w:p>
            <w:pPr>
              <w:keepNext/>
              <w:pageBreakBefore w:val="0"/>
              <w:tabs>
                <w:tab w:val="left" w:pos="443"/>
                <w:tab w:val="left" w:pos="1072"/>
              </w:tabs>
              <w:spacing w:before="53" w:after="30" w:line="240" w:lineRule="auto"/>
              <w:jc w:val="right"/>
            </w:pPr>
            <w:r>
              <w:rPr>
                <w:rFonts w:ascii="Arial" w:eastAsia="Arial" w:hAnsi="Arial" w:cs="Arial"/>
                <w:b w:val="0"/>
                <w:i w:val="0"/>
                <w:color w:val="000000"/>
                <w:sz w:val="16"/>
                <w:u w:val="none"/>
              </w:rPr>
              <w:t xml:space="preserve">$    </w:t>
              <w:tab/>
              <w:t>515,000</w:t>
              <w:tab/>
            </w:r>
          </w:p>
        </w:tc>
        <w:tc>
          <w:tcPr>
            <w:tcW w:w="945" w:type="dxa"/>
            <w:tcBorders>
              <w:top w:val="nil"/>
              <w:left w:val="nil"/>
              <w:bottom w:val="nil"/>
              <w:right w:val="nil"/>
            </w:tcBorders>
            <w:shd w:val="clear" w:color="auto" w:fill="FFFFFF"/>
            <w:tcMar>
              <w:top w:w="0" w:type="dxa"/>
              <w:left w:w="0" w:type="dxa"/>
              <w:bottom w:w="0" w:type="dxa"/>
              <w:right w:w="15" w:type="dxa"/>
            </w:tcMar>
            <w:vAlign w:val="top"/>
          </w:tcPr>
          <w:p>
            <w:pPr>
              <w:keepNext/>
              <w:pageBreakBefore w:val="0"/>
              <w:tabs>
                <w:tab w:val="left" w:pos="666"/>
                <w:tab w:val="left" w:pos="877"/>
              </w:tabs>
              <w:spacing w:before="53" w:after="30" w:line="240" w:lineRule="auto"/>
              <w:jc w:val="right"/>
            </w:pPr>
            <w:r>
              <w:rPr>
                <w:rFonts w:ascii="Arial" w:eastAsia="Arial" w:hAnsi="Arial" w:cs="Arial"/>
                <w:b w:val="0"/>
                <w:i w:val="0"/>
                <w:color w:val="000000"/>
                <w:sz w:val="16"/>
                <w:u w:val="none"/>
              </w:rPr>
              <w:t xml:space="preserve">$    </w:t>
              <w:tab/>
              <w:t>—</w:t>
              <w:tab/>
            </w:r>
          </w:p>
        </w:tc>
        <w:tc>
          <w:tcPr>
            <w:tcW w:w="1020" w:type="dxa"/>
            <w:tcBorders>
              <w:top w:val="nil"/>
              <w:left w:val="nil"/>
              <w:bottom w:val="nil"/>
              <w:right w:val="nil"/>
            </w:tcBorders>
            <w:shd w:val="clear" w:color="auto" w:fill="FFFFFF"/>
            <w:tcMar>
              <w:top w:w="0" w:type="dxa"/>
              <w:left w:w="0" w:type="dxa"/>
              <w:bottom w:w="0" w:type="dxa"/>
              <w:right w:w="15" w:type="dxa"/>
            </w:tcMar>
            <w:vAlign w:val="top"/>
          </w:tcPr>
          <w:p>
            <w:pPr>
              <w:keepNext/>
              <w:pageBreakBefore w:val="0"/>
              <w:tabs>
                <w:tab w:val="left" w:pos="323"/>
                <w:tab w:val="left" w:pos="952"/>
              </w:tabs>
              <w:spacing w:before="53" w:after="30" w:line="240" w:lineRule="auto"/>
              <w:jc w:val="right"/>
            </w:pPr>
            <w:r>
              <w:rPr>
                <w:rFonts w:ascii="Arial" w:eastAsia="Arial" w:hAnsi="Arial" w:cs="Arial"/>
                <w:b w:val="0"/>
                <w:i w:val="0"/>
                <w:color w:val="000000"/>
                <w:sz w:val="16"/>
                <w:u w:val="none"/>
              </w:rPr>
              <w:t>$</w:t>
              <w:tab/>
              <w:t>419,978</w:t>
              <w:tab/>
            </w:r>
          </w:p>
        </w:tc>
        <w:tc>
          <w:tcPr>
            <w:tcW w:w="1035" w:type="dxa"/>
            <w:tcBorders>
              <w:top w:val="nil"/>
              <w:left w:val="nil"/>
              <w:bottom w:val="nil"/>
              <w:right w:val="nil"/>
            </w:tcBorders>
            <w:shd w:val="clear" w:color="auto" w:fill="FFFFFF"/>
            <w:tcMar>
              <w:top w:w="0" w:type="dxa"/>
              <w:left w:w="0" w:type="dxa"/>
              <w:bottom w:w="0" w:type="dxa"/>
              <w:right w:w="15" w:type="dxa"/>
            </w:tcMar>
            <w:vAlign w:val="top"/>
          </w:tcPr>
          <w:p>
            <w:pPr>
              <w:keepNext/>
              <w:pageBreakBefore w:val="0"/>
              <w:tabs>
                <w:tab w:val="left" w:pos="756"/>
                <w:tab w:val="left" w:pos="967"/>
              </w:tabs>
              <w:spacing w:before="53" w:after="30" w:line="240" w:lineRule="auto"/>
              <w:jc w:val="right"/>
            </w:pPr>
            <w:r>
              <w:rPr>
                <w:rFonts w:ascii="Arial" w:eastAsia="Arial" w:hAnsi="Arial" w:cs="Arial"/>
                <w:b w:val="0"/>
                <w:i w:val="0"/>
                <w:color w:val="000000"/>
                <w:sz w:val="16"/>
                <w:u w:val="none"/>
              </w:rPr>
              <w:t xml:space="preserve">$   </w:t>
              <w:tab/>
              <w:t>—</w:t>
              <w:tab/>
            </w:r>
          </w:p>
        </w:tc>
        <w:tc>
          <w:tcPr>
            <w:tcW w:w="1365" w:type="dxa"/>
            <w:tcBorders>
              <w:top w:val="nil"/>
              <w:left w:val="nil"/>
              <w:bottom w:val="nil"/>
              <w:right w:val="nil"/>
            </w:tcBorders>
            <w:shd w:val="clear" w:color="auto" w:fill="FFFFFF"/>
            <w:tcMar>
              <w:top w:w="0" w:type="dxa"/>
              <w:left w:w="0" w:type="dxa"/>
              <w:bottom w:w="0" w:type="dxa"/>
              <w:right w:w="15" w:type="dxa"/>
            </w:tcMar>
            <w:vAlign w:val="top"/>
          </w:tcPr>
          <w:p>
            <w:pPr>
              <w:keepNext/>
              <w:pageBreakBefore w:val="0"/>
              <w:tabs>
                <w:tab w:val="left" w:pos="668"/>
                <w:tab w:val="left" w:pos="1297"/>
              </w:tabs>
              <w:spacing w:before="53" w:after="30" w:line="240" w:lineRule="auto"/>
              <w:jc w:val="right"/>
            </w:pPr>
            <w:r>
              <w:rPr>
                <w:rFonts w:ascii="Arial" w:eastAsia="Arial" w:hAnsi="Arial" w:cs="Arial"/>
                <w:b w:val="0"/>
                <w:i w:val="0"/>
                <w:color w:val="000000"/>
                <w:sz w:val="16"/>
                <w:u w:val="none"/>
              </w:rPr>
              <w:t xml:space="preserve">$   </w:t>
              <w:tab/>
              <w:t>551,070</w:t>
              <w:tab/>
            </w:r>
          </w:p>
        </w:tc>
        <w:tc>
          <w:tcPr>
            <w:tcW w:w="1215" w:type="dxa"/>
            <w:tcBorders>
              <w:top w:val="nil"/>
              <w:left w:val="nil"/>
              <w:bottom w:val="nil"/>
              <w:right w:val="nil"/>
            </w:tcBorders>
            <w:shd w:val="clear" w:color="auto" w:fill="FFFFFF"/>
            <w:tcMar>
              <w:top w:w="0" w:type="dxa"/>
              <w:left w:w="0" w:type="dxa"/>
              <w:bottom w:w="0" w:type="dxa"/>
              <w:right w:w="15" w:type="dxa"/>
            </w:tcMar>
            <w:vAlign w:val="top"/>
          </w:tcPr>
          <w:p>
            <w:pPr>
              <w:keepNext/>
              <w:pageBreakBefore w:val="0"/>
              <w:tabs>
                <w:tab w:val="left" w:pos="607"/>
                <w:tab w:val="left" w:pos="1147"/>
              </w:tabs>
              <w:spacing w:before="53" w:after="30" w:line="240" w:lineRule="auto"/>
              <w:jc w:val="right"/>
            </w:pPr>
            <w:r>
              <w:rPr>
                <w:rFonts w:ascii="Arial" w:eastAsia="Arial" w:hAnsi="Arial" w:cs="Arial"/>
                <w:b w:val="0"/>
                <w:i w:val="0"/>
                <w:color w:val="000000"/>
                <w:sz w:val="16"/>
                <w:u w:val="none"/>
              </w:rPr>
              <w:t xml:space="preserve">$   </w:t>
              <w:tab/>
              <w:t>16,754</w:t>
              <w:tab/>
            </w:r>
          </w:p>
        </w:tc>
        <w:tc>
          <w:tcPr>
            <w:tcW w:w="1080" w:type="dxa"/>
            <w:tcBorders>
              <w:top w:val="nil"/>
              <w:left w:val="nil"/>
              <w:bottom w:val="nil"/>
              <w:right w:val="nil"/>
            </w:tcBorders>
            <w:shd w:val="clear" w:color="auto" w:fill="FFFFFF"/>
            <w:tcMar>
              <w:top w:w="0" w:type="dxa"/>
              <w:left w:w="0" w:type="dxa"/>
              <w:bottom w:w="0" w:type="dxa"/>
              <w:right w:w="15" w:type="dxa"/>
            </w:tcMar>
            <w:vAlign w:val="top"/>
          </w:tcPr>
          <w:p>
            <w:pPr>
              <w:keepNext/>
              <w:pageBreakBefore w:val="0"/>
              <w:tabs>
                <w:tab w:val="left" w:pos="250"/>
                <w:tab w:val="left" w:pos="1012"/>
              </w:tabs>
              <w:spacing w:before="53" w:after="30" w:line="240" w:lineRule="auto"/>
              <w:jc w:val="right"/>
            </w:pPr>
            <w:r>
              <w:rPr>
                <w:rFonts w:ascii="Arial" w:eastAsia="Arial" w:hAnsi="Arial" w:cs="Arial"/>
                <w:b w:val="0"/>
                <w:i w:val="0"/>
                <w:color w:val="000000"/>
                <w:sz w:val="16"/>
                <w:u w:val="none"/>
              </w:rPr>
              <w:t xml:space="preserve">$  </w:t>
              <w:tab/>
              <w:t>1,502,802</w:t>
              <w:tab/>
            </w:r>
          </w:p>
        </w:tc>
      </w:tr>
      <w:tr>
        <w:tblPrEx>
          <w:tblW w:w="10260" w:type="dxa"/>
          <w:jc w:val="center"/>
          <w:tblLayout w:type="fixed"/>
          <w:tblCellMar>
            <w:left w:w="108" w:type="dxa"/>
            <w:right w:w="108" w:type="dxa"/>
          </w:tblCellMar>
        </w:tblPrEx>
        <w:trPr>
          <w:cantSplit/>
          <w:trHeight w:hRule="exact" w:val="240"/>
          <w:jc w:val="center"/>
        </w:trPr>
        <w:tc>
          <w:tcPr>
            <w:tcW w:w="183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90"/>
              <w:jc w:val="left"/>
            </w:pPr>
            <w:r>
              <w:rPr>
                <w:rFonts w:ascii="Arial" w:eastAsia="Arial" w:hAnsi="Arial" w:cs="Arial"/>
                <w:b w:val="0"/>
                <w:i w:val="0"/>
                <w:color w:val="000000"/>
                <w:sz w:val="16"/>
                <w:u w:val="none"/>
              </w:rPr>
              <w:t>Chief Financial Officer</w:t>
            </w:r>
          </w:p>
        </w:tc>
        <w:tc>
          <w:tcPr>
            <w:tcW w:w="63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p>
        </w:tc>
        <w:tc>
          <w:tcPr>
            <w:tcW w:w="1140" w:type="dxa"/>
            <w:tcBorders>
              <w:top w:val="nil"/>
              <w:left w:val="nil"/>
              <w:bottom w:val="nil"/>
              <w:right w:val="nil"/>
            </w:tcBorders>
            <w:tcMar>
              <w:top w:w="0" w:type="dxa"/>
              <w:left w:w="53" w:type="dxa"/>
              <w:bottom w:w="0" w:type="dxa"/>
              <w:right w:w="15" w:type="dxa"/>
            </w:tcMar>
            <w:vAlign w:val="top"/>
          </w:tcPr>
          <w:p>
            <w:pPr>
              <w:keepNext/>
              <w:pageBreakBefore w:val="0"/>
              <w:spacing w:before="53" w:after="30" w:line="240" w:lineRule="auto"/>
              <w:jc w:val="left"/>
            </w:pPr>
          </w:p>
        </w:tc>
        <w:tc>
          <w:tcPr>
            <w:tcW w:w="945" w:type="dxa"/>
            <w:tcBorders>
              <w:top w:val="nil"/>
              <w:left w:val="nil"/>
              <w:bottom w:val="nil"/>
              <w:right w:val="nil"/>
            </w:tcBorders>
            <w:tcMar>
              <w:top w:w="0" w:type="dxa"/>
              <w:left w:w="53" w:type="dxa"/>
              <w:bottom w:w="0" w:type="dxa"/>
              <w:right w:w="15" w:type="dxa"/>
            </w:tcMar>
            <w:vAlign w:val="top"/>
          </w:tcPr>
          <w:p>
            <w:pPr>
              <w:keepNext/>
              <w:pageBreakBefore w:val="0"/>
              <w:spacing w:before="53" w:after="30" w:line="240" w:lineRule="auto"/>
              <w:jc w:val="left"/>
            </w:pPr>
          </w:p>
        </w:tc>
        <w:tc>
          <w:tcPr>
            <w:tcW w:w="1020" w:type="dxa"/>
            <w:tcBorders>
              <w:top w:val="nil"/>
              <w:left w:val="nil"/>
              <w:bottom w:val="nil"/>
              <w:right w:val="nil"/>
            </w:tcBorders>
            <w:tcMar>
              <w:top w:w="0" w:type="dxa"/>
              <w:left w:w="53" w:type="dxa"/>
              <w:bottom w:w="0" w:type="dxa"/>
              <w:right w:w="15" w:type="dxa"/>
            </w:tcMar>
            <w:vAlign w:val="top"/>
          </w:tcPr>
          <w:p>
            <w:pPr>
              <w:keepNext/>
              <w:pageBreakBefore w:val="0"/>
              <w:spacing w:before="53" w:after="30" w:line="240" w:lineRule="auto"/>
              <w:jc w:val="left"/>
            </w:pPr>
          </w:p>
        </w:tc>
        <w:tc>
          <w:tcPr>
            <w:tcW w:w="1035" w:type="dxa"/>
            <w:tcBorders>
              <w:top w:val="nil"/>
              <w:left w:val="nil"/>
              <w:bottom w:val="nil"/>
              <w:right w:val="nil"/>
            </w:tcBorders>
            <w:tcMar>
              <w:top w:w="0" w:type="dxa"/>
              <w:left w:w="53" w:type="dxa"/>
              <w:bottom w:w="0" w:type="dxa"/>
              <w:right w:w="15" w:type="dxa"/>
            </w:tcMar>
            <w:vAlign w:val="top"/>
          </w:tcPr>
          <w:p>
            <w:pPr>
              <w:keepNext/>
              <w:pageBreakBefore w:val="0"/>
              <w:spacing w:before="53" w:after="30" w:line="240" w:lineRule="auto"/>
              <w:jc w:val="left"/>
            </w:pPr>
          </w:p>
        </w:tc>
        <w:tc>
          <w:tcPr>
            <w:tcW w:w="1365" w:type="dxa"/>
            <w:tcBorders>
              <w:top w:val="nil"/>
              <w:left w:val="nil"/>
              <w:bottom w:val="nil"/>
              <w:right w:val="nil"/>
            </w:tcBorders>
            <w:tcMar>
              <w:top w:w="0" w:type="dxa"/>
              <w:left w:w="53" w:type="dxa"/>
              <w:bottom w:w="0" w:type="dxa"/>
              <w:right w:w="15" w:type="dxa"/>
            </w:tcMar>
            <w:vAlign w:val="top"/>
          </w:tcPr>
          <w:p>
            <w:pPr>
              <w:keepNext/>
              <w:pageBreakBefore w:val="0"/>
              <w:spacing w:before="53" w:after="30" w:line="240" w:lineRule="auto"/>
              <w:jc w:val="left"/>
            </w:pPr>
          </w:p>
        </w:tc>
        <w:tc>
          <w:tcPr>
            <w:tcW w:w="1215" w:type="dxa"/>
            <w:tcBorders>
              <w:top w:val="nil"/>
              <w:left w:val="nil"/>
              <w:bottom w:val="nil"/>
              <w:right w:val="nil"/>
            </w:tcBorders>
            <w:tcMar>
              <w:top w:w="0" w:type="dxa"/>
              <w:left w:w="53" w:type="dxa"/>
              <w:bottom w:w="0" w:type="dxa"/>
              <w:right w:w="15" w:type="dxa"/>
            </w:tcMar>
            <w:vAlign w:val="top"/>
          </w:tcPr>
          <w:p>
            <w:pPr>
              <w:keepNext/>
              <w:pageBreakBefore w:val="0"/>
              <w:spacing w:before="53" w:after="30" w:line="240" w:lineRule="auto"/>
              <w:jc w:val="left"/>
            </w:pPr>
          </w:p>
        </w:tc>
        <w:tc>
          <w:tcPr>
            <w:tcW w:w="1080" w:type="dxa"/>
            <w:tcBorders>
              <w:top w:val="nil"/>
              <w:left w:val="nil"/>
              <w:bottom w:val="nil"/>
              <w:right w:val="nil"/>
            </w:tcBorders>
            <w:tcMar>
              <w:top w:w="0" w:type="dxa"/>
              <w:left w:w="53" w:type="dxa"/>
              <w:bottom w:w="0" w:type="dxa"/>
              <w:right w:w="15" w:type="dxa"/>
            </w:tcMar>
            <w:vAlign w:val="top"/>
          </w:tcPr>
          <w:p>
            <w:pPr>
              <w:keepNext/>
              <w:pageBreakBefore w:val="0"/>
              <w:spacing w:before="53" w:after="30" w:line="240" w:lineRule="auto"/>
              <w:jc w:val="left"/>
            </w:pPr>
          </w:p>
        </w:tc>
      </w:tr>
      <w:tr>
        <w:tblPrEx>
          <w:tblW w:w="10260" w:type="dxa"/>
          <w:jc w:val="center"/>
          <w:tblLayout w:type="fixed"/>
          <w:tblCellMar>
            <w:left w:w="108" w:type="dxa"/>
            <w:right w:w="108" w:type="dxa"/>
          </w:tblCellMar>
        </w:tblPrEx>
        <w:trPr>
          <w:cantSplit/>
          <w:trHeight w:hRule="exact" w:val="60"/>
          <w:jc w:val="center"/>
        </w:trPr>
        <w:tc>
          <w:tcPr>
            <w:tcW w:w="183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3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02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03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10260" w:type="dxa"/>
          <w:jc w:val="center"/>
          <w:tblLayout w:type="fixed"/>
          <w:tblCellMar>
            <w:left w:w="108" w:type="dxa"/>
            <w:right w:w="108" w:type="dxa"/>
          </w:tblCellMar>
        </w:tblPrEx>
        <w:trPr>
          <w:cantSplit/>
          <w:trHeight w:hRule="exact" w:val="240"/>
          <w:jc w:val="center"/>
        </w:trPr>
        <w:tc>
          <w:tcPr>
            <w:tcW w:w="1830" w:type="dxa"/>
            <w:tcBorders>
              <w:top w:val="nil"/>
              <w:left w:val="nil"/>
              <w:bottom w:val="nil"/>
              <w:right w:val="nil"/>
            </w:tcBorders>
            <w:shd w:val="clear" w:color="auto" w:fill="DBDBDB"/>
            <w:tcMar>
              <w:top w:w="0" w:type="dxa"/>
              <w:left w:w="53" w:type="dxa"/>
              <w:bottom w:w="0" w:type="dxa"/>
              <w:right w:w="53" w:type="dxa"/>
            </w:tcMar>
            <w:vAlign w:val="top"/>
          </w:tcPr>
          <w:p>
            <w:pPr>
              <w:keepNext/>
              <w:pageBreakBefore w:val="0"/>
              <w:numPr>
                <w:ilvl w:val="0"/>
                <w:numId w:val="0"/>
              </w:numPr>
              <w:spacing w:before="53" w:after="30" w:line="240" w:lineRule="auto"/>
              <w:ind w:left="90" w:right="0" w:firstLine="0"/>
              <w:jc w:val="left"/>
              <w:outlineLvl w:val="9"/>
              <w:rPr>
                <w:rFonts w:ascii="Arial" w:eastAsia="Arial" w:hAnsi="Arial" w:cs="Arial"/>
                <w:b/>
                <w:i w:val="0"/>
                <w:sz w:val="16"/>
              </w:rPr>
            </w:pPr>
            <w:r>
              <w:rPr>
                <w:rFonts w:ascii="Arial" w:eastAsia="Arial" w:hAnsi="Arial" w:cs="Arial"/>
                <w:b/>
                <w:i w:val="0"/>
                <w:sz w:val="16"/>
              </w:rPr>
              <w:t>Orla Gregory</w:t>
            </w:r>
            <w:r>
              <w:rPr>
                <w:rFonts w:ascii="Arial" w:eastAsia="Arial" w:hAnsi="Arial" w:cs="Arial"/>
                <w:b/>
                <w:i w:val="0"/>
                <w:sz w:val="16"/>
                <w:vertAlign w:val="superscript"/>
              </w:rPr>
              <w:t>(</w:t>
            </w:r>
            <w:r>
              <w:rPr>
                <w:rFonts w:ascii="Arial" w:eastAsia="Arial" w:hAnsi="Arial" w:cs="Arial"/>
                <w:b/>
                <w:i w:val="0"/>
                <w:sz w:val="16"/>
                <w:vertAlign w:val="superscript"/>
              </w:rPr>
              <w:t>7</w:t>
            </w:r>
            <w:r>
              <w:rPr>
                <w:rFonts w:ascii="Arial" w:eastAsia="Arial" w:hAnsi="Arial" w:cs="Arial"/>
                <w:b/>
                <w:i w:val="0"/>
                <w:sz w:val="16"/>
                <w:vertAlign w:val="superscript"/>
              </w:rPr>
              <w:t>)</w:t>
            </w:r>
          </w:p>
        </w:tc>
        <w:tc>
          <w:tcPr>
            <w:tcW w:w="630" w:type="dxa"/>
            <w:tcBorders>
              <w:top w:val="nil"/>
              <w:left w:val="nil"/>
              <w:bottom w:val="nil"/>
              <w:right w:val="nil"/>
            </w:tcBorders>
            <w:shd w:val="clear" w:color="auto" w:fill="DBDBDB"/>
            <w:tcMar>
              <w:top w:w="0" w:type="dxa"/>
              <w:left w:w="0" w:type="dxa"/>
              <w:bottom w:w="0" w:type="dxa"/>
              <w:right w:w="53" w:type="dxa"/>
            </w:tcMar>
            <w:vAlign w:val="top"/>
          </w:tcPr>
          <w:p>
            <w:pPr>
              <w:keepNext/>
              <w:pageBreakBefore w:val="0"/>
              <w:spacing w:before="53" w:after="30" w:line="240" w:lineRule="auto"/>
              <w:jc w:val="right"/>
            </w:pPr>
            <w:r>
              <w:rPr>
                <w:rFonts w:ascii="Arial" w:eastAsia="Arial" w:hAnsi="Arial" w:cs="Arial"/>
                <w:b w:val="0"/>
                <w:i w:val="0"/>
                <w:color w:val="000000"/>
                <w:sz w:val="16"/>
                <w:u w:val="none"/>
              </w:rPr>
              <w:t>2023</w:t>
            </w:r>
          </w:p>
        </w:tc>
        <w:tc>
          <w:tcPr>
            <w:tcW w:w="1140"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310"/>
                <w:tab w:val="left" w:pos="1072"/>
              </w:tabs>
              <w:spacing w:before="53" w:after="30" w:line="240" w:lineRule="auto"/>
              <w:jc w:val="right"/>
            </w:pPr>
            <w:r>
              <w:rPr>
                <w:rFonts w:ascii="Arial" w:eastAsia="Arial" w:hAnsi="Arial" w:cs="Arial"/>
                <w:b w:val="0"/>
                <w:i w:val="0"/>
                <w:color w:val="000000"/>
                <w:sz w:val="16"/>
                <w:u w:val="none"/>
              </w:rPr>
              <w:t xml:space="preserve">$    </w:t>
              <w:tab/>
              <w:t>1,350,000</w:t>
              <w:tab/>
            </w:r>
          </w:p>
        </w:tc>
        <w:tc>
          <w:tcPr>
            <w:tcW w:w="94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666"/>
                <w:tab w:val="left" w:pos="877"/>
              </w:tabs>
              <w:spacing w:before="53" w:after="30" w:line="240" w:lineRule="auto"/>
              <w:jc w:val="right"/>
            </w:pPr>
            <w:r>
              <w:rPr>
                <w:rFonts w:ascii="Arial" w:eastAsia="Arial" w:hAnsi="Arial" w:cs="Arial"/>
                <w:b w:val="0"/>
                <w:i w:val="0"/>
                <w:color w:val="000000"/>
                <w:sz w:val="16"/>
                <w:u w:val="none"/>
              </w:rPr>
              <w:t xml:space="preserve">$ </w:t>
              <w:tab/>
              <w:t>—</w:t>
              <w:tab/>
            </w:r>
          </w:p>
        </w:tc>
        <w:tc>
          <w:tcPr>
            <w:tcW w:w="1020"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101"/>
                <w:tab w:val="left" w:pos="952"/>
              </w:tabs>
              <w:spacing w:before="53" w:after="30" w:line="240" w:lineRule="auto"/>
              <w:jc w:val="right"/>
            </w:pPr>
            <w:r>
              <w:rPr>
                <w:rFonts w:ascii="Arial" w:eastAsia="Arial" w:hAnsi="Arial" w:cs="Arial"/>
                <w:b w:val="0"/>
                <w:i w:val="0"/>
                <w:color w:val="000000"/>
                <w:sz w:val="16"/>
                <w:u w:val="none"/>
              </w:rPr>
              <w:t>$</w:t>
              <w:tab/>
              <w:t>12,000,008</w:t>
              <w:tab/>
            </w:r>
          </w:p>
        </w:tc>
        <w:tc>
          <w:tcPr>
            <w:tcW w:w="103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756"/>
                <w:tab w:val="left" w:pos="967"/>
              </w:tabs>
              <w:spacing w:before="53" w:after="30" w:line="240" w:lineRule="auto"/>
              <w:jc w:val="right"/>
            </w:pPr>
            <w:r>
              <w:rPr>
                <w:rFonts w:ascii="Arial" w:eastAsia="Arial" w:hAnsi="Arial" w:cs="Arial"/>
                <w:b w:val="0"/>
                <w:i w:val="0"/>
                <w:color w:val="000000"/>
                <w:sz w:val="16"/>
                <w:u w:val="none"/>
              </w:rPr>
              <w:t xml:space="preserve">$ </w:t>
              <w:tab/>
              <w:t>—</w:t>
              <w:tab/>
            </w:r>
          </w:p>
        </w:tc>
        <w:tc>
          <w:tcPr>
            <w:tcW w:w="136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535"/>
                <w:tab w:val="left" w:pos="1297"/>
              </w:tabs>
              <w:spacing w:before="53" w:after="30" w:line="240" w:lineRule="auto"/>
              <w:jc w:val="right"/>
            </w:pPr>
            <w:r>
              <w:rPr>
                <w:rFonts w:ascii="Arial" w:eastAsia="Arial" w:hAnsi="Arial" w:cs="Arial"/>
                <w:b w:val="0"/>
                <w:i w:val="0"/>
                <w:color w:val="000000"/>
                <w:sz w:val="16"/>
                <w:u w:val="none"/>
              </w:rPr>
              <w:t xml:space="preserve">$ </w:t>
              <w:tab/>
              <w:t>2,042,297</w:t>
              <w:tab/>
            </w:r>
          </w:p>
        </w:tc>
        <w:tc>
          <w:tcPr>
            <w:tcW w:w="121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518"/>
                <w:tab w:val="left" w:pos="1147"/>
              </w:tabs>
              <w:spacing w:before="53" w:after="30" w:line="240" w:lineRule="auto"/>
              <w:jc w:val="right"/>
            </w:pPr>
            <w:r>
              <w:rPr>
                <w:rFonts w:ascii="Arial" w:eastAsia="Arial" w:hAnsi="Arial" w:cs="Arial"/>
                <w:b w:val="0"/>
                <w:i w:val="0"/>
                <w:color w:val="000000"/>
                <w:sz w:val="16"/>
                <w:u w:val="none"/>
              </w:rPr>
              <w:t xml:space="preserve">$ </w:t>
              <w:tab/>
              <w:t>353,316</w:t>
              <w:tab/>
            </w:r>
          </w:p>
        </w:tc>
        <w:tc>
          <w:tcPr>
            <w:tcW w:w="1080"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179"/>
                <w:tab w:val="left" w:pos="1030"/>
              </w:tabs>
              <w:spacing w:before="53" w:after="30" w:line="240" w:lineRule="auto"/>
              <w:jc w:val="right"/>
            </w:pPr>
            <w:r>
              <w:rPr>
                <w:rFonts w:ascii="Arial" w:eastAsia="Arial" w:hAnsi="Arial" w:cs="Arial"/>
                <w:b w:val="0"/>
                <w:i w:val="0"/>
                <w:color w:val="000000"/>
                <w:sz w:val="16"/>
                <w:u w:val="none"/>
              </w:rPr>
              <w:t xml:space="preserve">$  </w:t>
              <w:tab/>
              <w:t>15,745,621</w:t>
              <w:tab/>
            </w:r>
          </w:p>
        </w:tc>
      </w:tr>
      <w:tr>
        <w:tblPrEx>
          <w:tblW w:w="10260" w:type="dxa"/>
          <w:jc w:val="center"/>
          <w:tblLayout w:type="fixed"/>
          <w:tblCellMar>
            <w:left w:w="108" w:type="dxa"/>
            <w:right w:w="108" w:type="dxa"/>
          </w:tblCellMar>
        </w:tblPrEx>
        <w:trPr>
          <w:cantSplit/>
          <w:trHeight w:hRule="exact" w:val="240"/>
          <w:jc w:val="center"/>
        </w:trPr>
        <w:tc>
          <w:tcPr>
            <w:tcW w:w="1830" w:type="dxa"/>
            <w:vMerge w:val="restart"/>
            <w:tcBorders>
              <w:top w:val="nil"/>
              <w:left w:val="nil"/>
              <w:bottom w:val="nil"/>
              <w:right w:val="nil"/>
            </w:tcBorders>
            <w:shd w:val="clear" w:color="auto" w:fill="DBDBDB"/>
            <w:tcMar>
              <w:top w:w="0" w:type="dxa"/>
              <w:left w:w="53" w:type="dxa"/>
              <w:bottom w:w="0" w:type="dxa"/>
              <w:right w:w="53" w:type="dxa"/>
            </w:tcMar>
            <w:vAlign w:val="top"/>
          </w:tcPr>
          <w:p>
            <w:pPr>
              <w:keepNext/>
              <w:pageBreakBefore w:val="0"/>
              <w:numPr>
                <w:ilvl w:val="0"/>
                <w:numId w:val="0"/>
              </w:numPr>
              <w:spacing w:before="53" w:after="30" w:line="240" w:lineRule="auto"/>
              <w:ind w:left="90" w:right="0" w:firstLine="0"/>
              <w:jc w:val="left"/>
              <w:outlineLvl w:val="9"/>
              <w:rPr>
                <w:rFonts w:ascii="Arial" w:eastAsia="Arial" w:hAnsi="Arial" w:cs="Arial"/>
                <w:b w:val="0"/>
                <w:i w:val="0"/>
                <w:sz w:val="16"/>
              </w:rPr>
            </w:pPr>
            <w:r>
              <w:rPr>
                <w:rFonts w:ascii="Arial" w:eastAsia="Arial" w:hAnsi="Arial" w:cs="Arial"/>
                <w:b w:val="0"/>
                <w:i w:val="0"/>
                <w:sz w:val="16"/>
              </w:rPr>
              <w:t xml:space="preserve">President and Former Chief Financial Officer </w:t>
            </w:r>
          </w:p>
        </w:tc>
        <w:tc>
          <w:tcPr>
            <w:tcW w:w="630" w:type="dxa"/>
            <w:tcBorders>
              <w:top w:val="nil"/>
              <w:left w:val="nil"/>
              <w:bottom w:val="nil"/>
              <w:right w:val="nil"/>
            </w:tcBorders>
            <w:shd w:val="clear" w:color="auto" w:fill="DBDBDB"/>
            <w:tcMar>
              <w:top w:w="0" w:type="dxa"/>
              <w:left w:w="0" w:type="dxa"/>
              <w:bottom w:w="0" w:type="dxa"/>
              <w:right w:w="53" w:type="dxa"/>
            </w:tcMar>
            <w:vAlign w:val="top"/>
          </w:tcPr>
          <w:p>
            <w:pPr>
              <w:keepNext/>
              <w:pageBreakBefore w:val="0"/>
              <w:spacing w:before="53" w:after="30" w:line="240" w:lineRule="auto"/>
              <w:jc w:val="right"/>
            </w:pPr>
            <w:r>
              <w:rPr>
                <w:rFonts w:ascii="Arial" w:eastAsia="Arial" w:hAnsi="Arial" w:cs="Arial"/>
                <w:b w:val="0"/>
                <w:i w:val="0"/>
                <w:color w:val="000000"/>
                <w:sz w:val="16"/>
                <w:u w:val="none"/>
              </w:rPr>
              <w:t>2022</w:t>
            </w:r>
          </w:p>
        </w:tc>
        <w:tc>
          <w:tcPr>
            <w:tcW w:w="1140"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310"/>
                <w:tab w:val="left" w:pos="1072"/>
              </w:tabs>
              <w:spacing w:before="53" w:after="30" w:line="240" w:lineRule="auto"/>
              <w:jc w:val="right"/>
            </w:pPr>
            <w:r>
              <w:rPr>
                <w:rFonts w:ascii="Arial" w:eastAsia="Arial" w:hAnsi="Arial" w:cs="Arial"/>
                <w:b w:val="0"/>
                <w:i w:val="0"/>
                <w:color w:val="000000"/>
                <w:sz w:val="16"/>
                <w:u w:val="none"/>
              </w:rPr>
              <w:t xml:space="preserve">$ </w:t>
              <w:tab/>
              <w:t>1,200,000</w:t>
              <w:tab/>
            </w:r>
          </w:p>
        </w:tc>
        <w:tc>
          <w:tcPr>
            <w:tcW w:w="94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666"/>
                <w:tab w:val="left" w:pos="877"/>
              </w:tabs>
              <w:spacing w:before="53" w:after="30" w:line="240" w:lineRule="auto"/>
              <w:jc w:val="right"/>
            </w:pPr>
            <w:r>
              <w:rPr>
                <w:rFonts w:ascii="Arial" w:eastAsia="Arial" w:hAnsi="Arial" w:cs="Arial"/>
                <w:b w:val="0"/>
                <w:i w:val="0"/>
                <w:color w:val="000000"/>
                <w:sz w:val="16"/>
                <w:u w:val="none"/>
              </w:rPr>
              <w:t xml:space="preserve">$ </w:t>
              <w:tab/>
              <w:t>—</w:t>
              <w:tab/>
            </w:r>
          </w:p>
        </w:tc>
        <w:tc>
          <w:tcPr>
            <w:tcW w:w="1020"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741"/>
                <w:tab w:val="left" w:pos="952"/>
              </w:tabs>
              <w:spacing w:before="53" w:after="30" w:line="240" w:lineRule="auto"/>
              <w:jc w:val="right"/>
            </w:pPr>
            <w:r>
              <w:rPr>
                <w:rFonts w:ascii="Arial" w:eastAsia="Arial" w:hAnsi="Arial" w:cs="Arial"/>
                <w:b w:val="0"/>
                <w:i w:val="0"/>
                <w:color w:val="000000"/>
                <w:sz w:val="16"/>
                <w:u w:val="none"/>
              </w:rPr>
              <w:t>$</w:t>
              <w:tab/>
              <w:t>—</w:t>
              <w:tab/>
            </w:r>
          </w:p>
        </w:tc>
        <w:tc>
          <w:tcPr>
            <w:tcW w:w="103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756"/>
                <w:tab w:val="left" w:pos="967"/>
              </w:tabs>
              <w:spacing w:before="53" w:after="30" w:line="240" w:lineRule="auto"/>
              <w:jc w:val="right"/>
            </w:pPr>
            <w:r>
              <w:rPr>
                <w:rFonts w:ascii="Arial" w:eastAsia="Arial" w:hAnsi="Arial" w:cs="Arial"/>
                <w:b w:val="0"/>
                <w:i w:val="0"/>
                <w:color w:val="000000"/>
                <w:sz w:val="16"/>
                <w:u w:val="none"/>
              </w:rPr>
              <w:t xml:space="preserve">$ </w:t>
              <w:tab/>
              <w:t>—</w:t>
              <w:tab/>
            </w:r>
          </w:p>
        </w:tc>
        <w:tc>
          <w:tcPr>
            <w:tcW w:w="136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668"/>
                <w:tab w:val="left" w:pos="1297"/>
              </w:tabs>
              <w:spacing w:before="53" w:after="30" w:line="240" w:lineRule="auto"/>
              <w:jc w:val="right"/>
            </w:pPr>
            <w:r>
              <w:rPr>
                <w:rFonts w:ascii="Arial" w:eastAsia="Arial" w:hAnsi="Arial" w:cs="Arial"/>
                <w:b w:val="0"/>
                <w:i w:val="0"/>
                <w:color w:val="000000"/>
                <w:sz w:val="16"/>
                <w:u w:val="none"/>
              </w:rPr>
              <w:t xml:space="preserve">$ </w:t>
              <w:tab/>
              <w:t>982,950</w:t>
              <w:tab/>
            </w:r>
          </w:p>
        </w:tc>
        <w:tc>
          <w:tcPr>
            <w:tcW w:w="121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518"/>
                <w:tab w:val="left" w:pos="1147"/>
              </w:tabs>
              <w:spacing w:before="53" w:after="30" w:line="240" w:lineRule="auto"/>
              <w:jc w:val="right"/>
            </w:pPr>
            <w:r>
              <w:rPr>
                <w:rFonts w:ascii="Arial" w:eastAsia="Arial" w:hAnsi="Arial" w:cs="Arial"/>
                <w:b w:val="0"/>
                <w:i w:val="0"/>
                <w:color w:val="000000"/>
                <w:sz w:val="16"/>
                <w:u w:val="none"/>
              </w:rPr>
              <w:t xml:space="preserve">$ </w:t>
              <w:tab/>
              <w:t>296,711</w:t>
              <w:tab/>
            </w:r>
          </w:p>
        </w:tc>
        <w:tc>
          <w:tcPr>
            <w:tcW w:w="1080"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250"/>
                <w:tab w:val="left" w:pos="1012"/>
              </w:tabs>
              <w:spacing w:before="53" w:after="30" w:line="240" w:lineRule="auto"/>
              <w:jc w:val="right"/>
            </w:pPr>
            <w:r>
              <w:rPr>
                <w:rFonts w:ascii="Arial" w:eastAsia="Arial" w:hAnsi="Arial" w:cs="Arial"/>
                <w:b w:val="0"/>
                <w:i w:val="0"/>
                <w:color w:val="000000"/>
                <w:sz w:val="16"/>
                <w:u w:val="none"/>
              </w:rPr>
              <w:t xml:space="preserve">$  </w:t>
              <w:tab/>
              <w:t>2,479,661</w:t>
              <w:tab/>
            </w:r>
          </w:p>
        </w:tc>
      </w:tr>
      <w:tr>
        <w:tblPrEx>
          <w:tblW w:w="10260" w:type="dxa"/>
          <w:jc w:val="center"/>
          <w:tblLayout w:type="fixed"/>
          <w:tblCellMar>
            <w:left w:w="108" w:type="dxa"/>
            <w:right w:w="108" w:type="dxa"/>
          </w:tblCellMar>
        </w:tblPrEx>
        <w:trPr>
          <w:cantSplit/>
          <w:trHeight w:hRule="exact" w:val="240"/>
          <w:jc w:val="center"/>
        </w:trPr>
        <w:tc>
          <w:tcPr>
            <w:tcW w:w="1830" w:type="dxa"/>
            <w:vMerge/>
            <w:tcBorders>
              <w:top w:val="nil"/>
              <w:left w:val="nil"/>
              <w:bottom w:val="nil"/>
              <w:right w:val="nil"/>
            </w:tcBorders>
          </w:tcPr>
          <w:p>
            <w:pPr>
              <w:keepNext/>
              <w:pageBreakBefore w:val="0"/>
            </w:pPr>
          </w:p>
        </w:tc>
        <w:tc>
          <w:tcPr>
            <w:tcW w:w="630" w:type="dxa"/>
            <w:tcBorders>
              <w:top w:val="nil"/>
              <w:left w:val="nil"/>
              <w:bottom w:val="nil"/>
              <w:right w:val="nil"/>
            </w:tcBorders>
            <w:shd w:val="clear" w:color="auto" w:fill="DBDBDB"/>
            <w:tcMar>
              <w:top w:w="0" w:type="dxa"/>
              <w:left w:w="0" w:type="dxa"/>
              <w:bottom w:w="0" w:type="dxa"/>
              <w:right w:w="53" w:type="dxa"/>
            </w:tcMar>
            <w:vAlign w:val="top"/>
          </w:tcPr>
          <w:p>
            <w:pPr>
              <w:keepNext/>
              <w:pageBreakBefore w:val="0"/>
              <w:spacing w:before="53" w:after="30" w:line="240" w:lineRule="auto"/>
              <w:jc w:val="right"/>
            </w:pPr>
            <w:r>
              <w:rPr>
                <w:rFonts w:ascii="Arial" w:eastAsia="Arial" w:hAnsi="Arial" w:cs="Arial"/>
                <w:b w:val="0"/>
                <w:i w:val="0"/>
                <w:color w:val="000000"/>
                <w:sz w:val="16"/>
                <w:u w:val="none"/>
              </w:rPr>
              <w:t>2021</w:t>
            </w:r>
          </w:p>
        </w:tc>
        <w:tc>
          <w:tcPr>
            <w:tcW w:w="1140"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310"/>
                <w:tab w:val="left" w:pos="1072"/>
              </w:tabs>
              <w:spacing w:before="53" w:after="30" w:line="240" w:lineRule="auto"/>
              <w:jc w:val="right"/>
            </w:pPr>
            <w:r>
              <w:rPr>
                <w:rFonts w:ascii="Arial" w:eastAsia="Arial" w:hAnsi="Arial" w:cs="Arial"/>
                <w:b w:val="0"/>
                <w:i w:val="0"/>
                <w:color w:val="000000"/>
                <w:sz w:val="16"/>
                <w:u w:val="none"/>
              </w:rPr>
              <w:t xml:space="preserve">$ </w:t>
              <w:tab/>
              <w:t>1,200,000</w:t>
              <w:tab/>
            </w:r>
          </w:p>
        </w:tc>
        <w:tc>
          <w:tcPr>
            <w:tcW w:w="94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666"/>
                <w:tab w:val="left" w:pos="877"/>
              </w:tabs>
              <w:spacing w:before="53" w:after="30" w:line="240" w:lineRule="auto"/>
              <w:jc w:val="right"/>
            </w:pPr>
            <w:r>
              <w:rPr>
                <w:rFonts w:ascii="Arial" w:eastAsia="Arial" w:hAnsi="Arial" w:cs="Arial"/>
                <w:b w:val="0"/>
                <w:i w:val="0"/>
                <w:color w:val="000000"/>
                <w:sz w:val="16"/>
                <w:u w:val="none"/>
              </w:rPr>
              <w:t xml:space="preserve">$ </w:t>
              <w:tab/>
              <w:t>—</w:t>
              <w:tab/>
            </w:r>
          </w:p>
        </w:tc>
        <w:tc>
          <w:tcPr>
            <w:tcW w:w="1020"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741"/>
                <w:tab w:val="left" w:pos="952"/>
              </w:tabs>
              <w:spacing w:before="53" w:after="30" w:line="240" w:lineRule="auto"/>
              <w:jc w:val="right"/>
            </w:pPr>
            <w:r>
              <w:rPr>
                <w:rFonts w:ascii="Arial" w:eastAsia="Arial" w:hAnsi="Arial" w:cs="Arial"/>
                <w:b w:val="0"/>
                <w:i w:val="0"/>
                <w:color w:val="000000"/>
                <w:sz w:val="16"/>
                <w:u w:val="none"/>
              </w:rPr>
              <w:t>$</w:t>
              <w:tab/>
              <w:t>—</w:t>
              <w:tab/>
            </w:r>
          </w:p>
        </w:tc>
        <w:tc>
          <w:tcPr>
            <w:tcW w:w="103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756"/>
                <w:tab w:val="left" w:pos="967"/>
              </w:tabs>
              <w:spacing w:before="53" w:after="30" w:line="240" w:lineRule="auto"/>
              <w:jc w:val="right"/>
            </w:pPr>
            <w:r>
              <w:rPr>
                <w:rFonts w:ascii="Arial" w:eastAsia="Arial" w:hAnsi="Arial" w:cs="Arial"/>
                <w:b w:val="0"/>
                <w:i w:val="0"/>
                <w:color w:val="000000"/>
                <w:sz w:val="16"/>
                <w:u w:val="none"/>
              </w:rPr>
              <w:t xml:space="preserve">$ </w:t>
              <w:tab/>
              <w:t>—</w:t>
              <w:tab/>
            </w:r>
          </w:p>
        </w:tc>
        <w:tc>
          <w:tcPr>
            <w:tcW w:w="136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535"/>
                <w:tab w:val="left" w:pos="1297"/>
              </w:tabs>
              <w:spacing w:before="53" w:after="30" w:line="240" w:lineRule="auto"/>
              <w:jc w:val="right"/>
            </w:pPr>
            <w:r>
              <w:rPr>
                <w:rFonts w:ascii="Arial" w:eastAsia="Arial" w:hAnsi="Arial" w:cs="Arial"/>
                <w:b w:val="0"/>
                <w:i w:val="0"/>
                <w:color w:val="000000"/>
                <w:sz w:val="16"/>
                <w:u w:val="none"/>
              </w:rPr>
              <w:t xml:space="preserve">$ </w:t>
              <w:tab/>
              <w:t>1,318,139</w:t>
              <w:tab/>
            </w:r>
          </w:p>
        </w:tc>
        <w:tc>
          <w:tcPr>
            <w:tcW w:w="121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518"/>
                <w:tab w:val="left" w:pos="1147"/>
              </w:tabs>
              <w:spacing w:before="53" w:after="30" w:line="240" w:lineRule="auto"/>
              <w:jc w:val="right"/>
            </w:pPr>
            <w:r>
              <w:rPr>
                <w:rFonts w:ascii="Arial" w:eastAsia="Arial" w:hAnsi="Arial" w:cs="Arial"/>
                <w:b w:val="0"/>
                <w:i w:val="0"/>
                <w:color w:val="000000"/>
                <w:sz w:val="16"/>
                <w:u w:val="none"/>
              </w:rPr>
              <w:t xml:space="preserve">$ </w:t>
              <w:tab/>
              <w:t>296,711</w:t>
              <w:tab/>
            </w:r>
          </w:p>
        </w:tc>
        <w:tc>
          <w:tcPr>
            <w:tcW w:w="1080"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250"/>
                <w:tab w:val="left" w:pos="1012"/>
              </w:tabs>
              <w:spacing w:before="53" w:after="30" w:line="240" w:lineRule="auto"/>
              <w:jc w:val="right"/>
            </w:pPr>
            <w:r>
              <w:rPr>
                <w:rFonts w:ascii="Arial" w:eastAsia="Arial" w:hAnsi="Arial" w:cs="Arial"/>
                <w:b w:val="0"/>
                <w:i w:val="0"/>
                <w:color w:val="000000"/>
                <w:sz w:val="16"/>
                <w:u w:val="none"/>
              </w:rPr>
              <w:t xml:space="preserve">$  </w:t>
              <w:tab/>
              <w:t>2,814,850</w:t>
              <w:tab/>
            </w:r>
          </w:p>
        </w:tc>
      </w:tr>
      <w:tr>
        <w:tblPrEx>
          <w:tblW w:w="10260" w:type="dxa"/>
          <w:jc w:val="center"/>
          <w:tblLayout w:type="fixed"/>
          <w:tblCellMar>
            <w:left w:w="108" w:type="dxa"/>
            <w:right w:w="108" w:type="dxa"/>
          </w:tblCellMar>
        </w:tblPrEx>
        <w:trPr>
          <w:cantSplit/>
          <w:trHeight w:hRule="exact" w:val="105"/>
          <w:jc w:val="center"/>
        </w:trPr>
        <w:tc>
          <w:tcPr>
            <w:tcW w:w="1830"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630"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020"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03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r>
      <w:tr>
        <w:tblPrEx>
          <w:tblW w:w="10260" w:type="dxa"/>
          <w:jc w:val="center"/>
          <w:tblLayout w:type="fixed"/>
          <w:tblCellMar>
            <w:left w:w="108" w:type="dxa"/>
            <w:right w:w="108" w:type="dxa"/>
          </w:tblCellMar>
        </w:tblPrEx>
        <w:trPr>
          <w:cantSplit/>
          <w:trHeight w:hRule="exact" w:val="240"/>
          <w:jc w:val="center"/>
        </w:trPr>
        <w:tc>
          <w:tcPr>
            <w:tcW w:w="1830" w:type="dxa"/>
            <w:tcBorders>
              <w:top w:val="nil"/>
              <w:left w:val="nil"/>
              <w:bottom w:val="nil"/>
              <w:right w:val="nil"/>
            </w:tcBorders>
            <w:shd w:val="clear" w:color="auto" w:fill="FFFFFF"/>
            <w:tcMar>
              <w:top w:w="0" w:type="dxa"/>
              <w:left w:w="53" w:type="dxa"/>
              <w:bottom w:w="0" w:type="dxa"/>
              <w:right w:w="53" w:type="dxa"/>
            </w:tcMar>
            <w:vAlign w:val="top"/>
          </w:tcPr>
          <w:p>
            <w:pPr>
              <w:keepNext/>
              <w:pageBreakBefore w:val="0"/>
              <w:numPr>
                <w:ilvl w:val="0"/>
                <w:numId w:val="0"/>
              </w:numPr>
              <w:spacing w:before="53" w:after="30" w:line="240" w:lineRule="auto"/>
              <w:ind w:left="90" w:right="0" w:firstLine="0"/>
              <w:jc w:val="left"/>
              <w:outlineLvl w:val="9"/>
              <w:rPr>
                <w:rFonts w:ascii="Arial" w:eastAsia="Arial" w:hAnsi="Arial" w:cs="Arial"/>
                <w:b/>
                <w:i w:val="0"/>
                <w:sz w:val="16"/>
              </w:rPr>
            </w:pPr>
            <w:r>
              <w:rPr>
                <w:rFonts w:ascii="Arial" w:eastAsia="Arial" w:hAnsi="Arial" w:cs="Arial"/>
                <w:b/>
                <w:i w:val="0"/>
                <w:sz w:val="16"/>
              </w:rPr>
              <w:t>David Ni</w:t>
            </w:r>
            <w:r>
              <w:rPr>
                <w:rFonts w:ascii="Arial" w:eastAsia="Arial" w:hAnsi="Arial" w:cs="Arial"/>
                <w:b/>
                <w:i w:val="0"/>
                <w:sz w:val="16"/>
                <w:vertAlign w:val="superscript"/>
              </w:rPr>
              <w:t>(8)</w:t>
            </w:r>
          </w:p>
        </w:tc>
        <w:tc>
          <w:tcPr>
            <w:tcW w:w="630" w:type="dxa"/>
            <w:tcBorders>
              <w:top w:val="nil"/>
              <w:left w:val="nil"/>
              <w:bottom w:val="nil"/>
              <w:right w:val="nil"/>
            </w:tcBorders>
            <w:shd w:val="clear" w:color="auto" w:fill="FFFFFF"/>
            <w:tcMar>
              <w:top w:w="0" w:type="dxa"/>
              <w:left w:w="0" w:type="dxa"/>
              <w:bottom w:w="0" w:type="dxa"/>
              <w:right w:w="53" w:type="dxa"/>
            </w:tcMar>
            <w:vAlign w:val="top"/>
          </w:tcPr>
          <w:p>
            <w:pPr>
              <w:keepNext/>
              <w:pageBreakBefore w:val="0"/>
              <w:spacing w:before="53" w:after="30" w:line="240" w:lineRule="auto"/>
              <w:jc w:val="right"/>
            </w:pPr>
            <w:r>
              <w:rPr>
                <w:rFonts w:ascii="Arial" w:eastAsia="Arial" w:hAnsi="Arial" w:cs="Arial"/>
                <w:b w:val="0"/>
                <w:i w:val="0"/>
                <w:color w:val="000000"/>
                <w:sz w:val="16"/>
                <w:u w:val="none"/>
              </w:rPr>
              <w:t>2023</w:t>
            </w:r>
          </w:p>
        </w:tc>
        <w:tc>
          <w:tcPr>
            <w:tcW w:w="1140" w:type="dxa"/>
            <w:tcBorders>
              <w:top w:val="nil"/>
              <w:left w:val="nil"/>
              <w:bottom w:val="nil"/>
              <w:right w:val="nil"/>
            </w:tcBorders>
            <w:shd w:val="clear" w:color="auto" w:fill="FFFFFF"/>
            <w:tcMar>
              <w:top w:w="0" w:type="dxa"/>
              <w:left w:w="0" w:type="dxa"/>
              <w:bottom w:w="0" w:type="dxa"/>
              <w:right w:w="15" w:type="dxa"/>
            </w:tcMar>
            <w:vAlign w:val="top"/>
          </w:tcPr>
          <w:p>
            <w:pPr>
              <w:keepNext/>
              <w:pageBreakBefore w:val="0"/>
              <w:tabs>
                <w:tab w:val="left" w:pos="443"/>
                <w:tab w:val="left" w:pos="1072"/>
              </w:tabs>
              <w:spacing w:before="53" w:after="30" w:line="240" w:lineRule="auto"/>
              <w:jc w:val="right"/>
            </w:pPr>
            <w:r>
              <w:rPr>
                <w:rFonts w:ascii="Arial" w:eastAsia="Arial" w:hAnsi="Arial" w:cs="Arial"/>
                <w:b w:val="0"/>
                <w:i w:val="0"/>
                <w:color w:val="000000"/>
                <w:sz w:val="16"/>
                <w:u w:val="none"/>
              </w:rPr>
              <w:t xml:space="preserve">$    </w:t>
              <w:tab/>
              <w:t>846,154</w:t>
              <w:tab/>
            </w:r>
          </w:p>
        </w:tc>
        <w:tc>
          <w:tcPr>
            <w:tcW w:w="945" w:type="dxa"/>
            <w:tcBorders>
              <w:top w:val="nil"/>
              <w:left w:val="nil"/>
              <w:bottom w:val="nil"/>
              <w:right w:val="nil"/>
            </w:tcBorders>
            <w:shd w:val="clear" w:color="auto" w:fill="FFFFFF"/>
            <w:tcMar>
              <w:top w:w="0" w:type="dxa"/>
              <w:left w:w="0" w:type="dxa"/>
              <w:bottom w:w="0" w:type="dxa"/>
              <w:right w:w="15" w:type="dxa"/>
            </w:tcMar>
            <w:vAlign w:val="top"/>
          </w:tcPr>
          <w:p>
            <w:pPr>
              <w:keepNext/>
              <w:pageBreakBefore w:val="0"/>
              <w:tabs>
                <w:tab w:val="left" w:pos="666"/>
                <w:tab w:val="left" w:pos="877"/>
              </w:tabs>
              <w:spacing w:before="53" w:after="30" w:line="240" w:lineRule="auto"/>
              <w:jc w:val="right"/>
            </w:pPr>
            <w:r>
              <w:rPr>
                <w:rFonts w:ascii="Arial" w:eastAsia="Arial" w:hAnsi="Arial" w:cs="Arial"/>
                <w:b w:val="0"/>
                <w:i w:val="0"/>
                <w:color w:val="000000"/>
                <w:sz w:val="16"/>
                <w:u w:val="none"/>
              </w:rPr>
              <w:t xml:space="preserve">$    </w:t>
              <w:tab/>
              <w:t>—</w:t>
              <w:tab/>
            </w:r>
          </w:p>
        </w:tc>
        <w:tc>
          <w:tcPr>
            <w:tcW w:w="1020" w:type="dxa"/>
            <w:tcBorders>
              <w:top w:val="nil"/>
              <w:left w:val="nil"/>
              <w:bottom w:val="nil"/>
              <w:right w:val="nil"/>
            </w:tcBorders>
            <w:shd w:val="clear" w:color="auto" w:fill="FFFFFF"/>
            <w:tcMar>
              <w:top w:w="0" w:type="dxa"/>
              <w:left w:w="0" w:type="dxa"/>
              <w:bottom w:w="0" w:type="dxa"/>
              <w:right w:w="15" w:type="dxa"/>
            </w:tcMar>
            <w:vAlign w:val="top"/>
          </w:tcPr>
          <w:p>
            <w:pPr>
              <w:keepNext/>
              <w:pageBreakBefore w:val="0"/>
              <w:tabs>
                <w:tab w:val="left" w:pos="190"/>
                <w:tab w:val="left" w:pos="952"/>
              </w:tabs>
              <w:spacing w:before="53" w:after="30" w:line="240" w:lineRule="auto"/>
              <w:jc w:val="right"/>
            </w:pPr>
            <w:r>
              <w:rPr>
                <w:rFonts w:ascii="Arial" w:eastAsia="Arial" w:hAnsi="Arial" w:cs="Arial"/>
                <w:b w:val="0"/>
                <w:i w:val="0"/>
                <w:color w:val="000000"/>
                <w:sz w:val="16"/>
                <w:u w:val="none"/>
              </w:rPr>
              <w:t>$</w:t>
              <w:tab/>
              <w:t>1,699,964</w:t>
              <w:tab/>
            </w:r>
          </w:p>
        </w:tc>
        <w:tc>
          <w:tcPr>
            <w:tcW w:w="1035" w:type="dxa"/>
            <w:tcBorders>
              <w:top w:val="nil"/>
              <w:left w:val="nil"/>
              <w:bottom w:val="nil"/>
              <w:right w:val="nil"/>
            </w:tcBorders>
            <w:shd w:val="clear" w:color="auto" w:fill="FFFFFF"/>
            <w:tcMar>
              <w:top w:w="0" w:type="dxa"/>
              <w:left w:w="0" w:type="dxa"/>
              <w:bottom w:w="0" w:type="dxa"/>
              <w:right w:w="15" w:type="dxa"/>
            </w:tcMar>
            <w:vAlign w:val="top"/>
          </w:tcPr>
          <w:p>
            <w:pPr>
              <w:keepNext/>
              <w:pageBreakBefore w:val="0"/>
              <w:tabs>
                <w:tab w:val="left" w:pos="756"/>
                <w:tab w:val="left" w:pos="967"/>
              </w:tabs>
              <w:spacing w:before="53" w:after="30" w:line="240" w:lineRule="auto"/>
              <w:jc w:val="right"/>
            </w:pPr>
            <w:r>
              <w:rPr>
                <w:rFonts w:ascii="Arial" w:eastAsia="Arial" w:hAnsi="Arial" w:cs="Arial"/>
                <w:b w:val="0"/>
                <w:i w:val="0"/>
                <w:color w:val="000000"/>
                <w:sz w:val="16"/>
                <w:u w:val="none"/>
              </w:rPr>
              <w:t xml:space="preserve">$   </w:t>
              <w:tab/>
              <w:t>—</w:t>
              <w:tab/>
            </w:r>
          </w:p>
        </w:tc>
        <w:tc>
          <w:tcPr>
            <w:tcW w:w="1365" w:type="dxa"/>
            <w:tcBorders>
              <w:top w:val="nil"/>
              <w:left w:val="nil"/>
              <w:bottom w:val="nil"/>
              <w:right w:val="nil"/>
            </w:tcBorders>
            <w:shd w:val="clear" w:color="auto" w:fill="FFFFFF"/>
            <w:tcMar>
              <w:top w:w="0" w:type="dxa"/>
              <w:left w:w="0" w:type="dxa"/>
              <w:bottom w:w="0" w:type="dxa"/>
              <w:right w:w="15" w:type="dxa"/>
            </w:tcMar>
            <w:vAlign w:val="top"/>
          </w:tcPr>
          <w:p>
            <w:pPr>
              <w:keepNext/>
              <w:pageBreakBefore w:val="0"/>
              <w:tabs>
                <w:tab w:val="left" w:pos="535"/>
                <w:tab w:val="left" w:pos="1297"/>
              </w:tabs>
              <w:spacing w:before="53" w:after="30" w:line="240" w:lineRule="auto"/>
              <w:jc w:val="right"/>
            </w:pPr>
            <w:r>
              <w:rPr>
                <w:rFonts w:ascii="Arial" w:eastAsia="Arial" w:hAnsi="Arial" w:cs="Arial"/>
                <w:b w:val="0"/>
                <w:i w:val="0"/>
                <w:color w:val="000000"/>
                <w:sz w:val="16"/>
                <w:u w:val="none"/>
              </w:rPr>
              <w:t xml:space="preserve">$   </w:t>
              <w:tab/>
              <w:t>1,357,845</w:t>
              <w:tab/>
            </w:r>
          </w:p>
        </w:tc>
        <w:tc>
          <w:tcPr>
            <w:tcW w:w="1215" w:type="dxa"/>
            <w:tcBorders>
              <w:top w:val="nil"/>
              <w:left w:val="nil"/>
              <w:bottom w:val="nil"/>
              <w:right w:val="nil"/>
            </w:tcBorders>
            <w:shd w:val="clear" w:color="auto" w:fill="FFFFFF"/>
            <w:tcMar>
              <w:top w:w="0" w:type="dxa"/>
              <w:left w:w="0" w:type="dxa"/>
              <w:bottom w:w="0" w:type="dxa"/>
              <w:right w:w="15" w:type="dxa"/>
            </w:tcMar>
            <w:vAlign w:val="top"/>
          </w:tcPr>
          <w:p>
            <w:pPr>
              <w:keepNext/>
              <w:pageBreakBefore w:val="0"/>
              <w:tabs>
                <w:tab w:val="left" w:pos="607"/>
                <w:tab w:val="left" w:pos="1147"/>
              </w:tabs>
              <w:spacing w:before="53" w:after="30" w:line="240" w:lineRule="auto"/>
              <w:jc w:val="right"/>
            </w:pPr>
            <w:r>
              <w:rPr>
                <w:rFonts w:ascii="Arial" w:eastAsia="Arial" w:hAnsi="Arial" w:cs="Arial"/>
                <w:b w:val="0"/>
                <w:i w:val="0"/>
                <w:color w:val="000000"/>
                <w:sz w:val="16"/>
                <w:u w:val="none"/>
              </w:rPr>
              <w:t xml:space="preserve">$   </w:t>
              <w:tab/>
              <w:t>19,800</w:t>
              <w:tab/>
            </w:r>
          </w:p>
        </w:tc>
        <w:tc>
          <w:tcPr>
            <w:tcW w:w="1080" w:type="dxa"/>
            <w:tcBorders>
              <w:top w:val="nil"/>
              <w:left w:val="nil"/>
              <w:bottom w:val="nil"/>
              <w:right w:val="nil"/>
            </w:tcBorders>
            <w:shd w:val="clear" w:color="auto" w:fill="FFFFFF"/>
            <w:tcMar>
              <w:top w:w="0" w:type="dxa"/>
              <w:left w:w="0" w:type="dxa"/>
              <w:bottom w:w="0" w:type="dxa"/>
              <w:right w:w="15" w:type="dxa"/>
            </w:tcMar>
            <w:vAlign w:val="top"/>
          </w:tcPr>
          <w:p>
            <w:pPr>
              <w:keepNext/>
              <w:pageBreakBefore w:val="0"/>
              <w:tabs>
                <w:tab w:val="left" w:pos="250"/>
                <w:tab w:val="left" w:pos="1012"/>
              </w:tabs>
              <w:spacing w:before="53" w:after="30" w:line="240" w:lineRule="auto"/>
              <w:jc w:val="right"/>
            </w:pPr>
            <w:r>
              <w:rPr>
                <w:rFonts w:ascii="Arial" w:eastAsia="Arial" w:hAnsi="Arial" w:cs="Arial"/>
                <w:b w:val="0"/>
                <w:i w:val="0"/>
                <w:color w:val="000000"/>
                <w:sz w:val="16"/>
                <w:u w:val="none"/>
              </w:rPr>
              <w:t xml:space="preserve">$  </w:t>
              <w:tab/>
              <w:t>3,923,762</w:t>
              <w:tab/>
            </w:r>
          </w:p>
        </w:tc>
      </w:tr>
      <w:tr>
        <w:tblPrEx>
          <w:tblW w:w="10260" w:type="dxa"/>
          <w:jc w:val="center"/>
          <w:tblLayout w:type="fixed"/>
          <w:tblCellMar>
            <w:left w:w="108" w:type="dxa"/>
            <w:right w:w="108" w:type="dxa"/>
          </w:tblCellMar>
        </w:tblPrEx>
        <w:trPr>
          <w:cantSplit/>
          <w:trHeight w:hRule="exact" w:val="240"/>
          <w:jc w:val="center"/>
        </w:trPr>
        <w:tc>
          <w:tcPr>
            <w:tcW w:w="183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90"/>
              <w:jc w:val="left"/>
            </w:pPr>
            <w:r>
              <w:rPr>
                <w:rFonts w:ascii="Arial" w:eastAsia="Arial" w:hAnsi="Arial" w:cs="Arial"/>
                <w:b w:val="0"/>
                <w:i w:val="0"/>
                <w:color w:val="000000"/>
                <w:sz w:val="16"/>
                <w:u w:val="none"/>
              </w:rPr>
              <w:t>Chief Strategy Officer</w:t>
            </w:r>
          </w:p>
        </w:tc>
        <w:tc>
          <w:tcPr>
            <w:tcW w:w="630" w:type="dxa"/>
            <w:tcBorders>
              <w:top w:val="nil"/>
              <w:left w:val="nil"/>
              <w:bottom w:val="nil"/>
              <w:right w:val="nil"/>
            </w:tcBorders>
            <w:tcMar>
              <w:top w:w="0" w:type="dxa"/>
              <w:left w:w="0" w:type="dxa"/>
              <w:bottom w:w="0" w:type="dxa"/>
              <w:right w:w="53" w:type="dxa"/>
            </w:tcMar>
            <w:vAlign w:val="top"/>
          </w:tcPr>
          <w:p>
            <w:pPr>
              <w:keepNext/>
              <w:pageBreakBefore w:val="0"/>
              <w:spacing w:before="53" w:after="30" w:line="240" w:lineRule="auto"/>
              <w:jc w:val="right"/>
            </w:pPr>
            <w:r>
              <w:rPr>
                <w:rFonts w:ascii="Arial" w:eastAsia="Arial" w:hAnsi="Arial" w:cs="Arial"/>
                <w:b w:val="0"/>
                <w:i w:val="0"/>
                <w:color w:val="000000"/>
                <w:sz w:val="16"/>
                <w:u w:val="none"/>
              </w:rPr>
              <w:t>2022</w:t>
            </w:r>
          </w:p>
        </w:tc>
        <w:tc>
          <w:tcPr>
            <w:tcW w:w="1140" w:type="dxa"/>
            <w:tcBorders>
              <w:top w:val="nil"/>
              <w:left w:val="nil"/>
              <w:bottom w:val="nil"/>
              <w:right w:val="nil"/>
            </w:tcBorders>
            <w:tcMar>
              <w:top w:w="0" w:type="dxa"/>
              <w:left w:w="0" w:type="dxa"/>
              <w:bottom w:w="0" w:type="dxa"/>
              <w:right w:w="15" w:type="dxa"/>
            </w:tcMar>
            <w:vAlign w:val="top"/>
          </w:tcPr>
          <w:p>
            <w:pPr>
              <w:keepNext/>
              <w:pageBreakBefore w:val="0"/>
              <w:tabs>
                <w:tab w:val="left" w:pos="443"/>
                <w:tab w:val="left" w:pos="1072"/>
              </w:tabs>
              <w:spacing w:before="53" w:after="30" w:line="240" w:lineRule="auto"/>
              <w:jc w:val="right"/>
            </w:pPr>
            <w:r>
              <w:rPr>
                <w:rFonts w:ascii="Arial" w:eastAsia="Arial" w:hAnsi="Arial" w:cs="Arial"/>
                <w:b w:val="0"/>
                <w:i w:val="0"/>
                <w:color w:val="000000"/>
                <w:sz w:val="16"/>
                <w:u w:val="none"/>
              </w:rPr>
              <w:t xml:space="preserve">$ </w:t>
              <w:tab/>
              <w:t>700,000</w:t>
              <w:tab/>
            </w:r>
          </w:p>
        </w:tc>
        <w:tc>
          <w:tcPr>
            <w:tcW w:w="945" w:type="dxa"/>
            <w:tcBorders>
              <w:top w:val="nil"/>
              <w:left w:val="nil"/>
              <w:bottom w:val="nil"/>
              <w:right w:val="nil"/>
            </w:tcBorders>
            <w:tcMar>
              <w:top w:w="0" w:type="dxa"/>
              <w:left w:w="0" w:type="dxa"/>
              <w:bottom w:w="0" w:type="dxa"/>
              <w:right w:w="15" w:type="dxa"/>
            </w:tcMar>
            <w:vAlign w:val="top"/>
          </w:tcPr>
          <w:p>
            <w:pPr>
              <w:keepNext/>
              <w:pageBreakBefore w:val="0"/>
              <w:tabs>
                <w:tab w:val="left" w:pos="666"/>
                <w:tab w:val="left" w:pos="877"/>
              </w:tabs>
              <w:spacing w:before="53" w:after="30" w:line="240" w:lineRule="auto"/>
              <w:jc w:val="right"/>
            </w:pPr>
            <w:r>
              <w:rPr>
                <w:rFonts w:ascii="Arial" w:eastAsia="Arial" w:hAnsi="Arial" w:cs="Arial"/>
                <w:b w:val="0"/>
                <w:i w:val="0"/>
                <w:color w:val="000000"/>
                <w:sz w:val="16"/>
                <w:u w:val="none"/>
              </w:rPr>
              <w:t xml:space="preserve">$ </w:t>
              <w:tab/>
              <w:t>—</w:t>
              <w:tab/>
            </w:r>
          </w:p>
        </w:tc>
        <w:tc>
          <w:tcPr>
            <w:tcW w:w="1020" w:type="dxa"/>
            <w:tcBorders>
              <w:top w:val="nil"/>
              <w:left w:val="nil"/>
              <w:bottom w:val="nil"/>
              <w:right w:val="nil"/>
            </w:tcBorders>
            <w:tcMar>
              <w:top w:w="0" w:type="dxa"/>
              <w:left w:w="0" w:type="dxa"/>
              <w:bottom w:w="0" w:type="dxa"/>
              <w:right w:w="15" w:type="dxa"/>
            </w:tcMar>
            <w:vAlign w:val="top"/>
          </w:tcPr>
          <w:p>
            <w:pPr>
              <w:keepNext/>
              <w:pageBreakBefore w:val="0"/>
              <w:tabs>
                <w:tab w:val="left" w:pos="190"/>
                <w:tab w:val="left" w:pos="952"/>
              </w:tabs>
              <w:spacing w:before="53" w:after="30" w:line="240" w:lineRule="auto"/>
              <w:jc w:val="right"/>
            </w:pPr>
            <w:r>
              <w:rPr>
                <w:rFonts w:ascii="Arial" w:eastAsia="Arial" w:hAnsi="Arial" w:cs="Arial"/>
                <w:b w:val="0"/>
                <w:i w:val="0"/>
                <w:color w:val="000000"/>
                <w:sz w:val="16"/>
                <w:u w:val="none"/>
              </w:rPr>
              <w:t>$</w:t>
              <w:tab/>
              <w:t>3,544,996</w:t>
              <w:tab/>
            </w:r>
          </w:p>
        </w:tc>
        <w:tc>
          <w:tcPr>
            <w:tcW w:w="1035" w:type="dxa"/>
            <w:tcBorders>
              <w:top w:val="nil"/>
              <w:left w:val="nil"/>
              <w:bottom w:val="nil"/>
              <w:right w:val="nil"/>
            </w:tcBorders>
            <w:tcMar>
              <w:top w:w="0" w:type="dxa"/>
              <w:left w:w="0" w:type="dxa"/>
              <w:bottom w:w="0" w:type="dxa"/>
              <w:right w:w="15" w:type="dxa"/>
            </w:tcMar>
            <w:vAlign w:val="top"/>
          </w:tcPr>
          <w:p>
            <w:pPr>
              <w:keepNext/>
              <w:pageBreakBefore w:val="0"/>
              <w:tabs>
                <w:tab w:val="left" w:pos="756"/>
                <w:tab w:val="left" w:pos="967"/>
              </w:tabs>
              <w:spacing w:before="53" w:after="30" w:line="240" w:lineRule="auto"/>
              <w:jc w:val="right"/>
            </w:pPr>
            <w:r>
              <w:rPr>
                <w:rFonts w:ascii="Arial" w:eastAsia="Arial" w:hAnsi="Arial" w:cs="Arial"/>
                <w:b w:val="0"/>
                <w:i w:val="0"/>
                <w:color w:val="000000"/>
                <w:sz w:val="16"/>
                <w:u w:val="none"/>
              </w:rPr>
              <w:t xml:space="preserve">$ </w:t>
              <w:tab/>
              <w:t>—</w:t>
              <w:tab/>
            </w:r>
          </w:p>
        </w:tc>
        <w:tc>
          <w:tcPr>
            <w:tcW w:w="1365" w:type="dxa"/>
            <w:tcBorders>
              <w:top w:val="nil"/>
              <w:left w:val="nil"/>
              <w:bottom w:val="nil"/>
              <w:right w:val="nil"/>
            </w:tcBorders>
            <w:tcMar>
              <w:top w:w="0" w:type="dxa"/>
              <w:left w:w="0" w:type="dxa"/>
              <w:bottom w:w="0" w:type="dxa"/>
              <w:right w:w="15" w:type="dxa"/>
            </w:tcMar>
            <w:vAlign w:val="top"/>
          </w:tcPr>
          <w:p>
            <w:pPr>
              <w:keepNext/>
              <w:pageBreakBefore w:val="0"/>
              <w:tabs>
                <w:tab w:val="left" w:pos="668"/>
                <w:tab w:val="left" w:pos="1297"/>
              </w:tabs>
              <w:spacing w:before="53" w:after="30" w:line="240" w:lineRule="auto"/>
              <w:jc w:val="right"/>
            </w:pPr>
            <w:r>
              <w:rPr>
                <w:rFonts w:ascii="Arial" w:eastAsia="Arial" w:hAnsi="Arial" w:cs="Arial"/>
                <w:b w:val="0"/>
                <w:i w:val="0"/>
                <w:color w:val="000000"/>
                <w:sz w:val="16"/>
                <w:u w:val="none"/>
              </w:rPr>
              <w:t xml:space="preserve">$ </w:t>
              <w:tab/>
              <w:t>933,556</w:t>
              <w:tab/>
            </w:r>
          </w:p>
        </w:tc>
        <w:tc>
          <w:tcPr>
            <w:tcW w:w="1215" w:type="dxa"/>
            <w:tcBorders>
              <w:top w:val="nil"/>
              <w:left w:val="nil"/>
              <w:bottom w:val="nil"/>
              <w:right w:val="nil"/>
            </w:tcBorders>
            <w:tcMar>
              <w:top w:w="0" w:type="dxa"/>
              <w:left w:w="0" w:type="dxa"/>
              <w:bottom w:w="0" w:type="dxa"/>
              <w:right w:w="15" w:type="dxa"/>
            </w:tcMar>
            <w:vAlign w:val="top"/>
          </w:tcPr>
          <w:p>
            <w:pPr>
              <w:keepNext/>
              <w:pageBreakBefore w:val="0"/>
              <w:tabs>
                <w:tab w:val="left" w:pos="607"/>
                <w:tab w:val="left" w:pos="1147"/>
              </w:tabs>
              <w:spacing w:before="53" w:after="30" w:line="240" w:lineRule="auto"/>
              <w:jc w:val="right"/>
            </w:pPr>
            <w:r>
              <w:rPr>
                <w:rFonts w:ascii="Arial" w:eastAsia="Arial" w:hAnsi="Arial" w:cs="Arial"/>
                <w:b w:val="0"/>
                <w:i w:val="0"/>
                <w:color w:val="000000"/>
                <w:sz w:val="16"/>
                <w:u w:val="none"/>
              </w:rPr>
              <w:t xml:space="preserve">$ </w:t>
              <w:tab/>
              <w:t>18,300</w:t>
              <w:tab/>
            </w:r>
          </w:p>
        </w:tc>
        <w:tc>
          <w:tcPr>
            <w:tcW w:w="1080" w:type="dxa"/>
            <w:tcBorders>
              <w:top w:val="nil"/>
              <w:left w:val="nil"/>
              <w:bottom w:val="nil"/>
              <w:right w:val="nil"/>
            </w:tcBorders>
            <w:tcMar>
              <w:top w:w="0" w:type="dxa"/>
              <w:left w:w="0" w:type="dxa"/>
              <w:bottom w:w="0" w:type="dxa"/>
              <w:right w:w="15" w:type="dxa"/>
            </w:tcMar>
            <w:vAlign w:val="top"/>
          </w:tcPr>
          <w:p>
            <w:pPr>
              <w:keepNext/>
              <w:pageBreakBefore w:val="0"/>
              <w:tabs>
                <w:tab w:val="left" w:pos="250"/>
                <w:tab w:val="left" w:pos="1012"/>
              </w:tabs>
              <w:spacing w:before="53" w:after="30" w:line="240" w:lineRule="auto"/>
              <w:jc w:val="right"/>
            </w:pPr>
            <w:r>
              <w:rPr>
                <w:rFonts w:ascii="Arial" w:eastAsia="Arial" w:hAnsi="Arial" w:cs="Arial"/>
                <w:b w:val="0"/>
                <w:i w:val="0"/>
                <w:color w:val="000000"/>
                <w:sz w:val="16"/>
                <w:u w:val="none"/>
              </w:rPr>
              <w:t xml:space="preserve">$  </w:t>
              <w:tab/>
              <w:t>5,196,852</w:t>
              <w:tab/>
            </w:r>
          </w:p>
        </w:tc>
      </w:tr>
      <w:tr>
        <w:tblPrEx>
          <w:tblW w:w="10260" w:type="dxa"/>
          <w:jc w:val="center"/>
          <w:tblLayout w:type="fixed"/>
          <w:tblCellMar>
            <w:left w:w="108" w:type="dxa"/>
            <w:right w:w="108" w:type="dxa"/>
          </w:tblCellMar>
        </w:tblPrEx>
        <w:trPr>
          <w:cantSplit/>
          <w:trHeight w:hRule="exact" w:val="75"/>
          <w:jc w:val="center"/>
        </w:trPr>
        <w:tc>
          <w:tcPr>
            <w:tcW w:w="183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3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center"/>
          <w:tblLayout w:type="fixed"/>
          <w:tblCellMar>
            <w:left w:w="108" w:type="dxa"/>
            <w:right w:w="108" w:type="dxa"/>
          </w:tblCellMar>
        </w:tblPrEx>
        <w:trPr>
          <w:cantSplit/>
          <w:trHeight w:hRule="exact" w:val="240"/>
          <w:jc w:val="center"/>
        </w:trPr>
        <w:tc>
          <w:tcPr>
            <w:tcW w:w="1830" w:type="dxa"/>
            <w:tcBorders>
              <w:top w:val="nil"/>
              <w:left w:val="nil"/>
              <w:bottom w:val="nil"/>
              <w:right w:val="nil"/>
            </w:tcBorders>
            <w:shd w:val="clear" w:color="auto" w:fill="DBDBDB"/>
            <w:tcMar>
              <w:top w:w="0" w:type="dxa"/>
              <w:left w:w="53" w:type="dxa"/>
              <w:bottom w:w="0" w:type="dxa"/>
              <w:right w:w="53" w:type="dxa"/>
            </w:tcMar>
            <w:vAlign w:val="top"/>
          </w:tcPr>
          <w:p>
            <w:pPr>
              <w:keepNext/>
              <w:pageBreakBefore w:val="0"/>
              <w:numPr>
                <w:ilvl w:val="0"/>
                <w:numId w:val="0"/>
              </w:numPr>
              <w:spacing w:before="53" w:after="30" w:line="240" w:lineRule="auto"/>
              <w:ind w:left="90" w:right="0" w:firstLine="0"/>
              <w:jc w:val="left"/>
              <w:outlineLvl w:val="9"/>
              <w:rPr>
                <w:rFonts w:ascii="Arial" w:eastAsia="Arial" w:hAnsi="Arial" w:cs="Arial"/>
                <w:b/>
                <w:i w:val="0"/>
                <w:sz w:val="16"/>
              </w:rPr>
            </w:pPr>
            <w:r>
              <w:rPr>
                <w:rFonts w:ascii="Arial" w:eastAsia="Arial" w:hAnsi="Arial" w:cs="Arial"/>
                <w:b/>
                <w:i w:val="0"/>
                <w:sz w:val="16"/>
              </w:rPr>
              <w:t>Paul Brockman</w:t>
            </w:r>
            <w:r>
              <w:rPr>
                <w:rFonts w:ascii="Arial" w:eastAsia="Arial" w:hAnsi="Arial" w:cs="Arial"/>
                <w:b/>
                <w:i w:val="0"/>
                <w:sz w:val="16"/>
                <w:vertAlign w:val="superscript"/>
              </w:rPr>
              <w:t>(9)</w:t>
            </w:r>
          </w:p>
        </w:tc>
        <w:tc>
          <w:tcPr>
            <w:tcW w:w="630" w:type="dxa"/>
            <w:tcBorders>
              <w:top w:val="nil"/>
              <w:left w:val="nil"/>
              <w:bottom w:val="nil"/>
              <w:right w:val="nil"/>
            </w:tcBorders>
            <w:shd w:val="clear" w:color="auto" w:fill="DBDBDB"/>
            <w:tcMar>
              <w:top w:w="0" w:type="dxa"/>
              <w:left w:w="0" w:type="dxa"/>
              <w:bottom w:w="0" w:type="dxa"/>
              <w:right w:w="53" w:type="dxa"/>
            </w:tcMar>
            <w:vAlign w:val="top"/>
          </w:tcPr>
          <w:p>
            <w:pPr>
              <w:keepNext/>
              <w:pageBreakBefore w:val="0"/>
              <w:spacing w:before="53" w:after="30" w:line="240" w:lineRule="auto"/>
              <w:jc w:val="right"/>
            </w:pPr>
            <w:r>
              <w:rPr>
                <w:rFonts w:ascii="Arial" w:eastAsia="Arial" w:hAnsi="Arial" w:cs="Arial"/>
                <w:b w:val="0"/>
                <w:i w:val="0"/>
                <w:color w:val="000000"/>
                <w:sz w:val="16"/>
                <w:u w:val="none"/>
              </w:rPr>
              <w:t>2023</w:t>
            </w:r>
          </w:p>
        </w:tc>
        <w:tc>
          <w:tcPr>
            <w:tcW w:w="1140"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443"/>
                <w:tab w:val="left" w:pos="1072"/>
              </w:tabs>
              <w:spacing w:before="53" w:after="30" w:line="240" w:lineRule="auto"/>
              <w:jc w:val="right"/>
            </w:pPr>
            <w:r>
              <w:rPr>
                <w:rFonts w:ascii="Arial" w:eastAsia="Arial" w:hAnsi="Arial" w:cs="Arial"/>
                <w:b w:val="0"/>
                <w:i w:val="0"/>
                <w:color w:val="000000"/>
                <w:sz w:val="16"/>
                <w:u w:val="none"/>
              </w:rPr>
              <w:t xml:space="preserve">$ </w:t>
              <w:tab/>
              <w:t>778,462</w:t>
              <w:tab/>
            </w:r>
          </w:p>
        </w:tc>
        <w:tc>
          <w:tcPr>
            <w:tcW w:w="94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646"/>
                <w:tab w:val="left" w:pos="877"/>
              </w:tabs>
              <w:spacing w:before="53" w:after="30" w:line="240" w:lineRule="auto"/>
              <w:jc w:val="right"/>
            </w:pPr>
            <w:r>
              <w:rPr>
                <w:rFonts w:ascii="Arial" w:eastAsia="Arial" w:hAnsi="Arial" w:cs="Arial"/>
                <w:b w:val="0"/>
                <w:i w:val="0"/>
                <w:color w:val="000000"/>
                <w:sz w:val="16"/>
                <w:u w:val="none"/>
              </w:rPr>
              <w:t xml:space="preserve">$ </w:t>
              <w:tab/>
              <w:t>—</w:t>
              <w:tab/>
            </w:r>
          </w:p>
        </w:tc>
        <w:tc>
          <w:tcPr>
            <w:tcW w:w="1020"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190"/>
                <w:tab w:val="left" w:pos="952"/>
              </w:tabs>
              <w:spacing w:before="53" w:after="30" w:line="240" w:lineRule="auto"/>
              <w:jc w:val="right"/>
            </w:pPr>
            <w:r>
              <w:rPr>
                <w:rFonts w:ascii="Arial" w:eastAsia="Arial" w:hAnsi="Arial" w:cs="Arial"/>
                <w:b w:val="0"/>
                <w:i w:val="0"/>
                <w:color w:val="000000"/>
                <w:sz w:val="16"/>
                <w:u w:val="none"/>
              </w:rPr>
              <w:t>$</w:t>
              <w:tab/>
              <w:t>1,720,016</w:t>
              <w:tab/>
            </w:r>
          </w:p>
        </w:tc>
        <w:tc>
          <w:tcPr>
            <w:tcW w:w="103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756"/>
                <w:tab w:val="left" w:pos="967"/>
              </w:tabs>
              <w:spacing w:before="53" w:after="30" w:line="240" w:lineRule="auto"/>
              <w:jc w:val="right"/>
            </w:pPr>
            <w:r>
              <w:rPr>
                <w:rFonts w:ascii="Arial" w:eastAsia="Arial" w:hAnsi="Arial" w:cs="Arial"/>
                <w:b w:val="0"/>
                <w:i w:val="0"/>
                <w:color w:val="000000"/>
                <w:sz w:val="16"/>
                <w:u w:val="none"/>
              </w:rPr>
              <w:t xml:space="preserve">$ </w:t>
              <w:tab/>
              <w:t>—</w:t>
              <w:tab/>
            </w:r>
          </w:p>
        </w:tc>
        <w:tc>
          <w:tcPr>
            <w:tcW w:w="136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535"/>
                <w:tab w:val="left" w:pos="1297"/>
              </w:tabs>
              <w:spacing w:before="53" w:after="30" w:line="240" w:lineRule="auto"/>
              <w:jc w:val="right"/>
            </w:pPr>
            <w:r>
              <w:rPr>
                <w:rFonts w:ascii="Arial" w:eastAsia="Arial" w:hAnsi="Arial" w:cs="Arial"/>
                <w:b w:val="0"/>
                <w:i w:val="0"/>
                <w:color w:val="000000"/>
                <w:sz w:val="16"/>
                <w:u w:val="none"/>
              </w:rPr>
              <w:t xml:space="preserve">$ </w:t>
              <w:tab/>
              <w:t>1,041,670</w:t>
              <w:tab/>
            </w:r>
          </w:p>
        </w:tc>
        <w:tc>
          <w:tcPr>
            <w:tcW w:w="121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607"/>
                <w:tab w:val="left" w:pos="1147"/>
              </w:tabs>
              <w:spacing w:before="53" w:after="30" w:line="240" w:lineRule="auto"/>
              <w:jc w:val="right"/>
            </w:pPr>
            <w:r>
              <w:rPr>
                <w:rFonts w:ascii="Arial" w:eastAsia="Arial" w:hAnsi="Arial" w:cs="Arial"/>
                <w:b w:val="0"/>
                <w:i w:val="0"/>
                <w:color w:val="000000"/>
                <w:sz w:val="16"/>
                <w:u w:val="none"/>
              </w:rPr>
              <w:t xml:space="preserve">$ </w:t>
              <w:tab/>
              <w:t>19,800</w:t>
              <w:tab/>
            </w:r>
          </w:p>
        </w:tc>
        <w:tc>
          <w:tcPr>
            <w:tcW w:w="1080"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250"/>
                <w:tab w:val="left" w:pos="1012"/>
              </w:tabs>
              <w:spacing w:before="53" w:after="30" w:line="240" w:lineRule="auto"/>
              <w:jc w:val="right"/>
            </w:pPr>
            <w:r>
              <w:rPr>
                <w:rFonts w:ascii="Arial" w:eastAsia="Arial" w:hAnsi="Arial" w:cs="Arial"/>
                <w:b w:val="0"/>
                <w:i w:val="0"/>
                <w:color w:val="000000"/>
                <w:sz w:val="16"/>
                <w:u w:val="none"/>
              </w:rPr>
              <w:t xml:space="preserve">$  </w:t>
              <w:tab/>
              <w:t>3,559,948</w:t>
              <w:tab/>
            </w:r>
          </w:p>
        </w:tc>
      </w:tr>
      <w:tr>
        <w:tblPrEx>
          <w:tblW w:w="10260" w:type="dxa"/>
          <w:jc w:val="center"/>
          <w:tblLayout w:type="fixed"/>
          <w:tblCellMar>
            <w:left w:w="108" w:type="dxa"/>
            <w:right w:w="108" w:type="dxa"/>
          </w:tblCellMar>
        </w:tblPrEx>
        <w:trPr>
          <w:cantSplit/>
          <w:trHeight w:hRule="exact" w:val="315"/>
          <w:jc w:val="center"/>
        </w:trPr>
        <w:tc>
          <w:tcPr>
            <w:tcW w:w="1830" w:type="dxa"/>
            <w:vMerge w:val="restart"/>
            <w:tcBorders>
              <w:top w:val="nil"/>
              <w:left w:val="nil"/>
              <w:bottom w:val="nil"/>
              <w:right w:val="nil"/>
            </w:tcBorders>
            <w:shd w:val="clear" w:color="auto" w:fill="DBDBDB"/>
            <w:tcMar>
              <w:top w:w="0" w:type="dxa"/>
              <w:left w:w="53" w:type="dxa"/>
              <w:bottom w:w="0" w:type="dxa"/>
              <w:right w:w="53" w:type="dxa"/>
            </w:tcMar>
            <w:vAlign w:val="top"/>
          </w:tcPr>
          <w:p>
            <w:pPr>
              <w:keepNext/>
              <w:pageBreakBefore w:val="0"/>
              <w:spacing w:before="53" w:after="30" w:line="240" w:lineRule="auto"/>
              <w:ind w:left="90"/>
              <w:jc w:val="left"/>
            </w:pPr>
            <w:r>
              <w:rPr>
                <w:rFonts w:ascii="Arial" w:eastAsia="Arial" w:hAnsi="Arial" w:cs="Arial"/>
                <w:b w:val="0"/>
                <w:i w:val="0"/>
                <w:color w:val="000000"/>
                <w:sz w:val="16"/>
                <w:u w:val="none"/>
              </w:rPr>
              <w:t>Chief Operating Officer and Interim CEO of Enstar (EU)</w:t>
            </w:r>
          </w:p>
        </w:tc>
        <w:tc>
          <w:tcPr>
            <w:tcW w:w="630" w:type="dxa"/>
            <w:tcBorders>
              <w:top w:val="nil"/>
              <w:left w:val="nil"/>
              <w:bottom w:val="nil"/>
              <w:right w:val="nil"/>
            </w:tcBorders>
            <w:shd w:val="clear" w:color="auto" w:fill="DBDBDB"/>
            <w:tcMar>
              <w:top w:w="0" w:type="dxa"/>
              <w:left w:w="0" w:type="dxa"/>
              <w:bottom w:w="0" w:type="dxa"/>
              <w:right w:w="53" w:type="dxa"/>
            </w:tcMar>
            <w:vAlign w:val="top"/>
          </w:tcPr>
          <w:p>
            <w:pPr>
              <w:keepNext/>
              <w:pageBreakBefore w:val="0"/>
              <w:spacing w:before="53" w:after="30" w:line="240" w:lineRule="auto"/>
              <w:jc w:val="right"/>
            </w:pPr>
            <w:r>
              <w:rPr>
                <w:rFonts w:ascii="Arial" w:eastAsia="Arial" w:hAnsi="Arial" w:cs="Arial"/>
                <w:b w:val="0"/>
                <w:i w:val="0"/>
                <w:color w:val="000000"/>
                <w:sz w:val="16"/>
                <w:u w:val="none"/>
              </w:rPr>
              <w:t>2022</w:t>
            </w:r>
          </w:p>
        </w:tc>
        <w:tc>
          <w:tcPr>
            <w:tcW w:w="1140"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443"/>
                <w:tab w:val="left" w:pos="1072"/>
              </w:tabs>
              <w:spacing w:before="53" w:after="30" w:line="240" w:lineRule="auto"/>
              <w:jc w:val="right"/>
            </w:pPr>
            <w:r>
              <w:rPr>
                <w:rFonts w:ascii="Arial" w:eastAsia="Arial" w:hAnsi="Arial" w:cs="Arial"/>
                <w:b w:val="0"/>
                <w:i w:val="0"/>
                <w:color w:val="000000"/>
                <w:sz w:val="16"/>
                <w:u w:val="none"/>
              </w:rPr>
              <w:t>$</w:t>
              <w:tab/>
              <w:t>714,615</w:t>
              <w:tab/>
            </w:r>
          </w:p>
        </w:tc>
        <w:tc>
          <w:tcPr>
            <w:tcW w:w="94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666"/>
                <w:tab w:val="left" w:pos="877"/>
              </w:tabs>
              <w:spacing w:before="53" w:after="30" w:line="240" w:lineRule="auto"/>
              <w:jc w:val="right"/>
            </w:pPr>
            <w:r>
              <w:rPr>
                <w:rFonts w:ascii="Arial" w:eastAsia="Arial" w:hAnsi="Arial" w:cs="Arial"/>
                <w:b w:val="0"/>
                <w:i w:val="0"/>
                <w:color w:val="000000"/>
                <w:sz w:val="16"/>
                <w:u w:val="none"/>
              </w:rPr>
              <w:t>$</w:t>
              <w:tab/>
              <w:t>—</w:t>
              <w:tab/>
            </w:r>
          </w:p>
        </w:tc>
        <w:tc>
          <w:tcPr>
            <w:tcW w:w="1020"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323"/>
                <w:tab w:val="left" w:pos="952"/>
              </w:tabs>
              <w:spacing w:before="53" w:after="30" w:line="240" w:lineRule="auto"/>
              <w:jc w:val="right"/>
            </w:pPr>
            <w:r>
              <w:rPr>
                <w:rFonts w:ascii="Arial" w:eastAsia="Arial" w:hAnsi="Arial" w:cs="Arial"/>
                <w:b w:val="0"/>
                <w:i w:val="0"/>
                <w:color w:val="000000"/>
                <w:sz w:val="16"/>
                <w:u w:val="none"/>
              </w:rPr>
              <w:t>$</w:t>
              <w:tab/>
              <w:t>699,887</w:t>
              <w:tab/>
            </w:r>
          </w:p>
        </w:tc>
        <w:tc>
          <w:tcPr>
            <w:tcW w:w="103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756"/>
                <w:tab w:val="left" w:pos="967"/>
              </w:tabs>
              <w:spacing w:before="53" w:after="30" w:line="240" w:lineRule="auto"/>
              <w:jc w:val="right"/>
            </w:pPr>
            <w:r>
              <w:rPr>
                <w:rFonts w:ascii="Arial" w:eastAsia="Arial" w:hAnsi="Arial" w:cs="Arial"/>
                <w:b w:val="0"/>
                <w:i w:val="0"/>
                <w:color w:val="000000"/>
                <w:sz w:val="16"/>
                <w:u w:val="none"/>
              </w:rPr>
              <w:t>$</w:t>
              <w:tab/>
              <w:t>—</w:t>
              <w:tab/>
            </w:r>
          </w:p>
        </w:tc>
        <w:tc>
          <w:tcPr>
            <w:tcW w:w="136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668"/>
                <w:tab w:val="left" w:pos="1297"/>
              </w:tabs>
              <w:spacing w:before="53" w:after="30" w:line="240" w:lineRule="auto"/>
              <w:jc w:val="right"/>
            </w:pPr>
            <w:r>
              <w:rPr>
                <w:rFonts w:ascii="Arial" w:eastAsia="Arial" w:hAnsi="Arial" w:cs="Arial"/>
                <w:b w:val="0"/>
                <w:i w:val="0"/>
                <w:color w:val="000000"/>
                <w:sz w:val="16"/>
                <w:u w:val="none"/>
              </w:rPr>
              <w:t>$</w:t>
              <w:tab/>
              <w:t>739,736</w:t>
              <w:tab/>
            </w:r>
          </w:p>
        </w:tc>
        <w:tc>
          <w:tcPr>
            <w:tcW w:w="121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607"/>
                <w:tab w:val="left" w:pos="1147"/>
              </w:tabs>
              <w:spacing w:before="53" w:after="30" w:line="240" w:lineRule="auto"/>
              <w:jc w:val="right"/>
            </w:pPr>
            <w:r>
              <w:rPr>
                <w:rFonts w:ascii="Arial" w:eastAsia="Arial" w:hAnsi="Arial" w:cs="Arial"/>
                <w:b w:val="0"/>
                <w:i w:val="0"/>
                <w:color w:val="000000"/>
                <w:sz w:val="16"/>
                <w:u w:val="none"/>
              </w:rPr>
              <w:t>$</w:t>
              <w:tab/>
              <w:t>18,300</w:t>
              <w:tab/>
            </w:r>
          </w:p>
        </w:tc>
        <w:tc>
          <w:tcPr>
            <w:tcW w:w="1080"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250"/>
                <w:tab w:val="left" w:pos="1012"/>
              </w:tabs>
              <w:spacing w:before="53" w:after="30" w:line="240" w:lineRule="auto"/>
              <w:jc w:val="right"/>
            </w:pPr>
            <w:r>
              <w:rPr>
                <w:rFonts w:ascii="Arial" w:eastAsia="Arial" w:hAnsi="Arial" w:cs="Arial"/>
                <w:b w:val="0"/>
                <w:i w:val="0"/>
                <w:color w:val="000000"/>
                <w:sz w:val="16"/>
                <w:u w:val="none"/>
              </w:rPr>
              <w:t>$</w:t>
              <w:tab/>
              <w:t>2,172,539</w:t>
              <w:tab/>
            </w:r>
          </w:p>
        </w:tc>
      </w:tr>
      <w:tr>
        <w:tblPrEx>
          <w:tblW w:w="10260" w:type="dxa"/>
          <w:jc w:val="center"/>
          <w:tblLayout w:type="fixed"/>
          <w:tblCellMar>
            <w:left w:w="108" w:type="dxa"/>
            <w:right w:w="108" w:type="dxa"/>
          </w:tblCellMar>
        </w:tblPrEx>
        <w:trPr>
          <w:cantSplit/>
          <w:trHeight w:hRule="exact" w:val="240"/>
          <w:jc w:val="center"/>
        </w:trPr>
        <w:tc>
          <w:tcPr>
            <w:tcW w:w="1830" w:type="dxa"/>
            <w:vMerge/>
            <w:tcBorders>
              <w:top w:val="nil"/>
              <w:left w:val="nil"/>
              <w:bottom w:val="nil"/>
              <w:right w:val="nil"/>
            </w:tcBorders>
          </w:tcPr>
          <w:p>
            <w:pPr>
              <w:keepNext/>
              <w:pageBreakBefore w:val="0"/>
            </w:pPr>
          </w:p>
        </w:tc>
        <w:tc>
          <w:tcPr>
            <w:tcW w:w="630" w:type="dxa"/>
            <w:tcBorders>
              <w:top w:val="nil"/>
              <w:left w:val="nil"/>
              <w:bottom w:val="nil"/>
              <w:right w:val="nil"/>
            </w:tcBorders>
            <w:shd w:val="clear" w:color="auto" w:fill="DBDBDB"/>
            <w:tcMar>
              <w:top w:w="0" w:type="dxa"/>
              <w:left w:w="0" w:type="dxa"/>
              <w:bottom w:w="0" w:type="dxa"/>
              <w:right w:w="53" w:type="dxa"/>
            </w:tcMar>
            <w:vAlign w:val="top"/>
          </w:tcPr>
          <w:p>
            <w:pPr>
              <w:keepNext/>
              <w:pageBreakBefore w:val="0"/>
              <w:spacing w:before="53" w:after="30" w:line="240" w:lineRule="auto"/>
              <w:jc w:val="right"/>
            </w:pPr>
            <w:r>
              <w:rPr>
                <w:rFonts w:ascii="Arial" w:eastAsia="Arial" w:hAnsi="Arial" w:cs="Arial"/>
                <w:b w:val="0"/>
                <w:i w:val="0"/>
                <w:color w:val="000000"/>
                <w:sz w:val="16"/>
                <w:u w:val="none"/>
              </w:rPr>
              <w:t>2021</w:t>
            </w:r>
          </w:p>
        </w:tc>
        <w:tc>
          <w:tcPr>
            <w:tcW w:w="1140"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443"/>
                <w:tab w:val="left" w:pos="1072"/>
              </w:tabs>
              <w:spacing w:before="53" w:after="30" w:line="240" w:lineRule="auto"/>
              <w:jc w:val="right"/>
            </w:pPr>
            <w:r>
              <w:rPr>
                <w:rFonts w:ascii="Arial" w:eastAsia="Arial" w:hAnsi="Arial" w:cs="Arial"/>
                <w:b w:val="0"/>
                <w:i w:val="0"/>
                <w:color w:val="000000"/>
                <w:sz w:val="16"/>
                <w:u w:val="none"/>
              </w:rPr>
              <w:t>$</w:t>
              <w:tab/>
              <w:t>610,848</w:t>
              <w:tab/>
            </w:r>
          </w:p>
        </w:tc>
        <w:tc>
          <w:tcPr>
            <w:tcW w:w="94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666"/>
                <w:tab w:val="left" w:pos="877"/>
              </w:tabs>
              <w:spacing w:before="53" w:after="30" w:line="240" w:lineRule="auto"/>
              <w:jc w:val="right"/>
            </w:pPr>
            <w:r>
              <w:rPr>
                <w:rFonts w:ascii="Arial" w:eastAsia="Arial" w:hAnsi="Arial" w:cs="Arial"/>
                <w:b w:val="0"/>
                <w:i w:val="0"/>
                <w:color w:val="000000"/>
                <w:sz w:val="16"/>
                <w:u w:val="none"/>
              </w:rPr>
              <w:t>$</w:t>
              <w:tab/>
              <w:t>—</w:t>
              <w:tab/>
            </w:r>
          </w:p>
        </w:tc>
        <w:tc>
          <w:tcPr>
            <w:tcW w:w="1020"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190"/>
                <w:tab w:val="left" w:pos="952"/>
              </w:tabs>
              <w:spacing w:before="53" w:after="30" w:line="240" w:lineRule="auto"/>
              <w:jc w:val="right"/>
            </w:pPr>
            <w:r>
              <w:rPr>
                <w:rFonts w:ascii="Arial" w:eastAsia="Arial" w:hAnsi="Arial" w:cs="Arial"/>
                <w:b w:val="0"/>
                <w:i w:val="0"/>
                <w:color w:val="000000"/>
                <w:sz w:val="16"/>
                <w:u w:val="none"/>
              </w:rPr>
              <w:t>$</w:t>
              <w:tab/>
              <w:t>2,520,036</w:t>
              <w:tab/>
            </w:r>
          </w:p>
        </w:tc>
        <w:tc>
          <w:tcPr>
            <w:tcW w:w="103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756"/>
                <w:tab w:val="left" w:pos="967"/>
              </w:tabs>
              <w:spacing w:before="53" w:after="30" w:line="240" w:lineRule="auto"/>
              <w:jc w:val="right"/>
            </w:pPr>
            <w:r>
              <w:rPr>
                <w:rFonts w:ascii="Arial" w:eastAsia="Arial" w:hAnsi="Arial" w:cs="Arial"/>
                <w:b w:val="0"/>
                <w:i w:val="0"/>
                <w:color w:val="000000"/>
                <w:sz w:val="16"/>
                <w:u w:val="none"/>
              </w:rPr>
              <w:t>$</w:t>
              <w:tab/>
              <w:t>—</w:t>
              <w:tab/>
            </w:r>
          </w:p>
        </w:tc>
        <w:tc>
          <w:tcPr>
            <w:tcW w:w="136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668"/>
                <w:tab w:val="left" w:pos="1297"/>
              </w:tabs>
              <w:spacing w:before="53" w:after="30" w:line="240" w:lineRule="auto"/>
              <w:jc w:val="right"/>
            </w:pPr>
            <w:r>
              <w:rPr>
                <w:rFonts w:ascii="Arial" w:eastAsia="Arial" w:hAnsi="Arial" w:cs="Arial"/>
                <w:b w:val="0"/>
                <w:i w:val="0"/>
                <w:color w:val="000000"/>
                <w:sz w:val="16"/>
                <w:u w:val="none"/>
              </w:rPr>
              <w:t>$</w:t>
              <w:tab/>
              <w:t>531,795</w:t>
              <w:tab/>
            </w:r>
          </w:p>
        </w:tc>
        <w:tc>
          <w:tcPr>
            <w:tcW w:w="121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607"/>
                <w:tab w:val="left" w:pos="1147"/>
              </w:tabs>
              <w:spacing w:before="53" w:after="30" w:line="240" w:lineRule="auto"/>
              <w:jc w:val="right"/>
            </w:pPr>
            <w:r>
              <w:rPr>
                <w:rFonts w:ascii="Arial" w:eastAsia="Arial" w:hAnsi="Arial" w:cs="Arial"/>
                <w:b w:val="0"/>
                <w:i w:val="0"/>
                <w:color w:val="000000"/>
                <w:sz w:val="16"/>
                <w:u w:val="none"/>
              </w:rPr>
              <w:t>$</w:t>
              <w:tab/>
              <w:t>17,400</w:t>
              <w:tab/>
            </w:r>
          </w:p>
        </w:tc>
        <w:tc>
          <w:tcPr>
            <w:tcW w:w="1080"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250"/>
                <w:tab w:val="left" w:pos="1012"/>
              </w:tabs>
              <w:spacing w:before="53" w:after="30" w:line="240" w:lineRule="auto"/>
              <w:jc w:val="right"/>
            </w:pPr>
            <w:r>
              <w:rPr>
                <w:rFonts w:ascii="Arial" w:eastAsia="Arial" w:hAnsi="Arial" w:cs="Arial"/>
                <w:b w:val="0"/>
                <w:i w:val="0"/>
                <w:color w:val="000000"/>
                <w:sz w:val="16"/>
                <w:u w:val="none"/>
              </w:rPr>
              <w:t>$</w:t>
              <w:tab/>
              <w:t>3,680,080</w:t>
              <w:tab/>
            </w:r>
          </w:p>
        </w:tc>
      </w:tr>
      <w:tr>
        <w:tblPrEx>
          <w:tblW w:w="10260" w:type="dxa"/>
          <w:jc w:val="center"/>
          <w:tblLayout w:type="fixed"/>
          <w:tblCellMar>
            <w:left w:w="108" w:type="dxa"/>
            <w:right w:w="108" w:type="dxa"/>
          </w:tblCellMar>
        </w:tblPrEx>
        <w:trPr>
          <w:cantSplit/>
          <w:trHeight w:hRule="exact" w:val="105"/>
          <w:jc w:val="center"/>
        </w:trPr>
        <w:tc>
          <w:tcPr>
            <w:tcW w:w="183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63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02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03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r>
      <w:tr>
        <w:tblPrEx>
          <w:tblW w:w="10260" w:type="dxa"/>
          <w:jc w:val="center"/>
          <w:tblLayout w:type="fixed"/>
          <w:tblCellMar>
            <w:left w:w="108" w:type="dxa"/>
            <w:right w:w="108" w:type="dxa"/>
          </w:tblCellMar>
        </w:tblPrEx>
        <w:trPr>
          <w:cantSplit/>
          <w:trHeight w:hRule="exact" w:val="240"/>
          <w:jc w:val="center"/>
        </w:trPr>
        <w:tc>
          <w:tcPr>
            <w:tcW w:w="183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90" w:right="0" w:firstLine="0"/>
              <w:jc w:val="left"/>
              <w:outlineLvl w:val="9"/>
              <w:rPr>
                <w:rFonts w:ascii="Arial" w:eastAsia="Arial" w:hAnsi="Arial" w:cs="Arial"/>
                <w:b/>
                <w:i w:val="0"/>
                <w:sz w:val="16"/>
              </w:rPr>
            </w:pPr>
            <w:r>
              <w:rPr>
                <w:rFonts w:ascii="Arial" w:eastAsia="Arial" w:hAnsi="Arial" w:cs="Arial"/>
                <w:b/>
                <w:i w:val="0"/>
                <w:sz w:val="16"/>
              </w:rPr>
              <w:t>Nazar Alobaidat</w:t>
            </w:r>
            <w:r>
              <w:rPr>
                <w:rFonts w:ascii="Arial" w:eastAsia="Arial" w:hAnsi="Arial" w:cs="Arial"/>
                <w:b/>
                <w:i w:val="0"/>
                <w:sz w:val="16"/>
                <w:vertAlign w:val="superscript"/>
              </w:rPr>
              <w:t>(</w:t>
            </w:r>
            <w:r>
              <w:rPr>
                <w:rFonts w:ascii="Arial" w:eastAsia="Arial" w:hAnsi="Arial" w:cs="Arial"/>
                <w:b/>
                <w:i w:val="0"/>
                <w:sz w:val="16"/>
                <w:vertAlign w:val="superscript"/>
              </w:rPr>
              <w:t>10</w:t>
            </w:r>
            <w:r>
              <w:rPr>
                <w:rFonts w:ascii="Arial" w:eastAsia="Arial" w:hAnsi="Arial" w:cs="Arial"/>
                <w:b/>
                <w:i w:val="0"/>
                <w:sz w:val="16"/>
                <w:vertAlign w:val="superscript"/>
              </w:rPr>
              <w:t>)</w:t>
            </w:r>
          </w:p>
        </w:tc>
        <w:tc>
          <w:tcPr>
            <w:tcW w:w="63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r>
              <w:rPr>
                <w:rFonts w:ascii="Arial" w:eastAsia="Arial" w:hAnsi="Arial" w:cs="Arial"/>
                <w:b w:val="0"/>
                <w:i w:val="0"/>
                <w:color w:val="000000"/>
                <w:sz w:val="16"/>
                <w:u w:val="none"/>
              </w:rPr>
              <w:t>2023</w:t>
            </w:r>
          </w:p>
        </w:tc>
        <w:tc>
          <w:tcPr>
            <w:tcW w:w="1140" w:type="dxa"/>
            <w:tcBorders>
              <w:top w:val="nil"/>
              <w:left w:val="nil"/>
              <w:bottom w:val="nil"/>
              <w:right w:val="nil"/>
            </w:tcBorders>
            <w:tcMar>
              <w:top w:w="0" w:type="dxa"/>
              <w:left w:w="0" w:type="dxa"/>
              <w:bottom w:w="0" w:type="dxa"/>
              <w:right w:w="15" w:type="dxa"/>
            </w:tcMar>
            <w:vAlign w:val="bottom"/>
          </w:tcPr>
          <w:p>
            <w:pPr>
              <w:keepNext/>
              <w:pageBreakBefore w:val="0"/>
              <w:tabs>
                <w:tab w:val="left" w:pos="443"/>
                <w:tab w:val="left" w:pos="1072"/>
              </w:tabs>
              <w:spacing w:before="53" w:after="30" w:line="240" w:lineRule="auto"/>
              <w:jc w:val="right"/>
            </w:pPr>
            <w:r>
              <w:rPr>
                <w:rFonts w:ascii="Arial" w:eastAsia="Arial" w:hAnsi="Arial" w:cs="Arial"/>
                <w:b w:val="0"/>
                <w:i w:val="0"/>
                <w:color w:val="000000"/>
                <w:sz w:val="16"/>
                <w:u w:val="none"/>
              </w:rPr>
              <w:t>$</w:t>
              <w:tab/>
              <w:t>636,538</w:t>
              <w:tab/>
            </w: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666"/>
                <w:tab w:val="left" w:pos="877"/>
              </w:tabs>
              <w:spacing w:before="53" w:after="30" w:line="240" w:lineRule="auto"/>
              <w:jc w:val="right"/>
            </w:pPr>
            <w:r>
              <w:rPr>
                <w:rFonts w:ascii="Arial" w:eastAsia="Arial" w:hAnsi="Arial" w:cs="Arial"/>
                <w:b w:val="0"/>
                <w:i w:val="0"/>
                <w:color w:val="000000"/>
                <w:sz w:val="16"/>
                <w:u w:val="none"/>
              </w:rPr>
              <w:t>$</w:t>
              <w:tab/>
              <w:t>—</w:t>
              <w:tab/>
            </w:r>
          </w:p>
        </w:tc>
        <w:tc>
          <w:tcPr>
            <w:tcW w:w="1020" w:type="dxa"/>
            <w:tcBorders>
              <w:top w:val="nil"/>
              <w:left w:val="nil"/>
              <w:bottom w:val="nil"/>
              <w:right w:val="nil"/>
            </w:tcBorders>
            <w:tcMar>
              <w:top w:w="0" w:type="dxa"/>
              <w:left w:w="0" w:type="dxa"/>
              <w:bottom w:w="0" w:type="dxa"/>
              <w:right w:w="15" w:type="dxa"/>
            </w:tcMar>
            <w:vAlign w:val="bottom"/>
          </w:tcPr>
          <w:p>
            <w:pPr>
              <w:keepNext/>
              <w:pageBreakBefore w:val="0"/>
              <w:tabs>
                <w:tab w:val="left" w:pos="190"/>
                <w:tab w:val="left" w:pos="952"/>
              </w:tabs>
              <w:spacing w:before="53" w:after="30" w:line="240" w:lineRule="auto"/>
              <w:jc w:val="right"/>
            </w:pPr>
            <w:r>
              <w:rPr>
                <w:rFonts w:ascii="Arial" w:eastAsia="Arial" w:hAnsi="Arial" w:cs="Arial"/>
                <w:b w:val="0"/>
                <w:i w:val="0"/>
                <w:color w:val="000000"/>
                <w:sz w:val="16"/>
                <w:u w:val="none"/>
              </w:rPr>
              <w:t>$</w:t>
              <w:tab/>
              <w:t>1,599,927</w:t>
              <w:tab/>
            </w:r>
          </w:p>
        </w:tc>
        <w:tc>
          <w:tcPr>
            <w:tcW w:w="1035" w:type="dxa"/>
            <w:tcBorders>
              <w:top w:val="nil"/>
              <w:left w:val="nil"/>
              <w:bottom w:val="nil"/>
              <w:right w:val="nil"/>
            </w:tcBorders>
            <w:tcMar>
              <w:top w:w="0" w:type="dxa"/>
              <w:left w:w="0" w:type="dxa"/>
              <w:bottom w:w="0" w:type="dxa"/>
              <w:right w:w="15" w:type="dxa"/>
            </w:tcMar>
            <w:vAlign w:val="bottom"/>
          </w:tcPr>
          <w:p>
            <w:pPr>
              <w:keepNext/>
              <w:pageBreakBefore w:val="0"/>
              <w:tabs>
                <w:tab w:val="left" w:pos="756"/>
                <w:tab w:val="left" w:pos="967"/>
              </w:tabs>
              <w:spacing w:before="53" w:after="30" w:line="240" w:lineRule="auto"/>
              <w:jc w:val="right"/>
            </w:pPr>
            <w:r>
              <w:rPr>
                <w:rFonts w:ascii="Arial" w:eastAsia="Arial" w:hAnsi="Arial" w:cs="Arial"/>
                <w:b w:val="0"/>
                <w:i w:val="0"/>
                <w:color w:val="000000"/>
                <w:sz w:val="16"/>
                <w:u w:val="none"/>
              </w:rPr>
              <w:t>$</w:t>
              <w:tab/>
              <w:t>—</w:t>
              <w:tab/>
            </w:r>
          </w:p>
        </w:tc>
        <w:tc>
          <w:tcPr>
            <w:tcW w:w="1365" w:type="dxa"/>
            <w:tcBorders>
              <w:top w:val="nil"/>
              <w:left w:val="nil"/>
              <w:bottom w:val="nil"/>
              <w:right w:val="nil"/>
            </w:tcBorders>
            <w:tcMar>
              <w:top w:w="0" w:type="dxa"/>
              <w:left w:w="0" w:type="dxa"/>
              <w:bottom w:w="0" w:type="dxa"/>
              <w:right w:w="15" w:type="dxa"/>
            </w:tcMar>
            <w:vAlign w:val="bottom"/>
          </w:tcPr>
          <w:p>
            <w:pPr>
              <w:keepNext/>
              <w:pageBreakBefore w:val="0"/>
              <w:tabs>
                <w:tab w:val="left" w:pos="668"/>
                <w:tab w:val="left" w:pos="1297"/>
              </w:tabs>
              <w:spacing w:before="53" w:after="30" w:line="240" w:lineRule="auto"/>
              <w:jc w:val="right"/>
            </w:pPr>
            <w:r>
              <w:rPr>
                <w:rFonts w:ascii="Arial" w:eastAsia="Arial" w:hAnsi="Arial" w:cs="Arial"/>
                <w:b w:val="0"/>
                <w:i w:val="0"/>
                <w:color w:val="000000"/>
                <w:sz w:val="16"/>
                <w:u w:val="none"/>
              </w:rPr>
              <w:t>$</w:t>
              <w:tab/>
              <w:t>818,166</w:t>
              <w:tab/>
            </w:r>
          </w:p>
        </w:tc>
        <w:tc>
          <w:tcPr>
            <w:tcW w:w="1215" w:type="dxa"/>
            <w:tcBorders>
              <w:top w:val="nil"/>
              <w:left w:val="nil"/>
              <w:bottom w:val="nil"/>
              <w:right w:val="nil"/>
            </w:tcBorders>
            <w:tcMar>
              <w:top w:w="0" w:type="dxa"/>
              <w:left w:w="0" w:type="dxa"/>
              <w:bottom w:w="0" w:type="dxa"/>
              <w:right w:w="15" w:type="dxa"/>
            </w:tcMar>
            <w:vAlign w:val="bottom"/>
          </w:tcPr>
          <w:p>
            <w:pPr>
              <w:keepNext/>
              <w:pageBreakBefore w:val="0"/>
              <w:tabs>
                <w:tab w:val="left" w:pos="607"/>
                <w:tab w:val="left" w:pos="1147"/>
              </w:tabs>
              <w:spacing w:before="53" w:after="30" w:line="240" w:lineRule="auto"/>
              <w:jc w:val="right"/>
            </w:pPr>
            <w:r>
              <w:rPr>
                <w:rFonts w:ascii="Arial" w:eastAsia="Arial" w:hAnsi="Arial" w:cs="Arial"/>
                <w:b w:val="0"/>
                <w:i w:val="0"/>
                <w:color w:val="000000"/>
                <w:sz w:val="16"/>
                <w:u w:val="none"/>
              </w:rPr>
              <w:t>$</w:t>
              <w:tab/>
              <w:t>19,800</w:t>
              <w:tab/>
            </w:r>
          </w:p>
        </w:tc>
        <w:tc>
          <w:tcPr>
            <w:tcW w:w="1080" w:type="dxa"/>
            <w:tcBorders>
              <w:top w:val="nil"/>
              <w:left w:val="nil"/>
              <w:bottom w:val="nil"/>
              <w:right w:val="nil"/>
            </w:tcBorders>
            <w:tcMar>
              <w:top w:w="0" w:type="dxa"/>
              <w:left w:w="0" w:type="dxa"/>
              <w:bottom w:w="0" w:type="dxa"/>
              <w:right w:w="15" w:type="dxa"/>
            </w:tcMar>
            <w:vAlign w:val="bottom"/>
          </w:tcPr>
          <w:p>
            <w:pPr>
              <w:keepNext/>
              <w:pageBreakBefore w:val="0"/>
              <w:tabs>
                <w:tab w:val="left" w:pos="250"/>
                <w:tab w:val="left" w:pos="1012"/>
              </w:tabs>
              <w:spacing w:before="53" w:after="30" w:line="240" w:lineRule="auto"/>
              <w:jc w:val="right"/>
            </w:pPr>
            <w:r>
              <w:rPr>
                <w:rFonts w:ascii="Arial" w:eastAsia="Arial" w:hAnsi="Arial" w:cs="Arial"/>
                <w:b w:val="0"/>
                <w:i w:val="0"/>
                <w:color w:val="000000"/>
                <w:sz w:val="16"/>
                <w:u w:val="none"/>
              </w:rPr>
              <w:t>$</w:t>
              <w:tab/>
              <w:t>3,074,431</w:t>
              <w:tab/>
            </w:r>
          </w:p>
        </w:tc>
      </w:tr>
      <w:tr>
        <w:tblPrEx>
          <w:tblW w:w="10260" w:type="dxa"/>
          <w:jc w:val="center"/>
          <w:tblLayout w:type="fixed"/>
          <w:tblCellMar>
            <w:left w:w="108" w:type="dxa"/>
            <w:right w:w="108" w:type="dxa"/>
          </w:tblCellMar>
        </w:tblPrEx>
        <w:trPr>
          <w:cantSplit/>
          <w:trHeight w:hRule="exact" w:val="240"/>
          <w:jc w:val="center"/>
        </w:trPr>
        <w:tc>
          <w:tcPr>
            <w:tcW w:w="1830" w:type="dxa"/>
            <w:vMerge w:val="restart"/>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ind w:left="90"/>
              <w:jc w:val="left"/>
            </w:pPr>
            <w:r>
              <w:rPr>
                <w:rFonts w:ascii="Arial" w:eastAsia="Arial" w:hAnsi="Arial" w:cs="Arial"/>
                <w:b w:val="0"/>
                <w:i w:val="0"/>
                <w:color w:val="000000"/>
                <w:sz w:val="16"/>
                <w:u w:val="none"/>
              </w:rPr>
              <w:t>Chief Investment Officer</w:t>
            </w:r>
          </w:p>
        </w:tc>
        <w:tc>
          <w:tcPr>
            <w:tcW w:w="63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r>
              <w:rPr>
                <w:rFonts w:ascii="Arial" w:eastAsia="Arial" w:hAnsi="Arial" w:cs="Arial"/>
                <w:b w:val="0"/>
                <w:i w:val="0"/>
                <w:color w:val="000000"/>
                <w:sz w:val="16"/>
                <w:u w:val="none"/>
              </w:rPr>
              <w:t>2022</w:t>
            </w:r>
          </w:p>
        </w:tc>
        <w:tc>
          <w:tcPr>
            <w:tcW w:w="1140" w:type="dxa"/>
            <w:tcBorders>
              <w:top w:val="nil"/>
              <w:left w:val="nil"/>
              <w:bottom w:val="nil"/>
              <w:right w:val="nil"/>
            </w:tcBorders>
            <w:tcMar>
              <w:top w:w="0" w:type="dxa"/>
              <w:left w:w="0" w:type="dxa"/>
              <w:bottom w:w="0" w:type="dxa"/>
              <w:right w:w="15" w:type="dxa"/>
            </w:tcMar>
            <w:vAlign w:val="bottom"/>
          </w:tcPr>
          <w:p>
            <w:pPr>
              <w:keepNext/>
              <w:pageBreakBefore w:val="0"/>
              <w:tabs>
                <w:tab w:val="left" w:pos="443"/>
                <w:tab w:val="left" w:pos="1072"/>
              </w:tabs>
              <w:spacing w:before="53" w:after="30" w:line="240" w:lineRule="auto"/>
              <w:jc w:val="right"/>
            </w:pPr>
            <w:r>
              <w:rPr>
                <w:rFonts w:ascii="Arial" w:eastAsia="Arial" w:hAnsi="Arial" w:cs="Arial"/>
                <w:b w:val="0"/>
                <w:i w:val="0"/>
                <w:color w:val="000000"/>
                <w:sz w:val="16"/>
                <w:u w:val="none"/>
              </w:rPr>
              <w:t>$</w:t>
              <w:tab/>
              <w:t>594,683</w:t>
              <w:tab/>
            </w: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666"/>
                <w:tab w:val="left" w:pos="877"/>
              </w:tabs>
              <w:spacing w:before="53" w:after="30" w:line="240" w:lineRule="auto"/>
              <w:jc w:val="right"/>
            </w:pPr>
            <w:r>
              <w:rPr>
                <w:rFonts w:ascii="Arial" w:eastAsia="Arial" w:hAnsi="Arial" w:cs="Arial"/>
                <w:b w:val="0"/>
                <w:i w:val="0"/>
                <w:color w:val="000000"/>
                <w:sz w:val="16"/>
                <w:u w:val="none"/>
              </w:rPr>
              <w:t>$</w:t>
              <w:tab/>
              <w:t>—</w:t>
              <w:tab/>
            </w:r>
          </w:p>
        </w:tc>
        <w:tc>
          <w:tcPr>
            <w:tcW w:w="1020" w:type="dxa"/>
            <w:tcBorders>
              <w:top w:val="nil"/>
              <w:left w:val="nil"/>
              <w:bottom w:val="nil"/>
              <w:right w:val="nil"/>
            </w:tcBorders>
            <w:tcMar>
              <w:top w:w="0" w:type="dxa"/>
              <w:left w:w="0" w:type="dxa"/>
              <w:bottom w:w="0" w:type="dxa"/>
              <w:right w:w="15" w:type="dxa"/>
            </w:tcMar>
            <w:vAlign w:val="bottom"/>
          </w:tcPr>
          <w:p>
            <w:pPr>
              <w:keepNext/>
              <w:pageBreakBefore w:val="0"/>
              <w:tabs>
                <w:tab w:val="left" w:pos="323"/>
                <w:tab w:val="left" w:pos="952"/>
              </w:tabs>
              <w:spacing w:before="53" w:after="30" w:line="240" w:lineRule="auto"/>
              <w:jc w:val="right"/>
            </w:pPr>
            <w:r>
              <w:rPr>
                <w:rFonts w:ascii="Arial" w:eastAsia="Arial" w:hAnsi="Arial" w:cs="Arial"/>
                <w:b w:val="0"/>
                <w:i w:val="0"/>
                <w:color w:val="000000"/>
                <w:sz w:val="16"/>
                <w:u w:val="none"/>
              </w:rPr>
              <w:t>$</w:t>
              <w:tab/>
              <w:t>580,153</w:t>
              <w:tab/>
            </w:r>
          </w:p>
        </w:tc>
        <w:tc>
          <w:tcPr>
            <w:tcW w:w="1035" w:type="dxa"/>
            <w:tcBorders>
              <w:top w:val="nil"/>
              <w:left w:val="nil"/>
              <w:bottom w:val="nil"/>
              <w:right w:val="nil"/>
            </w:tcBorders>
            <w:tcMar>
              <w:top w:w="0" w:type="dxa"/>
              <w:left w:w="0" w:type="dxa"/>
              <w:bottom w:w="0" w:type="dxa"/>
              <w:right w:w="15" w:type="dxa"/>
            </w:tcMar>
            <w:vAlign w:val="bottom"/>
          </w:tcPr>
          <w:p>
            <w:pPr>
              <w:keepNext/>
              <w:pageBreakBefore w:val="0"/>
              <w:tabs>
                <w:tab w:val="left" w:pos="756"/>
                <w:tab w:val="left" w:pos="967"/>
              </w:tabs>
              <w:spacing w:before="53" w:after="30" w:line="240" w:lineRule="auto"/>
              <w:jc w:val="right"/>
            </w:pPr>
            <w:r>
              <w:rPr>
                <w:rFonts w:ascii="Arial" w:eastAsia="Arial" w:hAnsi="Arial" w:cs="Arial"/>
                <w:b w:val="0"/>
                <w:i w:val="0"/>
                <w:color w:val="000000"/>
                <w:sz w:val="16"/>
                <w:u w:val="none"/>
              </w:rPr>
              <w:t>$</w:t>
              <w:tab/>
              <w:t>—</w:t>
              <w:tab/>
            </w:r>
          </w:p>
        </w:tc>
        <w:tc>
          <w:tcPr>
            <w:tcW w:w="1365" w:type="dxa"/>
            <w:tcBorders>
              <w:top w:val="nil"/>
              <w:left w:val="nil"/>
              <w:bottom w:val="nil"/>
              <w:right w:val="nil"/>
            </w:tcBorders>
            <w:tcMar>
              <w:top w:w="0" w:type="dxa"/>
              <w:left w:w="0" w:type="dxa"/>
              <w:bottom w:w="0" w:type="dxa"/>
              <w:right w:w="15" w:type="dxa"/>
            </w:tcMar>
            <w:vAlign w:val="bottom"/>
          </w:tcPr>
          <w:p>
            <w:pPr>
              <w:keepNext/>
              <w:pageBreakBefore w:val="0"/>
              <w:tabs>
                <w:tab w:val="left" w:pos="668"/>
                <w:tab w:val="left" w:pos="1297"/>
              </w:tabs>
              <w:spacing w:before="53" w:after="30" w:line="240" w:lineRule="auto"/>
              <w:jc w:val="right"/>
            </w:pPr>
            <w:r>
              <w:rPr>
                <w:rFonts w:ascii="Arial" w:eastAsia="Arial" w:hAnsi="Arial" w:cs="Arial"/>
                <w:b w:val="0"/>
                <w:i w:val="0"/>
                <w:color w:val="000000"/>
                <w:sz w:val="16"/>
                <w:u w:val="none"/>
              </w:rPr>
              <w:t>$</w:t>
              <w:tab/>
              <w:t>625,446</w:t>
              <w:tab/>
            </w:r>
          </w:p>
        </w:tc>
        <w:tc>
          <w:tcPr>
            <w:tcW w:w="1215" w:type="dxa"/>
            <w:tcBorders>
              <w:top w:val="nil"/>
              <w:left w:val="nil"/>
              <w:bottom w:val="nil"/>
              <w:right w:val="nil"/>
            </w:tcBorders>
            <w:tcMar>
              <w:top w:w="0" w:type="dxa"/>
              <w:left w:w="0" w:type="dxa"/>
              <w:bottom w:w="0" w:type="dxa"/>
              <w:right w:w="15" w:type="dxa"/>
            </w:tcMar>
            <w:vAlign w:val="bottom"/>
          </w:tcPr>
          <w:p>
            <w:pPr>
              <w:keepNext/>
              <w:pageBreakBefore w:val="0"/>
              <w:tabs>
                <w:tab w:val="left" w:pos="607"/>
                <w:tab w:val="left" w:pos="1147"/>
              </w:tabs>
              <w:spacing w:before="53" w:after="30" w:line="240" w:lineRule="auto"/>
              <w:jc w:val="right"/>
            </w:pPr>
            <w:r>
              <w:rPr>
                <w:rFonts w:ascii="Arial" w:eastAsia="Arial" w:hAnsi="Arial" w:cs="Arial"/>
                <w:b w:val="0"/>
                <w:i w:val="0"/>
                <w:color w:val="000000"/>
                <w:sz w:val="16"/>
                <w:u w:val="none"/>
              </w:rPr>
              <w:t>$</w:t>
              <w:tab/>
              <w:t>18,300</w:t>
              <w:tab/>
            </w:r>
          </w:p>
        </w:tc>
        <w:tc>
          <w:tcPr>
            <w:tcW w:w="1080" w:type="dxa"/>
            <w:tcBorders>
              <w:top w:val="nil"/>
              <w:left w:val="nil"/>
              <w:bottom w:val="nil"/>
              <w:right w:val="nil"/>
            </w:tcBorders>
            <w:tcMar>
              <w:top w:w="0" w:type="dxa"/>
              <w:left w:w="0" w:type="dxa"/>
              <w:bottom w:w="0" w:type="dxa"/>
              <w:right w:w="15" w:type="dxa"/>
            </w:tcMar>
            <w:vAlign w:val="bottom"/>
          </w:tcPr>
          <w:p>
            <w:pPr>
              <w:keepNext/>
              <w:pageBreakBefore w:val="0"/>
              <w:tabs>
                <w:tab w:val="left" w:pos="250"/>
                <w:tab w:val="left" w:pos="1012"/>
              </w:tabs>
              <w:spacing w:before="53" w:after="30" w:line="240" w:lineRule="auto"/>
              <w:jc w:val="right"/>
            </w:pPr>
            <w:r>
              <w:rPr>
                <w:rFonts w:ascii="Arial" w:eastAsia="Arial" w:hAnsi="Arial" w:cs="Arial"/>
                <w:b w:val="0"/>
                <w:i w:val="0"/>
                <w:color w:val="000000"/>
                <w:sz w:val="16"/>
                <w:u w:val="none"/>
              </w:rPr>
              <w:t>$</w:t>
              <w:tab/>
              <w:t>1,818,582</w:t>
              <w:tab/>
            </w:r>
          </w:p>
        </w:tc>
      </w:tr>
      <w:tr>
        <w:tblPrEx>
          <w:tblW w:w="10260" w:type="dxa"/>
          <w:jc w:val="center"/>
          <w:tblLayout w:type="fixed"/>
          <w:tblCellMar>
            <w:left w:w="108" w:type="dxa"/>
            <w:right w:w="108" w:type="dxa"/>
          </w:tblCellMar>
        </w:tblPrEx>
        <w:trPr>
          <w:cantSplit/>
          <w:trHeight w:hRule="exact" w:val="240"/>
          <w:jc w:val="center"/>
        </w:trPr>
        <w:tc>
          <w:tcPr>
            <w:tcW w:w="1830" w:type="dxa"/>
            <w:vMerge/>
            <w:tcBorders>
              <w:top w:val="nil"/>
              <w:left w:val="nil"/>
              <w:bottom w:val="nil"/>
              <w:right w:val="nil"/>
            </w:tcBorders>
          </w:tcPr>
          <w:p>
            <w:pPr>
              <w:keepNext/>
              <w:pageBreakBefore w:val="0"/>
            </w:pPr>
          </w:p>
        </w:tc>
        <w:tc>
          <w:tcPr>
            <w:tcW w:w="630" w:type="dxa"/>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r>
              <w:rPr>
                <w:rFonts w:ascii="Arial" w:eastAsia="Arial" w:hAnsi="Arial" w:cs="Arial"/>
                <w:b w:val="0"/>
                <w:i w:val="0"/>
                <w:color w:val="000000"/>
                <w:sz w:val="16"/>
                <w:u w:val="none"/>
              </w:rPr>
              <w:t>2021</w:t>
            </w:r>
          </w:p>
        </w:tc>
        <w:tc>
          <w:tcPr>
            <w:tcW w:w="1140" w:type="dxa"/>
            <w:tcBorders>
              <w:top w:val="nil"/>
              <w:left w:val="nil"/>
              <w:bottom w:val="nil"/>
              <w:right w:val="nil"/>
            </w:tcBorders>
            <w:tcMar>
              <w:top w:w="0" w:type="dxa"/>
              <w:left w:w="0" w:type="dxa"/>
              <w:bottom w:w="0" w:type="dxa"/>
              <w:right w:w="15" w:type="dxa"/>
            </w:tcMar>
            <w:vAlign w:val="bottom"/>
          </w:tcPr>
          <w:p>
            <w:pPr>
              <w:keepNext/>
              <w:pageBreakBefore w:val="0"/>
              <w:tabs>
                <w:tab w:val="left" w:pos="443"/>
                <w:tab w:val="left" w:pos="1072"/>
              </w:tabs>
              <w:spacing w:before="53" w:after="30" w:line="240" w:lineRule="auto"/>
              <w:jc w:val="right"/>
            </w:pPr>
            <w:r>
              <w:rPr>
                <w:rFonts w:ascii="Arial" w:eastAsia="Arial" w:hAnsi="Arial" w:cs="Arial"/>
                <w:b w:val="0"/>
                <w:i w:val="0"/>
                <w:color w:val="000000"/>
                <w:sz w:val="16"/>
                <w:u w:val="none"/>
              </w:rPr>
              <w:t>$</w:t>
              <w:tab/>
              <w:t>572,339</w:t>
              <w:tab/>
            </w:r>
          </w:p>
        </w:tc>
        <w:tc>
          <w:tcPr>
            <w:tcW w:w="945" w:type="dxa"/>
            <w:tcBorders>
              <w:top w:val="nil"/>
              <w:left w:val="nil"/>
              <w:bottom w:val="nil"/>
              <w:right w:val="nil"/>
            </w:tcBorders>
            <w:tcMar>
              <w:top w:w="0" w:type="dxa"/>
              <w:left w:w="0" w:type="dxa"/>
              <w:bottom w:w="0" w:type="dxa"/>
              <w:right w:w="15" w:type="dxa"/>
            </w:tcMar>
            <w:vAlign w:val="bottom"/>
          </w:tcPr>
          <w:p>
            <w:pPr>
              <w:keepNext/>
              <w:pageBreakBefore w:val="0"/>
              <w:tabs>
                <w:tab w:val="left" w:pos="666"/>
                <w:tab w:val="left" w:pos="877"/>
              </w:tabs>
              <w:spacing w:before="53" w:after="30" w:line="240" w:lineRule="auto"/>
              <w:jc w:val="right"/>
            </w:pPr>
            <w:r>
              <w:rPr>
                <w:rFonts w:ascii="Arial" w:eastAsia="Arial" w:hAnsi="Arial" w:cs="Arial"/>
                <w:b w:val="0"/>
                <w:i w:val="0"/>
                <w:color w:val="000000"/>
                <w:sz w:val="16"/>
                <w:u w:val="none"/>
              </w:rPr>
              <w:t>$</w:t>
              <w:tab/>
              <w:t>—</w:t>
              <w:tab/>
            </w:r>
          </w:p>
        </w:tc>
        <w:tc>
          <w:tcPr>
            <w:tcW w:w="1020" w:type="dxa"/>
            <w:tcBorders>
              <w:top w:val="nil"/>
              <w:left w:val="nil"/>
              <w:bottom w:val="nil"/>
              <w:right w:val="nil"/>
            </w:tcBorders>
            <w:tcMar>
              <w:top w:w="0" w:type="dxa"/>
              <w:left w:w="0" w:type="dxa"/>
              <w:bottom w:w="0" w:type="dxa"/>
              <w:right w:w="15" w:type="dxa"/>
            </w:tcMar>
            <w:vAlign w:val="bottom"/>
          </w:tcPr>
          <w:p>
            <w:pPr>
              <w:keepNext/>
              <w:pageBreakBefore w:val="0"/>
              <w:tabs>
                <w:tab w:val="left" w:pos="190"/>
                <w:tab w:val="left" w:pos="952"/>
              </w:tabs>
              <w:spacing w:before="53" w:after="30" w:line="240" w:lineRule="auto"/>
              <w:jc w:val="right"/>
            </w:pPr>
            <w:r>
              <w:rPr>
                <w:rFonts w:ascii="Arial" w:eastAsia="Arial" w:hAnsi="Arial" w:cs="Arial"/>
                <w:b w:val="0"/>
                <w:i w:val="0"/>
                <w:color w:val="000000"/>
                <w:sz w:val="16"/>
                <w:u w:val="none"/>
              </w:rPr>
              <w:t>$</w:t>
              <w:tab/>
              <w:t>1,550,071</w:t>
              <w:tab/>
            </w:r>
          </w:p>
        </w:tc>
        <w:tc>
          <w:tcPr>
            <w:tcW w:w="1035" w:type="dxa"/>
            <w:tcBorders>
              <w:top w:val="nil"/>
              <w:left w:val="nil"/>
              <w:bottom w:val="nil"/>
              <w:right w:val="nil"/>
            </w:tcBorders>
            <w:tcMar>
              <w:top w:w="0" w:type="dxa"/>
              <w:left w:w="0" w:type="dxa"/>
              <w:bottom w:w="0" w:type="dxa"/>
              <w:right w:w="15" w:type="dxa"/>
            </w:tcMar>
            <w:vAlign w:val="bottom"/>
          </w:tcPr>
          <w:p>
            <w:pPr>
              <w:keepNext/>
              <w:pageBreakBefore w:val="0"/>
              <w:tabs>
                <w:tab w:val="left" w:pos="756"/>
                <w:tab w:val="left" w:pos="967"/>
              </w:tabs>
              <w:spacing w:before="53" w:after="30" w:line="240" w:lineRule="auto"/>
              <w:jc w:val="right"/>
            </w:pPr>
            <w:r>
              <w:rPr>
                <w:rFonts w:ascii="Arial" w:eastAsia="Arial" w:hAnsi="Arial" w:cs="Arial"/>
                <w:b w:val="0"/>
                <w:i w:val="0"/>
                <w:color w:val="000000"/>
                <w:sz w:val="16"/>
                <w:u w:val="none"/>
              </w:rPr>
              <w:t>$</w:t>
              <w:tab/>
              <w:t>—</w:t>
              <w:tab/>
            </w:r>
          </w:p>
        </w:tc>
        <w:tc>
          <w:tcPr>
            <w:tcW w:w="1365" w:type="dxa"/>
            <w:tcBorders>
              <w:top w:val="nil"/>
              <w:left w:val="nil"/>
              <w:bottom w:val="nil"/>
              <w:right w:val="nil"/>
            </w:tcBorders>
            <w:tcMar>
              <w:top w:w="0" w:type="dxa"/>
              <w:left w:w="0" w:type="dxa"/>
              <w:bottom w:w="0" w:type="dxa"/>
              <w:right w:w="15" w:type="dxa"/>
            </w:tcMar>
            <w:vAlign w:val="bottom"/>
          </w:tcPr>
          <w:p>
            <w:pPr>
              <w:keepNext/>
              <w:pageBreakBefore w:val="0"/>
              <w:tabs>
                <w:tab w:val="left" w:pos="668"/>
                <w:tab w:val="left" w:pos="1297"/>
              </w:tabs>
              <w:spacing w:before="53" w:after="30" w:line="240" w:lineRule="auto"/>
              <w:jc w:val="right"/>
            </w:pPr>
            <w:r>
              <w:rPr>
                <w:rFonts w:ascii="Arial" w:eastAsia="Arial" w:hAnsi="Arial" w:cs="Arial"/>
                <w:b w:val="0"/>
                <w:i w:val="0"/>
                <w:color w:val="000000"/>
                <w:sz w:val="16"/>
                <w:u w:val="none"/>
              </w:rPr>
              <w:t>$</w:t>
              <w:tab/>
              <w:t>454,478</w:t>
              <w:tab/>
            </w:r>
          </w:p>
        </w:tc>
        <w:tc>
          <w:tcPr>
            <w:tcW w:w="1215" w:type="dxa"/>
            <w:tcBorders>
              <w:top w:val="nil"/>
              <w:left w:val="nil"/>
              <w:bottom w:val="nil"/>
              <w:right w:val="nil"/>
            </w:tcBorders>
            <w:tcMar>
              <w:top w:w="0" w:type="dxa"/>
              <w:left w:w="0" w:type="dxa"/>
              <w:bottom w:w="0" w:type="dxa"/>
              <w:right w:w="15" w:type="dxa"/>
            </w:tcMar>
            <w:vAlign w:val="bottom"/>
          </w:tcPr>
          <w:p>
            <w:pPr>
              <w:keepNext/>
              <w:pageBreakBefore w:val="0"/>
              <w:tabs>
                <w:tab w:val="left" w:pos="607"/>
                <w:tab w:val="left" w:pos="1147"/>
              </w:tabs>
              <w:spacing w:before="53" w:after="30" w:line="240" w:lineRule="auto"/>
              <w:jc w:val="right"/>
            </w:pPr>
            <w:r>
              <w:rPr>
                <w:rFonts w:ascii="Arial" w:eastAsia="Arial" w:hAnsi="Arial" w:cs="Arial"/>
                <w:b w:val="0"/>
                <w:i w:val="0"/>
                <w:color w:val="000000"/>
                <w:sz w:val="16"/>
                <w:u w:val="none"/>
              </w:rPr>
              <w:t>$</w:t>
              <w:tab/>
              <w:t>17,400</w:t>
              <w:tab/>
            </w:r>
          </w:p>
        </w:tc>
        <w:tc>
          <w:tcPr>
            <w:tcW w:w="1080" w:type="dxa"/>
            <w:tcBorders>
              <w:top w:val="nil"/>
              <w:left w:val="nil"/>
              <w:bottom w:val="nil"/>
              <w:right w:val="nil"/>
            </w:tcBorders>
            <w:tcMar>
              <w:top w:w="0" w:type="dxa"/>
              <w:left w:w="0" w:type="dxa"/>
              <w:bottom w:w="0" w:type="dxa"/>
              <w:right w:w="15" w:type="dxa"/>
            </w:tcMar>
            <w:vAlign w:val="bottom"/>
          </w:tcPr>
          <w:p>
            <w:pPr>
              <w:keepNext/>
              <w:pageBreakBefore w:val="0"/>
              <w:tabs>
                <w:tab w:val="left" w:pos="250"/>
                <w:tab w:val="left" w:pos="1012"/>
              </w:tabs>
              <w:spacing w:before="53" w:after="30" w:line="240" w:lineRule="auto"/>
              <w:jc w:val="right"/>
            </w:pPr>
            <w:r>
              <w:rPr>
                <w:rFonts w:ascii="Arial" w:eastAsia="Arial" w:hAnsi="Arial" w:cs="Arial"/>
                <w:b w:val="0"/>
                <w:i w:val="0"/>
                <w:color w:val="000000"/>
                <w:sz w:val="16"/>
                <w:u w:val="none"/>
              </w:rPr>
              <w:t>$</w:t>
              <w:tab/>
              <w:t>2,594,287</w:t>
              <w:tab/>
            </w:r>
          </w:p>
        </w:tc>
      </w:tr>
      <w:tr>
        <w:tblPrEx>
          <w:tblW w:w="10260" w:type="dxa"/>
          <w:jc w:val="center"/>
          <w:tblLayout w:type="fixed"/>
          <w:tblCellMar>
            <w:left w:w="108" w:type="dxa"/>
            <w:right w:w="108" w:type="dxa"/>
          </w:tblCellMar>
        </w:tblPrEx>
        <w:trPr>
          <w:cantSplit/>
          <w:trHeight w:hRule="exact" w:val="60"/>
          <w:jc w:val="center"/>
        </w:trPr>
        <w:tc>
          <w:tcPr>
            <w:tcW w:w="183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3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14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94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02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03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36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21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080"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313"/>
        </w:numPr>
        <w:spacing w:before="12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All base salary amounts are presented in United States Dollars ("USD"). Certain amounts paid to Mr. Silvester in British Pounds ("GBP") have been converted to USD for presentation in this Summary Compensation Table as described below.</w:t>
      </w:r>
    </w:p>
    <w:p>
      <w:pPr>
        <w:keepNext w:val="0"/>
        <w:keepLines w:val="0"/>
        <w:pageBreakBefore w:val="0"/>
        <w:widowControl/>
        <w:numPr>
          <w:ilvl w:val="0"/>
          <w:numId w:val="313"/>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The amounts shown in the Stock Awards column represent the aggregate grant date fair value of RSUs and PSUs granted to our executive officers in the applicable fiscal year, computed in accordance with FASB ASC Topic 718, excluding the effect of estimated forfeitures. The assumptions made in the valuation of stock awards are discussed in </w:t>
      </w:r>
      <w:r>
        <w:rPr>
          <w:rFonts w:ascii="Arial" w:eastAsia="Arial" w:hAnsi="Arial" w:cs="Arial"/>
          <w:b w:val="0"/>
          <w:i w:val="0"/>
          <w:color w:val="969698"/>
          <w:sz w:val="16"/>
          <w:u w:val="none"/>
        </w:rPr>
        <w:t>Note 22</w:t>
      </w:r>
      <w:r>
        <w:rPr>
          <w:rFonts w:ascii="Arial" w:eastAsia="Arial" w:hAnsi="Arial" w:cs="Arial"/>
          <w:b w:val="0"/>
          <w:i w:val="0"/>
          <w:color w:val="969698"/>
          <w:sz w:val="16"/>
          <w:u w:val="none"/>
        </w:rPr>
        <w:t xml:space="preserve"> - Share-Based Compensation and Pensions to our consolid</w:t>
      </w:r>
      <w:r>
        <w:rPr>
          <w:rFonts w:ascii="Arial" w:eastAsia="Arial" w:hAnsi="Arial" w:cs="Arial"/>
          <w:b w:val="0"/>
          <w:i w:val="0"/>
          <w:color w:val="969698"/>
          <w:sz w:val="16"/>
          <w:u w:val="none"/>
        </w:rPr>
        <w:t xml:space="preserve">ated financial statements in our Annual Report on Form 10-K for the year ended December 31, </w:t>
      </w:r>
      <w:r>
        <w:rPr>
          <w:rFonts w:ascii="Arial" w:eastAsia="Arial" w:hAnsi="Arial" w:cs="Arial"/>
          <w:b w:val="0"/>
          <w:i w:val="0"/>
          <w:color w:val="969698"/>
          <w:sz w:val="16"/>
          <w:u w:val="none"/>
        </w:rPr>
        <w:t>2023</w:t>
      </w:r>
      <w:r>
        <w:rPr>
          <w:rFonts w:ascii="Arial" w:eastAsia="Arial" w:hAnsi="Arial" w:cs="Arial"/>
          <w:b w:val="0"/>
          <w:i w:val="0"/>
          <w:color w:val="969698"/>
          <w:sz w:val="16"/>
          <w:u w:val="none"/>
        </w:rPr>
        <w:t xml:space="preserve">. Amounts reported in the table in respect of PSUs granted in </w:t>
      </w:r>
      <w:r>
        <w:rPr>
          <w:rFonts w:ascii="Arial" w:eastAsia="Arial" w:hAnsi="Arial" w:cs="Arial"/>
          <w:b w:val="0"/>
          <w:i w:val="0"/>
          <w:color w:val="969698"/>
          <w:sz w:val="16"/>
          <w:u w:val="none"/>
        </w:rPr>
        <w:t>2023</w:t>
      </w:r>
      <w:r>
        <w:rPr>
          <w:rFonts w:ascii="Arial" w:eastAsia="Arial" w:hAnsi="Arial" w:cs="Arial"/>
          <w:b w:val="0"/>
          <w:i w:val="0"/>
          <w:color w:val="969698"/>
          <w:sz w:val="16"/>
          <w:u w:val="none"/>
        </w:rPr>
        <w:t xml:space="preserve"> reflect a "target" level of performance, and the grant date fair value of such awards was as follows: </w:t>
      </w:r>
      <w:r>
        <w:rPr>
          <w:rFonts w:ascii="Arial" w:eastAsia="Arial" w:hAnsi="Arial" w:cs="Arial"/>
          <w:b w:val="0"/>
          <w:i w:val="0"/>
          <w:color w:val="969698"/>
          <w:sz w:val="16"/>
          <w:u w:val="none"/>
        </w:rPr>
        <w:t xml:space="preserve">Matthew Kirk - </w:t>
      </w:r>
      <w:r>
        <w:rPr>
          <w:rFonts w:ascii="Arial" w:eastAsia="Arial" w:hAnsi="Arial" w:cs="Arial"/>
          <w:b w:val="0"/>
          <w:i w:val="0"/>
          <w:color w:val="969698"/>
          <w:sz w:val="16"/>
          <w:u w:val="none"/>
        </w:rPr>
        <w:t>$293,873</w:t>
      </w:r>
      <w:r>
        <w:rPr>
          <w:rFonts w:ascii="Arial" w:eastAsia="Arial" w:hAnsi="Arial" w:cs="Arial"/>
          <w:b w:val="0"/>
          <w:i w:val="0"/>
          <w:color w:val="969698"/>
          <w:sz w:val="16"/>
          <w:u w:val="none"/>
        </w:rPr>
        <w:t xml:space="preserve">; Orla Gregory - </w:t>
      </w:r>
      <w:r>
        <w:rPr>
          <w:rFonts w:ascii="Arial" w:eastAsia="Arial" w:hAnsi="Arial" w:cs="Arial"/>
          <w:b w:val="0"/>
          <w:i w:val="0"/>
          <w:color w:val="969698"/>
          <w:sz w:val="16"/>
          <w:u w:val="none"/>
        </w:rPr>
        <w:t>$9,000,006</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David Ni - </w:t>
      </w:r>
      <w:r>
        <w:rPr>
          <w:rFonts w:ascii="Arial" w:eastAsia="Arial" w:hAnsi="Arial" w:cs="Arial"/>
          <w:b w:val="0"/>
          <w:i w:val="0"/>
          <w:color w:val="969698"/>
          <w:sz w:val="16"/>
          <w:u w:val="none"/>
        </w:rPr>
        <w:t>$489,937</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Paul Brockman - </w:t>
      </w:r>
      <w:r>
        <w:rPr>
          <w:rFonts w:ascii="Arial" w:eastAsia="Arial" w:hAnsi="Arial" w:cs="Arial"/>
          <w:b w:val="0"/>
          <w:i w:val="0"/>
          <w:color w:val="969698"/>
          <w:sz w:val="16"/>
          <w:u w:val="none"/>
        </w:rPr>
        <w:t>$503,974</w:t>
      </w:r>
      <w:r>
        <w:rPr>
          <w:rFonts w:ascii="Arial" w:eastAsia="Arial" w:hAnsi="Arial" w:cs="Arial"/>
          <w:b w:val="0"/>
          <w:i w:val="0"/>
          <w:color w:val="969698"/>
          <w:sz w:val="16"/>
          <w:u w:val="none"/>
        </w:rPr>
        <w:t>; and N</w:t>
      </w:r>
      <w:r>
        <w:rPr>
          <w:rFonts w:ascii="Arial" w:eastAsia="Arial" w:hAnsi="Arial" w:cs="Arial"/>
          <w:b w:val="0"/>
          <w:i w:val="0"/>
          <w:color w:val="969698"/>
          <w:sz w:val="16"/>
          <w:u w:val="none"/>
        </w:rPr>
        <w:t xml:space="preserve">azar Alobaidat - </w:t>
      </w:r>
      <w:r>
        <w:rPr>
          <w:rFonts w:ascii="Arial" w:eastAsia="Arial" w:hAnsi="Arial" w:cs="Arial"/>
          <w:b w:val="0"/>
          <w:i w:val="0"/>
          <w:color w:val="969698"/>
          <w:sz w:val="16"/>
          <w:u w:val="none"/>
        </w:rPr>
        <w:t>$419,978</w:t>
      </w:r>
      <w:r>
        <w:rPr>
          <w:rFonts w:ascii="Arial" w:eastAsia="Arial" w:hAnsi="Arial" w:cs="Arial"/>
          <w:b w:val="0"/>
          <w:i w:val="0"/>
          <w:color w:val="969698"/>
          <w:sz w:val="16"/>
          <w:u w:val="none"/>
        </w:rPr>
        <w:t xml:space="preserve">. If the maximum level of performance were to be achieved, then the number of shares that would be received in respect of such </w:t>
      </w:r>
      <w:r>
        <w:rPr>
          <w:rFonts w:ascii="Arial" w:eastAsia="Arial" w:hAnsi="Arial" w:cs="Arial"/>
          <w:b w:val="0"/>
          <w:i w:val="0"/>
          <w:color w:val="969698"/>
          <w:sz w:val="16"/>
          <w:u w:val="none"/>
        </w:rPr>
        <w:t>2023</w:t>
      </w:r>
      <w:r>
        <w:rPr>
          <w:rFonts w:ascii="Arial" w:eastAsia="Arial" w:hAnsi="Arial" w:cs="Arial"/>
          <w:b w:val="0"/>
          <w:i w:val="0"/>
          <w:color w:val="969698"/>
          <w:sz w:val="16"/>
          <w:u w:val="none"/>
        </w:rPr>
        <w:t xml:space="preserve"> PSUs would be </w:t>
      </w:r>
      <w:r>
        <w:rPr>
          <w:rFonts w:ascii="Arial" w:eastAsia="Arial" w:hAnsi="Arial" w:cs="Arial"/>
          <w:b w:val="0"/>
          <w:i w:val="0"/>
          <w:color w:val="969698"/>
          <w:sz w:val="16"/>
          <w:u w:val="none"/>
        </w:rPr>
        <w:t>20</w:t>
      </w:r>
      <w:r>
        <w:rPr>
          <w:rFonts w:ascii="Arial" w:eastAsia="Arial" w:hAnsi="Arial" w:cs="Arial"/>
          <w:b w:val="0"/>
          <w:i w:val="0"/>
          <w:color w:val="969698"/>
          <w:sz w:val="16"/>
          <w:u w:val="none"/>
        </w:rPr>
        <w:t xml:space="preserve">0% of the number of PSUs granted, and the grant date value of such awards would have been as follows: </w:t>
      </w:r>
      <w:r>
        <w:rPr>
          <w:rFonts w:ascii="Arial" w:eastAsia="Arial" w:hAnsi="Arial" w:cs="Arial"/>
          <w:b w:val="0"/>
          <w:i w:val="0"/>
          <w:color w:val="969698"/>
          <w:sz w:val="16"/>
          <w:u w:val="none"/>
        </w:rPr>
        <w:t xml:space="preserve">Matthew </w:t>
      </w:r>
      <w:r>
        <w:rPr>
          <w:rFonts w:ascii="Arial" w:eastAsia="Arial" w:hAnsi="Arial" w:cs="Arial"/>
          <w:b w:val="0"/>
          <w:i w:val="0"/>
          <w:color w:val="969698"/>
          <w:sz w:val="16"/>
          <w:u w:val="none"/>
        </w:rPr>
        <w:t xml:space="preserve">Kirk - </w:t>
      </w:r>
      <w:r>
        <w:rPr>
          <w:rFonts w:ascii="Arial" w:eastAsia="Arial" w:hAnsi="Arial" w:cs="Arial"/>
          <w:b w:val="0"/>
          <w:i w:val="0"/>
          <w:color w:val="969698"/>
          <w:sz w:val="16"/>
          <w:u w:val="none"/>
        </w:rPr>
        <w:t>$587,746</w:t>
      </w:r>
      <w:r>
        <w:rPr>
          <w:rFonts w:ascii="Arial" w:eastAsia="Arial" w:hAnsi="Arial" w:cs="Arial"/>
          <w:b w:val="0"/>
          <w:i w:val="0"/>
          <w:color w:val="969698"/>
          <w:sz w:val="16"/>
          <w:u w:val="none"/>
        </w:rPr>
        <w:t xml:space="preserve">; Orla Gregory - </w:t>
      </w:r>
      <w:r>
        <w:rPr>
          <w:rFonts w:ascii="Arial" w:eastAsia="Arial" w:hAnsi="Arial" w:cs="Arial"/>
          <w:b w:val="0"/>
          <w:i w:val="0"/>
          <w:color w:val="969698"/>
          <w:sz w:val="16"/>
          <w:u w:val="none"/>
        </w:rPr>
        <w:t>$18,000,012</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David Ni - </w:t>
      </w:r>
      <w:r>
        <w:rPr>
          <w:rFonts w:ascii="Arial" w:eastAsia="Arial" w:hAnsi="Arial" w:cs="Arial"/>
          <w:b w:val="0"/>
          <w:i w:val="0"/>
          <w:color w:val="969698"/>
          <w:sz w:val="16"/>
          <w:u w:val="none"/>
        </w:rPr>
        <w:t>$979,874</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Paul Brockman - </w:t>
      </w:r>
      <w:r>
        <w:rPr>
          <w:rFonts w:ascii="Arial" w:eastAsia="Arial" w:hAnsi="Arial" w:cs="Arial"/>
          <w:b w:val="0"/>
          <w:i w:val="0"/>
          <w:color w:val="969698"/>
          <w:sz w:val="16"/>
          <w:u w:val="none"/>
        </w:rPr>
        <w:t>$1,007,947</w:t>
      </w:r>
      <w:r>
        <w:rPr>
          <w:rFonts w:ascii="Arial" w:eastAsia="Arial" w:hAnsi="Arial" w:cs="Arial"/>
          <w:b w:val="0"/>
          <w:i w:val="0"/>
          <w:color w:val="969698"/>
          <w:sz w:val="16"/>
          <w:u w:val="none"/>
        </w:rPr>
        <w:t>; and Nazar Alobaidat</w:t>
      </w:r>
      <w:r>
        <w:rPr>
          <w:rFonts w:ascii="Arial" w:eastAsia="Arial" w:hAnsi="Arial" w:cs="Arial"/>
          <w:b w:val="0"/>
          <w:i w:val="0"/>
          <w:color w:val="969698"/>
          <w:sz w:val="16"/>
          <w:u w:val="none"/>
        </w:rPr>
        <w:t xml:space="preserve"> - </w:t>
      </w:r>
      <w:r>
        <w:rPr>
          <w:rFonts w:ascii="Arial" w:eastAsia="Arial" w:hAnsi="Arial" w:cs="Arial"/>
          <w:b w:val="0"/>
          <w:i w:val="0"/>
          <w:color w:val="969698"/>
          <w:sz w:val="16"/>
          <w:u w:val="none"/>
        </w:rPr>
        <w:t>$839,956</w:t>
      </w:r>
      <w:r>
        <w:rPr>
          <w:rFonts w:ascii="Arial" w:eastAsia="Arial" w:hAnsi="Arial" w:cs="Arial"/>
          <w:b w:val="0"/>
          <w:i w:val="0"/>
          <w:color w:val="969698"/>
          <w:sz w:val="16"/>
          <w:u w:val="none"/>
        </w:rPr>
        <w:t>. Whether the recipients of PSUs ultimately receive any shares in respect of PSU awards depends on whether Enstar achieves certain levels of growth in</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FDBVPS</w:t>
      </w:r>
      <w:r>
        <w:rPr>
          <w:rFonts w:ascii="Arial" w:eastAsia="Arial" w:hAnsi="Arial" w:cs="Arial"/>
          <w:b w:val="0"/>
          <w:i w:val="0"/>
          <w:color w:val="969698"/>
          <w:sz w:val="16"/>
          <w:u w:val="none"/>
        </w:rPr>
        <w:t>, Operating Income ROE (for PSU awards granted in 2021</w:t>
      </w:r>
      <w:r>
        <w:rPr>
          <w:rFonts w:ascii="Arial" w:eastAsia="Arial" w:hAnsi="Arial" w:cs="Arial"/>
          <w:b w:val="0"/>
          <w:i w:val="0"/>
          <w:color w:val="969698"/>
          <w:sz w:val="16"/>
          <w:u w:val="none"/>
        </w:rPr>
        <w:t xml:space="preserve">) or </w:t>
      </w:r>
      <w:r>
        <w:rPr>
          <w:rFonts w:ascii="Arial" w:eastAsia="Arial" w:hAnsi="Arial" w:cs="Arial"/>
          <w:b w:val="0"/>
          <w:i w:val="0"/>
          <w:color w:val="969698"/>
          <w:sz w:val="16"/>
          <w:u w:val="none"/>
        </w:rPr>
        <w:t>Adjusted</w:t>
      </w:r>
      <w:r>
        <w:rPr>
          <w:rFonts w:ascii="Arial" w:eastAsia="Arial" w:hAnsi="Arial" w:cs="Arial"/>
          <w:b w:val="0"/>
          <w:i w:val="0"/>
          <w:color w:val="969698"/>
          <w:sz w:val="16"/>
          <w:u w:val="none"/>
        </w:rPr>
        <w:t xml:space="preserve"> ROE</w:t>
      </w:r>
      <w:r>
        <w:rPr>
          <w:rFonts w:ascii="Arial" w:eastAsia="Arial" w:hAnsi="Arial" w:cs="Arial"/>
          <w:b w:val="0"/>
          <w:i w:val="0"/>
          <w:color w:val="969698"/>
          <w:sz w:val="16"/>
          <w:u w:val="none"/>
        </w:rPr>
        <w:t xml:space="preserve"> (for PSU awards </w:t>
      </w:r>
      <w:r>
        <w:rPr>
          <w:rFonts w:ascii="Arial" w:eastAsia="Arial" w:hAnsi="Arial" w:cs="Arial"/>
          <w:b w:val="0"/>
          <w:i w:val="0"/>
          <w:color w:val="969698"/>
          <w:sz w:val="16"/>
          <w:u w:val="none"/>
        </w:rPr>
        <w:t>granted in</w:t>
      </w:r>
      <w:r>
        <w:rPr>
          <w:rFonts w:ascii="Arial" w:eastAsia="Arial" w:hAnsi="Arial" w:cs="Arial"/>
          <w:b w:val="0"/>
          <w:i w:val="0"/>
          <w:color w:val="969698"/>
          <w:sz w:val="16"/>
          <w:u w:val="none"/>
        </w:rPr>
        <w:t xml:space="preserve"> 2022 and</w:t>
      </w:r>
      <w:r>
        <w:rPr>
          <w:rFonts w:ascii="Arial" w:eastAsia="Arial" w:hAnsi="Arial" w:cs="Arial"/>
          <w:b w:val="0"/>
          <w:i w:val="0"/>
          <w:color w:val="969698"/>
          <w:sz w:val="16"/>
          <w:u w:val="none"/>
        </w:rPr>
        <w:t xml:space="preserve"> 2023)</w:t>
      </w:r>
      <w:r>
        <w:rPr>
          <w:rFonts w:ascii="Arial" w:eastAsia="Arial" w:hAnsi="Arial" w:cs="Arial"/>
          <w:b w:val="0"/>
          <w:i w:val="0"/>
          <w:color w:val="969698"/>
          <w:sz w:val="16"/>
          <w:u w:val="none"/>
        </w:rPr>
        <w:t>, as set forth in each award agreement.</w:t>
      </w:r>
    </w:p>
    <w:p>
      <w:pPr>
        <w:keepNext w:val="0"/>
        <w:keepLines w:val="0"/>
        <w:pageBreakBefore w:val="0"/>
        <w:widowControl/>
        <w:numPr>
          <w:ilvl w:val="0"/>
          <w:numId w:val="313"/>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The amounts shown in the Option Awards column represent the aggregate grant date fair value of a grant to Mr. Silvester of a Joint Share Ownership Interest in 565,630 ordinary shares under our Joint Share Ownership Plan, a sub-plan of our Amended and Restated 2016 Equity Incentive Plan. The grant date fair value of the Joint Share Ownership Interest is computed in accordance with FASB ASC Topic 718, excluding the effect of estimated forfeitures, using a Monte Carlo valuation model. Under the terms of a joint share ownership agreement between Enstar, Mr. Silvester and the trustee (the "Trustee") of the Enstar Group Limited Employee Benefit Trust (the "Trust"), Mr. Silvester holds a shared ownership interest with the Trustee in the ordinary shares underlying the award, subject to certain vesting and other conditions. Under the terms of the original joint share ownership agreement, 80% of Mr. Silvester's interest was scheduled to vest on January 21, 2023 (the "Original Vesting Date") and 20% of Mr. Silvester's interest was scheduled vest on the Original Vesting Date only if the growth of Enstar's</w:t>
      </w:r>
      <w:r>
        <w:rPr>
          <w:rFonts w:ascii="Arial" w:eastAsia="Arial" w:hAnsi="Arial" w:cs="Arial"/>
          <w:b w:val="0"/>
          <w:i w:val="0"/>
          <w:color w:val="969698"/>
          <w:sz w:val="16"/>
          <w:u w:val="none"/>
        </w:rPr>
        <w:t xml:space="preserve"> FDBVPS</w:t>
      </w:r>
      <w:r>
        <w:rPr>
          <w:rFonts w:ascii="Arial" w:eastAsia="Arial" w:hAnsi="Arial" w:cs="Arial"/>
          <w:b w:val="0"/>
          <w:i w:val="0"/>
          <w:color w:val="969698"/>
          <w:sz w:val="16"/>
          <w:u w:val="none"/>
        </w:rPr>
        <w:t xml:space="preserve"> between January 1, 2020 and December 31, 2022 met or exceeded a compound annual growth rate of 10%, except in certain instances of change of control, as defined in the joint share ownership agreement, or the lapse of his interest. Under the original joint share ownership agreement, if the market price of an ordinary share on both the Original Vesting Date and the date on which the value of Mr. Silvester's interest is realized was equal to or greater than the "Hurdle" price of $266.00, Mr. Silvester would have been entitled to 100% of any value in the ordinary shares held by the Trust above $205.89 per share. The amount shown in the Option Awards column for the year ended December 31, 2020 represents the aggregate grant date fair value of Mr. Silvester's Joint Share Ownership Interest on the original grant date. On July 1, 2022, the joint share ownership agreement was amended to change the scheduled vesting date from January 21, 2023 to January 21, 2025 (the "Amended Vesting Date") and to increase the Hurdle to $315.53. As a result, under the amended joint share ownership agreement, if the market price of an ordinary share on both the Amended Vesting Date and the date on which the value of Mr. Silvester's interest is realized is equal to or greater than $315.53, Mr. Silvester will be entitled to 100% of any value in the ordinary shares held by the Trust above $205.89 per share. The amount shown in the Option Awards column for the year ended December 31, 2022 represents the incremental grant date fair value, computed in accordance with FASB ASC Topic 718 excluding the effect of estimated forfeitures, using a Monte Carlo valuation model, of Mr. Silvester's Joint Share Ownership Interest on July 1, 2022 (the date the joint share ownership agreement was amended). As in the original joint share ownership agreement, the amended joint share ownership agreement provides that 20% of Mr. Silvester's interest will vest on the Amended Vesting Date only if the growth of Enstar's </w:t>
      </w:r>
      <w:r>
        <w:rPr>
          <w:rFonts w:ascii="Arial" w:eastAsia="Arial" w:hAnsi="Arial" w:cs="Arial"/>
          <w:b w:val="0"/>
          <w:i w:val="0"/>
          <w:color w:val="969698"/>
          <w:sz w:val="16"/>
          <w:u w:val="none"/>
        </w:rPr>
        <w:t>FDBVPS</w:t>
      </w:r>
      <w:r>
        <w:rPr>
          <w:rFonts w:ascii="Arial" w:eastAsia="Arial" w:hAnsi="Arial" w:cs="Arial"/>
          <w:b w:val="0"/>
          <w:i w:val="0"/>
          <w:color w:val="969698"/>
          <w:sz w:val="16"/>
          <w:u w:val="none"/>
        </w:rPr>
        <w:t xml:space="preserve"> between January 1, 2022 and December 31, 2024 (extended by the amended joint share ownership agreement from December 31, 2022) meets or exceeds a compound annual growth rate of 10%, except in certain instances of change of control, as defined in the amended joint share ownership agreement, or the lapse of his interest. </w:t>
      </w:r>
    </w:p>
    <w:p>
      <w:pPr>
        <w:keepNext w:val="0"/>
        <w:keepLines w:val="0"/>
        <w:pageBreakBefore w:val="0"/>
        <w:widowControl/>
        <w:numPr>
          <w:ilvl w:val="0"/>
          <w:numId w:val="313"/>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The amounts show</w:t>
      </w:r>
      <w:r>
        <w:rPr>
          <w:rFonts w:ascii="Arial" w:eastAsia="Arial" w:hAnsi="Arial" w:cs="Arial"/>
          <w:b w:val="0"/>
          <w:i w:val="0"/>
          <w:color w:val="969698"/>
          <w:sz w:val="16"/>
          <w:u w:val="none"/>
        </w:rPr>
        <w:t>n</w:t>
      </w:r>
      <w:r>
        <w:rPr>
          <w:rFonts w:ascii="Arial" w:eastAsia="Arial" w:hAnsi="Arial" w:cs="Arial"/>
          <w:b w:val="0"/>
          <w:i w:val="0"/>
          <w:color w:val="969698"/>
          <w:sz w:val="16"/>
          <w:u w:val="none"/>
        </w:rPr>
        <w:t xml:space="preserve"> in the Non-Equity Plan Incentive Compensation column reflect the actual performance-based annual incentive bonuses paid to each named executive officer for the applicable year pursuant to the Annual Incentive Compensation Program (the "AIP"). The bonuses paid pursuant to the AIP are described above in  "Compensation Discussion and Analysis - Annual Incentive Compensation.”</w:t>
      </w:r>
    </w:p>
    <w:p>
      <w:pPr>
        <w:keepNext w:val="0"/>
        <w:keepLines w:val="0"/>
        <w:pageBreakBefore w:val="0"/>
        <w:widowControl/>
        <w:numPr>
          <w:ilvl w:val="0"/>
          <w:numId w:val="313"/>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Base salary amounts paid to Mr. Silvester </w:t>
      </w:r>
      <w:r>
        <w:rPr>
          <w:rFonts w:ascii="Arial" w:eastAsia="Arial" w:hAnsi="Arial" w:cs="Arial"/>
          <w:b w:val="0"/>
          <w:i w:val="0"/>
          <w:color w:val="969698"/>
          <w:sz w:val="16"/>
          <w:u w:val="none"/>
        </w:rPr>
        <w:t>for</w:t>
      </w:r>
      <w:r>
        <w:rPr>
          <w:rFonts w:ascii="Arial" w:eastAsia="Arial" w:hAnsi="Arial" w:cs="Arial"/>
          <w:b w:val="0"/>
          <w:i w:val="0"/>
          <w:color w:val="969698"/>
          <w:sz w:val="16"/>
          <w:u w:val="none"/>
        </w:rPr>
        <w:t xml:space="preserve"> a portion of 2021 were paid in GBP </w:t>
      </w:r>
      <w:r>
        <w:rPr>
          <w:rFonts w:ascii="Arial" w:eastAsia="Arial" w:hAnsi="Arial" w:cs="Arial"/>
          <w:b w:val="0"/>
          <w:i w:val="0"/>
          <w:color w:val="969698"/>
          <w:sz w:val="16"/>
          <w:u w:val="none"/>
        </w:rPr>
        <w:t xml:space="preserve">and </w:t>
      </w:r>
      <w:r>
        <w:rPr>
          <w:rFonts w:ascii="Arial" w:eastAsia="Arial" w:hAnsi="Arial" w:cs="Arial"/>
          <w:b w:val="0"/>
          <w:i w:val="0"/>
          <w:color w:val="969698"/>
          <w:sz w:val="16"/>
          <w:u w:val="none"/>
        </w:rPr>
        <w:t xml:space="preserve">have been converted to USD at the then-prevailing exchange rate on the relevant payroll date. Mr. Silvester resided in the United Kingdom until March 31, 2021 when he relocated to Bermuda. As a result, one-fourth of Mr. Silvester's 2021 AIP award was paid in GBP, which resulted in conversion from USD to GBP at the prevailing exchange rate as of March 20, 2022. In addition, one-fourth of Mr. Silvester's 2021 retirement benefit was calculated and paid in GBP and has been converted to USD at the then-prevailing exchange rate on March 20, 2022. All Other Compensation for </w:t>
      </w:r>
      <w:r>
        <w:rPr>
          <w:rFonts w:ascii="Arial" w:eastAsia="Arial" w:hAnsi="Arial" w:cs="Arial"/>
          <w:b w:val="0"/>
          <w:i w:val="0"/>
          <w:color w:val="969698"/>
          <w:sz w:val="16"/>
          <w:u w:val="none"/>
        </w:rPr>
        <w:t>2023</w:t>
      </w:r>
      <w:r>
        <w:rPr>
          <w:rFonts w:ascii="Arial" w:eastAsia="Arial" w:hAnsi="Arial" w:cs="Arial"/>
          <w:b w:val="0"/>
          <w:i w:val="0"/>
          <w:color w:val="969698"/>
          <w:sz w:val="16"/>
          <w:u w:val="none"/>
        </w:rPr>
        <w:t xml:space="preserve"> represents (A) cash contributions on the same terms provided to all employees in the same region as follows: (i) retirement benefit co</w:t>
      </w:r>
      <w:r>
        <w:rPr>
          <w:rFonts w:ascii="Arial" w:eastAsia="Arial" w:hAnsi="Arial" w:cs="Arial"/>
          <w:b w:val="0"/>
          <w:i w:val="0"/>
          <w:color w:val="969698"/>
          <w:sz w:val="16"/>
          <w:u w:val="none"/>
        </w:rPr>
        <w:t>ntribution (</w:t>
      </w:r>
      <w:r>
        <w:rPr>
          <w:rFonts w:ascii="Arial" w:eastAsia="Arial" w:hAnsi="Arial" w:cs="Arial"/>
          <w:b w:val="0"/>
          <w:i w:val="0"/>
          <w:color w:val="969698"/>
          <w:sz w:val="16"/>
          <w:u w:val="none"/>
        </w:rPr>
        <w:t>$250,000</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a</w:t>
      </w:r>
      <w:r>
        <w:rPr>
          <w:rFonts w:ascii="Arial" w:eastAsia="Arial" w:hAnsi="Arial" w:cs="Arial"/>
          <w:b w:val="0"/>
          <w:i w:val="0"/>
          <w:color w:val="969698"/>
          <w:sz w:val="16"/>
          <w:u w:val="none"/>
        </w:rPr>
        <w:t>nd (ii) Bermudian payroll and social insurance tax (</w:t>
      </w:r>
      <w:r>
        <w:rPr>
          <w:rFonts w:ascii="Arial" w:eastAsia="Arial" w:hAnsi="Arial" w:cs="Arial"/>
          <w:b w:val="0"/>
          <w:i w:val="0"/>
          <w:color w:val="929292"/>
          <w:sz w:val="16"/>
          <w:u w:val="none"/>
        </w:rPr>
        <w:t>$218,316</w:t>
      </w:r>
      <w:r>
        <w:rPr>
          <w:rFonts w:ascii="Arial" w:eastAsia="Arial" w:hAnsi="Arial" w:cs="Arial"/>
          <w:b w:val="0"/>
          <w:i w:val="0"/>
          <w:color w:val="969698"/>
          <w:sz w:val="16"/>
          <w:u w:val="none"/>
        </w:rPr>
        <w:t xml:space="preserve">); (B) contractual </w:t>
      </w:r>
      <w:r>
        <w:rPr>
          <w:rFonts w:ascii="Arial" w:eastAsia="Arial" w:hAnsi="Arial" w:cs="Arial"/>
          <w:b w:val="0"/>
          <w:i w:val="0"/>
          <w:color w:val="969698"/>
          <w:sz w:val="16"/>
          <w:u w:val="none"/>
        </w:rPr>
        <w:t>benefits as follows: (i) Company-maintained apartment</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w:t>
      </w:r>
      <w:r>
        <w:rPr>
          <w:rFonts w:ascii="Arial" w:eastAsia="Arial" w:hAnsi="Arial" w:cs="Arial"/>
          <w:b w:val="0"/>
          <w:i w:val="0"/>
          <w:color w:val="929292"/>
          <w:sz w:val="16"/>
          <w:u w:val="none"/>
        </w:rPr>
        <w:t>$268,615</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and</w:t>
      </w:r>
      <w:r>
        <w:rPr>
          <w:rFonts w:ascii="Arial" w:eastAsia="Arial" w:hAnsi="Arial" w:cs="Arial"/>
          <w:b w:val="0"/>
          <w:i w:val="0"/>
          <w:color w:val="969698"/>
          <w:sz w:val="16"/>
          <w:u w:val="none"/>
        </w:rPr>
        <w:t xml:space="preserve"> (ii) </w:t>
      </w:r>
      <w:r>
        <w:rPr>
          <w:rFonts w:ascii="Arial" w:eastAsia="Arial" w:hAnsi="Arial" w:cs="Arial"/>
          <w:b w:val="0"/>
          <w:i w:val="0"/>
          <w:color w:val="969698"/>
          <w:sz w:val="16"/>
          <w:u w:val="none"/>
        </w:rPr>
        <w:t>commercial air travel for executive and his spouse</w:t>
      </w:r>
      <w:r>
        <w:rPr>
          <w:rFonts w:ascii="Arial" w:eastAsia="Arial" w:hAnsi="Arial" w:cs="Arial"/>
          <w:b w:val="0"/>
          <w:i w:val="0"/>
          <w:color w:val="969698"/>
          <w:sz w:val="16"/>
          <w:u w:val="none"/>
        </w:rPr>
        <w:t xml:space="preserve"> (</w:t>
      </w:r>
      <w:r>
        <w:rPr>
          <w:rFonts w:ascii="Arial" w:eastAsia="Arial" w:hAnsi="Arial" w:cs="Arial"/>
          <w:b w:val="0"/>
          <w:i w:val="0"/>
          <w:color w:val="929292"/>
          <w:sz w:val="16"/>
          <w:u w:val="none"/>
        </w:rPr>
        <w:t>$423,185</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and (C) other personal benefits as follows: </w:t>
      </w:r>
      <w:r>
        <w:rPr>
          <w:rFonts w:ascii="Arial" w:eastAsia="Arial" w:hAnsi="Arial" w:cs="Arial"/>
          <w:b w:val="0"/>
          <w:i w:val="0"/>
          <w:color w:val="969698"/>
          <w:sz w:val="16"/>
          <w:u w:val="none"/>
        </w:rPr>
        <w:t xml:space="preserve">(i) </w:t>
      </w:r>
      <w:r>
        <w:rPr>
          <w:rFonts w:ascii="Arial" w:eastAsia="Arial" w:hAnsi="Arial" w:cs="Arial"/>
          <w:b w:val="0"/>
          <w:i w:val="0"/>
          <w:color w:val="969698"/>
          <w:sz w:val="16"/>
          <w:u w:val="none"/>
        </w:rPr>
        <w:t xml:space="preserve">reimbursement of medical </w:t>
      </w:r>
      <w:r>
        <w:rPr>
          <w:rFonts w:ascii="Arial" w:eastAsia="Arial" w:hAnsi="Arial" w:cs="Arial"/>
          <w:b w:val="0"/>
          <w:i w:val="0"/>
          <w:color w:val="969698"/>
          <w:sz w:val="16"/>
          <w:u w:val="none"/>
        </w:rPr>
        <w:t>expenses</w:t>
      </w:r>
      <w:r>
        <w:rPr>
          <w:rFonts w:ascii="Arial" w:eastAsia="Arial" w:hAnsi="Arial" w:cs="Arial"/>
          <w:b w:val="0"/>
          <w:i w:val="0"/>
          <w:color w:val="929292"/>
          <w:sz w:val="16"/>
          <w:u w:val="none"/>
        </w:rPr>
        <w:t xml:space="preserve"> (</w:t>
      </w:r>
      <w:r>
        <w:rPr>
          <w:rFonts w:ascii="Arial" w:eastAsia="Arial" w:hAnsi="Arial" w:cs="Arial"/>
          <w:b w:val="0"/>
          <w:i w:val="0"/>
          <w:color w:val="929292"/>
          <w:sz w:val="16"/>
          <w:u w:val="none"/>
        </w:rPr>
        <w:t>$2,727</w:t>
      </w:r>
      <w:r>
        <w:rPr>
          <w:rFonts w:ascii="Arial" w:eastAsia="Arial" w:hAnsi="Arial" w:cs="Arial"/>
          <w:b w:val="0"/>
          <w:i w:val="0"/>
          <w:color w:val="929292"/>
          <w:sz w:val="16"/>
          <w:u w:val="none"/>
        </w:rPr>
        <w:t>)</w:t>
      </w:r>
      <w:r>
        <w:rPr>
          <w:rFonts w:ascii="Arial" w:eastAsia="Arial" w:hAnsi="Arial" w:cs="Arial"/>
          <w:b w:val="0"/>
          <w:i w:val="0"/>
          <w:color w:val="929292"/>
          <w:sz w:val="16"/>
          <w:u w:val="none"/>
        </w:rPr>
        <w:t xml:space="preserve">, (ii) </w:t>
      </w:r>
      <w:r>
        <w:rPr>
          <w:rFonts w:ascii="Arial" w:eastAsia="Arial" w:hAnsi="Arial" w:cs="Arial"/>
          <w:b w:val="0"/>
          <w:i w:val="0"/>
          <w:color w:val="929292"/>
          <w:sz w:val="16"/>
          <w:u w:val="none"/>
        </w:rPr>
        <w:t xml:space="preserve">reimbursement of </w:t>
      </w:r>
      <w:r>
        <w:rPr>
          <w:rFonts w:ascii="Arial" w:eastAsia="Arial" w:hAnsi="Arial" w:cs="Arial"/>
          <w:b w:val="0"/>
          <w:i w:val="0"/>
          <w:color w:val="929292"/>
          <w:sz w:val="16"/>
          <w:u w:val="none"/>
        </w:rPr>
        <w:t>gym memb</w:t>
      </w:r>
      <w:r>
        <w:rPr>
          <w:rFonts w:ascii="Arial" w:eastAsia="Arial" w:hAnsi="Arial" w:cs="Arial"/>
          <w:b w:val="0"/>
          <w:i w:val="0"/>
          <w:color w:val="969698"/>
          <w:sz w:val="16"/>
          <w:u w:val="none"/>
        </w:rPr>
        <w:t>ership (</w:t>
      </w:r>
      <w:r>
        <w:rPr>
          <w:rFonts w:ascii="Arial" w:eastAsia="Arial" w:hAnsi="Arial" w:cs="Arial"/>
          <w:b w:val="0"/>
          <w:i w:val="0"/>
          <w:color w:val="969698"/>
          <w:sz w:val="16"/>
          <w:u w:val="none"/>
        </w:rPr>
        <w:t>$1,266</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(iii) </w:t>
      </w:r>
      <w:r>
        <w:rPr>
          <w:rFonts w:ascii="Arial" w:eastAsia="Arial" w:hAnsi="Arial" w:cs="Arial"/>
          <w:b w:val="0"/>
          <w:i w:val="0"/>
          <w:color w:val="969698"/>
          <w:sz w:val="16"/>
          <w:u w:val="none"/>
        </w:rPr>
        <w:t>reimbursement of home office expens</w:t>
      </w:r>
      <w:r>
        <w:rPr>
          <w:rFonts w:ascii="Arial" w:eastAsia="Arial" w:hAnsi="Arial" w:cs="Arial"/>
          <w:b w:val="0"/>
          <w:i w:val="0"/>
          <w:color w:val="969698"/>
          <w:sz w:val="16"/>
          <w:u w:val="none"/>
        </w:rPr>
        <w:t>es</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$6,258</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a</w:t>
      </w:r>
      <w:r>
        <w:rPr>
          <w:rFonts w:ascii="Arial" w:eastAsia="Arial" w:hAnsi="Arial" w:cs="Arial"/>
          <w:b w:val="0"/>
          <w:i w:val="0"/>
          <w:color w:val="969698"/>
          <w:sz w:val="16"/>
          <w:u w:val="none"/>
        </w:rPr>
        <w:t xml:space="preserve">nd </w:t>
      </w:r>
      <w:r>
        <w:rPr>
          <w:rFonts w:ascii="Arial" w:eastAsia="Arial" w:hAnsi="Arial" w:cs="Arial"/>
          <w:b w:val="0"/>
          <w:i w:val="0"/>
          <w:color w:val="969698"/>
          <w:sz w:val="16"/>
          <w:u w:val="none"/>
        </w:rPr>
        <w:t>(</w:t>
      </w:r>
      <w:r>
        <w:rPr>
          <w:rFonts w:ascii="Arial" w:eastAsia="Arial" w:hAnsi="Arial" w:cs="Arial"/>
          <w:b w:val="0"/>
          <w:i w:val="0"/>
          <w:color w:val="969698"/>
          <w:sz w:val="16"/>
          <w:u w:val="none"/>
        </w:rPr>
        <w:t>i</w:t>
      </w:r>
      <w:r>
        <w:rPr>
          <w:rFonts w:ascii="Arial" w:eastAsia="Arial" w:hAnsi="Arial" w:cs="Arial"/>
          <w:b w:val="0"/>
          <w:i w:val="0"/>
          <w:color w:val="969698"/>
          <w:sz w:val="16"/>
          <w:u w:val="none"/>
        </w:rPr>
        <w:t>v</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accompaniment of immediate family members on certain permitted business private flights at no incremental cost to the Company.</w:t>
      </w:r>
    </w:p>
    <w:p>
      <w:pPr>
        <w:keepNext w:val="0"/>
        <w:keepLines w:val="0"/>
        <w:pageBreakBefore w:val="0"/>
        <w:widowControl/>
        <w:numPr>
          <w:ilvl w:val="0"/>
          <w:numId w:val="313"/>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Mr. Kirk was appointed to the position of Chief Fin</w:t>
      </w:r>
      <w:r>
        <w:rPr>
          <w:rFonts w:ascii="Arial" w:eastAsia="Arial" w:hAnsi="Arial" w:cs="Arial"/>
          <w:b w:val="0"/>
          <w:i w:val="0"/>
          <w:color w:val="969698"/>
          <w:sz w:val="16"/>
          <w:u w:val="none"/>
        </w:rPr>
        <w:t xml:space="preserve">ancial Officer, effective as of March </w:t>
      </w:r>
      <w:r>
        <w:rPr>
          <w:rFonts w:ascii="Arial" w:eastAsia="Arial" w:hAnsi="Arial" w:cs="Arial"/>
          <w:b w:val="0"/>
          <w:i w:val="0"/>
          <w:color w:val="969698"/>
          <w:sz w:val="16"/>
          <w:u w:val="none"/>
        </w:rPr>
        <w:t>2</w:t>
      </w:r>
      <w:r>
        <w:rPr>
          <w:rFonts w:ascii="Arial" w:eastAsia="Arial" w:hAnsi="Arial" w:cs="Arial"/>
          <w:b w:val="0"/>
          <w:i w:val="0"/>
          <w:color w:val="969698"/>
          <w:sz w:val="16"/>
          <w:u w:val="none"/>
        </w:rPr>
        <w:t>, 2023.</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All Other Compensation for </w:t>
      </w:r>
      <w:r>
        <w:rPr>
          <w:rFonts w:ascii="Arial" w:eastAsia="Arial" w:hAnsi="Arial" w:cs="Arial"/>
          <w:b w:val="0"/>
          <w:i w:val="0"/>
          <w:color w:val="969698"/>
          <w:sz w:val="16"/>
          <w:u w:val="none"/>
        </w:rPr>
        <w:t>2023</w:t>
      </w:r>
      <w:r>
        <w:rPr>
          <w:rFonts w:ascii="Arial" w:eastAsia="Arial" w:hAnsi="Arial" w:cs="Arial"/>
          <w:b w:val="0"/>
          <w:i w:val="0"/>
          <w:color w:val="969698"/>
          <w:sz w:val="16"/>
          <w:u w:val="none"/>
        </w:rPr>
        <w:t xml:space="preserve"> represents a Company matching contribution under our 401(k) plan (</w:t>
      </w:r>
      <w:r>
        <w:rPr>
          <w:rFonts w:ascii="Arial" w:eastAsia="Arial" w:hAnsi="Arial" w:cs="Arial"/>
          <w:b w:val="0"/>
          <w:i w:val="0"/>
          <w:color w:val="969698"/>
          <w:sz w:val="16"/>
          <w:u w:val="none"/>
        </w:rPr>
        <w:t>$16,754</w:t>
      </w:r>
      <w:r>
        <w:rPr>
          <w:rFonts w:ascii="Arial" w:eastAsia="Arial" w:hAnsi="Arial" w:cs="Arial"/>
          <w:b w:val="0"/>
          <w:i w:val="0"/>
          <w:color w:val="969698"/>
          <w:sz w:val="16"/>
          <w:u w:val="none"/>
        </w:rPr>
        <w:t>). This Company matching contribution under our 401(k) plan is offered to all of our U.S.-based employees.</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M</w:t>
      </w:r>
      <w:r>
        <w:rPr>
          <w:rFonts w:ascii="Arial" w:eastAsia="Arial" w:hAnsi="Arial" w:cs="Arial"/>
          <w:b w:val="0"/>
          <w:i w:val="0"/>
          <w:color w:val="969698"/>
          <w:sz w:val="16"/>
          <w:u w:val="none"/>
        </w:rPr>
        <w:t>r. Kirk was not a</w:t>
      </w:r>
      <w:r>
        <w:rPr>
          <w:rFonts w:ascii="Arial" w:eastAsia="Arial" w:hAnsi="Arial" w:cs="Arial"/>
          <w:b w:val="0"/>
          <w:i w:val="0"/>
          <w:color w:val="969698"/>
          <w:sz w:val="16"/>
          <w:u w:val="none"/>
        </w:rPr>
        <w:t xml:space="preserve"> named</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executive officer in </w:t>
      </w:r>
      <w:r>
        <w:rPr>
          <w:rFonts w:ascii="Arial" w:eastAsia="Arial" w:hAnsi="Arial" w:cs="Arial"/>
          <w:b w:val="0"/>
          <w:i w:val="0"/>
          <w:color w:val="969698"/>
          <w:sz w:val="16"/>
          <w:u w:val="none"/>
        </w:rPr>
        <w:t xml:space="preserve">2022 or </w:t>
      </w:r>
      <w:r>
        <w:rPr>
          <w:rFonts w:ascii="Arial" w:eastAsia="Arial" w:hAnsi="Arial" w:cs="Arial"/>
          <w:b w:val="0"/>
          <w:i w:val="0"/>
          <w:color w:val="969698"/>
          <w:sz w:val="16"/>
          <w:u w:val="none"/>
        </w:rPr>
        <w:t>2021</w:t>
      </w:r>
      <w:r>
        <w:rPr>
          <w:rFonts w:ascii="Arial" w:eastAsia="Arial" w:hAnsi="Arial" w:cs="Arial"/>
          <w:b w:val="0"/>
          <w:i w:val="0"/>
          <w:color w:val="969698"/>
          <w:sz w:val="16"/>
          <w:u w:val="none"/>
        </w:rPr>
        <w:t xml:space="preserve">; as such, only his compensation for </w:t>
      </w:r>
      <w:r>
        <w:rPr>
          <w:rFonts w:ascii="Arial" w:eastAsia="Arial" w:hAnsi="Arial" w:cs="Arial"/>
          <w:b w:val="0"/>
          <w:i w:val="0"/>
          <w:color w:val="969698"/>
          <w:sz w:val="16"/>
          <w:u w:val="none"/>
        </w:rPr>
        <w:t>202</w:t>
      </w:r>
      <w:r>
        <w:rPr>
          <w:rFonts w:ascii="Arial" w:eastAsia="Arial" w:hAnsi="Arial" w:cs="Arial"/>
          <w:b w:val="0"/>
          <w:i w:val="0"/>
          <w:color w:val="969698"/>
          <w:sz w:val="16"/>
          <w:u w:val="none"/>
        </w:rPr>
        <w:t>3</w:t>
      </w:r>
      <w:r>
        <w:rPr>
          <w:rFonts w:ascii="Arial" w:eastAsia="Arial" w:hAnsi="Arial" w:cs="Arial"/>
          <w:b w:val="0"/>
          <w:i w:val="0"/>
          <w:color w:val="969698"/>
          <w:sz w:val="16"/>
          <w:u w:val="none"/>
        </w:rPr>
        <w:t xml:space="preserve"> is r</w:t>
      </w:r>
      <w:r>
        <w:rPr>
          <w:rFonts w:ascii="Arial" w:eastAsia="Arial" w:hAnsi="Arial" w:cs="Arial"/>
          <w:b w:val="0"/>
          <w:i w:val="0"/>
          <w:color w:val="969698"/>
          <w:sz w:val="16"/>
          <w:u w:val="none"/>
        </w:rPr>
        <w:t xml:space="preserve">eported. </w:t>
      </w:r>
    </w:p>
    <w:p>
      <w:pPr>
        <w:keepNext w:val="0"/>
        <w:keepLines w:val="0"/>
        <w:pageBreakBefore w:val="0"/>
        <w:widowControl/>
        <w:numPr>
          <w:ilvl w:val="0"/>
          <w:numId w:val="313"/>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Ms. Gregory served as our</w:t>
      </w:r>
      <w:r>
        <w:rPr>
          <w:rFonts w:ascii="Arial" w:eastAsia="Arial" w:hAnsi="Arial" w:cs="Arial"/>
          <w:b w:val="0"/>
          <w:i w:val="0"/>
          <w:color w:val="969698"/>
          <w:sz w:val="16"/>
          <w:u w:val="none"/>
        </w:rPr>
        <w:t xml:space="preserve"> Chief Financial Offi</w:t>
      </w:r>
      <w:r>
        <w:rPr>
          <w:rFonts w:ascii="Arial" w:eastAsia="Arial" w:hAnsi="Arial" w:cs="Arial"/>
          <w:b w:val="0"/>
          <w:i w:val="0"/>
          <w:color w:val="969698"/>
          <w:sz w:val="16"/>
          <w:u w:val="none"/>
        </w:rPr>
        <w:t>cer until</w:t>
      </w:r>
      <w:r>
        <w:rPr>
          <w:rFonts w:ascii="Arial" w:eastAsia="Arial" w:hAnsi="Arial" w:cs="Arial"/>
          <w:b w:val="0"/>
          <w:i w:val="0"/>
          <w:color w:val="969698"/>
          <w:sz w:val="16"/>
          <w:u w:val="none"/>
        </w:rPr>
        <w:t xml:space="preserve"> March </w:t>
      </w:r>
      <w:r>
        <w:rPr>
          <w:rFonts w:ascii="Arial" w:eastAsia="Arial" w:hAnsi="Arial" w:cs="Arial"/>
          <w:b w:val="0"/>
          <w:i w:val="0"/>
          <w:color w:val="969698"/>
          <w:sz w:val="16"/>
          <w:u w:val="none"/>
        </w:rPr>
        <w:t>2</w:t>
      </w:r>
      <w:r>
        <w:rPr>
          <w:rFonts w:ascii="Arial" w:eastAsia="Arial" w:hAnsi="Arial" w:cs="Arial"/>
          <w:b w:val="0"/>
          <w:i w:val="0"/>
          <w:color w:val="969698"/>
          <w:sz w:val="16"/>
          <w:u w:val="none"/>
        </w:rPr>
        <w:t>, 2023,</w:t>
      </w:r>
      <w:r>
        <w:rPr>
          <w:rFonts w:ascii="Arial" w:eastAsia="Arial" w:hAnsi="Arial" w:cs="Arial"/>
          <w:b w:val="0"/>
          <w:i w:val="0"/>
          <w:color w:val="969698"/>
          <w:sz w:val="16"/>
          <w:u w:val="none"/>
        </w:rPr>
        <w:t xml:space="preserve"> when </w:t>
      </w:r>
      <w:r>
        <w:rPr>
          <w:rFonts w:ascii="Arial" w:eastAsia="Arial" w:hAnsi="Arial" w:cs="Arial"/>
          <w:b w:val="0"/>
          <w:i w:val="0"/>
          <w:color w:val="969698"/>
          <w:sz w:val="16"/>
          <w:u w:val="none"/>
        </w:rPr>
        <w:t>Ms. Gregory was appointed as President</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F</w:t>
      </w:r>
      <w:r>
        <w:rPr>
          <w:rFonts w:ascii="Arial" w:eastAsia="Arial" w:hAnsi="Arial" w:cs="Arial"/>
          <w:b w:val="0"/>
          <w:i w:val="0"/>
          <w:color w:val="969698"/>
          <w:sz w:val="16"/>
          <w:u w:val="none"/>
        </w:rPr>
        <w:t xml:space="preserve">ollowing </w:t>
      </w:r>
      <w:r>
        <w:rPr>
          <w:rFonts w:ascii="Arial" w:eastAsia="Arial" w:hAnsi="Arial" w:cs="Arial"/>
          <w:b w:val="0"/>
          <w:i w:val="0"/>
          <w:color w:val="969698"/>
          <w:sz w:val="16"/>
          <w:u w:val="none"/>
        </w:rPr>
        <w:t xml:space="preserve">her </w:t>
      </w:r>
      <w:r>
        <w:rPr>
          <w:rFonts w:ascii="Arial" w:eastAsia="Arial" w:hAnsi="Arial" w:cs="Arial"/>
          <w:b w:val="0"/>
          <w:i w:val="0"/>
          <w:color w:val="969698"/>
          <w:sz w:val="16"/>
          <w:u w:val="none"/>
        </w:rPr>
        <w:t xml:space="preserve">appointment </w:t>
      </w:r>
      <w:r>
        <w:rPr>
          <w:rFonts w:ascii="Arial" w:eastAsia="Arial" w:hAnsi="Arial" w:cs="Arial"/>
          <w:b w:val="0"/>
          <w:i w:val="0"/>
          <w:color w:val="969698"/>
          <w:sz w:val="16"/>
          <w:u w:val="none"/>
        </w:rPr>
        <w:t xml:space="preserve">as President, Ms. Gregory </w:t>
      </w:r>
      <w:r>
        <w:rPr>
          <w:rFonts w:ascii="Arial" w:eastAsia="Arial" w:hAnsi="Arial" w:cs="Arial"/>
          <w:b w:val="0"/>
          <w:i w:val="0"/>
          <w:color w:val="969698"/>
          <w:sz w:val="16"/>
          <w:u w:val="none"/>
        </w:rPr>
        <w:t xml:space="preserve">no longer serves as the Company's Chief Financial Officer. All Other Compensation for </w:t>
      </w:r>
      <w:r>
        <w:rPr>
          <w:rFonts w:ascii="Arial" w:eastAsia="Arial" w:hAnsi="Arial" w:cs="Arial"/>
          <w:b w:val="0"/>
          <w:i w:val="0"/>
          <w:color w:val="969698"/>
          <w:sz w:val="16"/>
          <w:u w:val="none"/>
        </w:rPr>
        <w:t>2023</w:t>
      </w:r>
      <w:r>
        <w:rPr>
          <w:rFonts w:ascii="Arial" w:eastAsia="Arial" w:hAnsi="Arial" w:cs="Arial"/>
          <w:b w:val="0"/>
          <w:i w:val="0"/>
          <w:color w:val="969698"/>
          <w:sz w:val="16"/>
          <w:u w:val="none"/>
        </w:rPr>
        <w:t xml:space="preserve"> represents: (i) cash payment in respect of retirement benefit contribution (</w:t>
      </w:r>
      <w:r>
        <w:rPr>
          <w:rFonts w:ascii="Arial" w:eastAsia="Arial" w:hAnsi="Arial" w:cs="Arial"/>
          <w:b w:val="0"/>
          <w:i w:val="0"/>
          <w:color w:val="969698"/>
          <w:sz w:val="16"/>
          <w:u w:val="none"/>
        </w:rPr>
        <w:t>$135,000</w:t>
      </w:r>
      <w:r>
        <w:rPr>
          <w:rFonts w:ascii="Arial" w:eastAsia="Arial" w:hAnsi="Arial" w:cs="Arial"/>
          <w:b w:val="0"/>
          <w:i w:val="0"/>
          <w:color w:val="969698"/>
          <w:sz w:val="16"/>
          <w:u w:val="none"/>
        </w:rPr>
        <w:t>) and (ii) payment of Ms. Gregory’s share of Bermudian payroll and social insurance tax (</w:t>
      </w:r>
      <w:r>
        <w:rPr>
          <w:rFonts w:ascii="Arial" w:eastAsia="Arial" w:hAnsi="Arial" w:cs="Arial"/>
          <w:b w:val="0"/>
          <w:i w:val="0"/>
          <w:color w:val="969698"/>
          <w:sz w:val="16"/>
          <w:u w:val="none"/>
        </w:rPr>
        <w:t>$218,316</w:t>
      </w:r>
      <w:r>
        <w:rPr>
          <w:rFonts w:ascii="Arial" w:eastAsia="Arial" w:hAnsi="Arial" w:cs="Arial"/>
          <w:b w:val="0"/>
          <w:i w:val="0"/>
          <w:color w:val="969698"/>
          <w:sz w:val="16"/>
          <w:u w:val="none"/>
        </w:rPr>
        <w:t>). Both the retirement benefit contribution and the payroll and social insurance tax payment are payments we provide to all of our Bermuda-based employees.</w:t>
      </w:r>
    </w:p>
    <w:p>
      <w:pPr>
        <w:keepNext w:val="0"/>
        <w:keepLines w:val="0"/>
        <w:pageBreakBefore w:val="0"/>
        <w:widowControl/>
        <w:numPr>
          <w:ilvl w:val="0"/>
          <w:numId w:val="313"/>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All Other Compensation for </w:t>
      </w:r>
      <w:r>
        <w:rPr>
          <w:rFonts w:ascii="Arial" w:eastAsia="Arial" w:hAnsi="Arial" w:cs="Arial"/>
          <w:b w:val="0"/>
          <w:i w:val="0"/>
          <w:color w:val="969698"/>
          <w:sz w:val="16"/>
          <w:u w:val="none"/>
        </w:rPr>
        <w:t>2023</w:t>
      </w:r>
      <w:r>
        <w:rPr>
          <w:rFonts w:ascii="Arial" w:eastAsia="Arial" w:hAnsi="Arial" w:cs="Arial"/>
          <w:b w:val="0"/>
          <w:i w:val="0"/>
          <w:color w:val="969698"/>
          <w:sz w:val="16"/>
          <w:u w:val="none"/>
        </w:rPr>
        <w:t xml:space="preserve"> represents a Company matching contribution under our 401(k) plan (</w:t>
      </w:r>
      <w:r>
        <w:rPr>
          <w:rFonts w:ascii="Arial" w:eastAsia="Arial" w:hAnsi="Arial" w:cs="Arial"/>
          <w:b w:val="0"/>
          <w:i w:val="0"/>
          <w:color w:val="969698"/>
          <w:sz w:val="16"/>
          <w:u w:val="none"/>
        </w:rPr>
        <w:t>$19,800</w:t>
      </w:r>
      <w:r>
        <w:rPr>
          <w:rFonts w:ascii="Arial" w:eastAsia="Arial" w:hAnsi="Arial" w:cs="Arial"/>
          <w:b w:val="0"/>
          <w:i w:val="0"/>
          <w:color w:val="969698"/>
          <w:sz w:val="16"/>
          <w:u w:val="none"/>
        </w:rPr>
        <w:t>). This Company matching contribution under our 401(k) plan is offered to all of our U.S.-based employees. Mr. Ni was not a</w:t>
      </w:r>
      <w:r>
        <w:rPr>
          <w:rFonts w:ascii="Arial" w:eastAsia="Arial" w:hAnsi="Arial" w:cs="Arial"/>
          <w:b w:val="0"/>
          <w:i w:val="0"/>
          <w:color w:val="969698"/>
          <w:sz w:val="16"/>
          <w:u w:val="none"/>
        </w:rPr>
        <w:t xml:space="preserve"> named</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executive officer in</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2021; as such, only his compensation for 2022</w:t>
      </w:r>
      <w:r>
        <w:rPr>
          <w:rFonts w:ascii="Arial" w:eastAsia="Arial" w:hAnsi="Arial" w:cs="Arial"/>
          <w:b w:val="0"/>
          <w:i w:val="0"/>
          <w:color w:val="969698"/>
          <w:sz w:val="16"/>
          <w:u w:val="none"/>
        </w:rPr>
        <w:t xml:space="preserve"> and 2023</w:t>
      </w:r>
      <w:r>
        <w:rPr>
          <w:rFonts w:ascii="Arial" w:eastAsia="Arial" w:hAnsi="Arial" w:cs="Arial"/>
          <w:b w:val="0"/>
          <w:i w:val="0"/>
          <w:color w:val="969698"/>
          <w:sz w:val="16"/>
          <w:u w:val="none"/>
        </w:rPr>
        <w:t xml:space="preserve"> is reported. </w:t>
      </w:r>
    </w:p>
    <w:p>
      <w:pPr>
        <w:keepNext w:val="0"/>
        <w:keepLines w:val="0"/>
        <w:pageBreakBefore w:val="0"/>
        <w:widowControl/>
        <w:numPr>
          <w:ilvl w:val="0"/>
          <w:numId w:val="313"/>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All Other Compensation for </w:t>
      </w:r>
      <w:r>
        <w:rPr>
          <w:rFonts w:ascii="Arial" w:eastAsia="Arial" w:hAnsi="Arial" w:cs="Arial"/>
          <w:b w:val="0"/>
          <w:i w:val="0"/>
          <w:color w:val="969698"/>
          <w:sz w:val="16"/>
          <w:u w:val="none"/>
        </w:rPr>
        <w:t>2023</w:t>
      </w:r>
      <w:r>
        <w:rPr>
          <w:rFonts w:ascii="Arial" w:eastAsia="Arial" w:hAnsi="Arial" w:cs="Arial"/>
          <w:b w:val="0"/>
          <w:i w:val="0"/>
          <w:color w:val="969698"/>
          <w:sz w:val="16"/>
          <w:u w:val="none"/>
        </w:rPr>
        <w:t xml:space="preserve"> represents a Company matching contribution under our 401(k) plan (</w:t>
      </w:r>
      <w:r>
        <w:rPr>
          <w:rFonts w:ascii="Arial" w:eastAsia="Arial" w:hAnsi="Arial" w:cs="Arial"/>
          <w:b w:val="0"/>
          <w:i w:val="0"/>
          <w:color w:val="969698"/>
          <w:sz w:val="16"/>
          <w:u w:val="none"/>
        </w:rPr>
        <w:t>$19,800</w:t>
      </w:r>
      <w:r>
        <w:rPr>
          <w:rFonts w:ascii="Arial" w:eastAsia="Arial" w:hAnsi="Arial" w:cs="Arial"/>
          <w:b w:val="0"/>
          <w:i w:val="0"/>
          <w:color w:val="969698"/>
          <w:sz w:val="16"/>
          <w:u w:val="none"/>
        </w:rPr>
        <w:t>). This Company matching contribution under our 401(k) plan is offered to all of our U.S.-based employees.</w:t>
      </w:r>
    </w:p>
    <w:p>
      <w:pPr>
        <w:keepNext w:val="0"/>
        <w:keepLines w:val="0"/>
        <w:pageBreakBefore w:val="0"/>
        <w:widowControl/>
        <w:numPr>
          <w:ilvl w:val="0"/>
          <w:numId w:val="313"/>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All Other Compensation for </w:t>
      </w:r>
      <w:r>
        <w:rPr>
          <w:rFonts w:ascii="Arial" w:eastAsia="Arial" w:hAnsi="Arial" w:cs="Arial"/>
          <w:b w:val="0"/>
          <w:i w:val="0"/>
          <w:color w:val="969698"/>
          <w:sz w:val="16"/>
          <w:u w:val="none"/>
        </w:rPr>
        <w:t>2023</w:t>
      </w:r>
      <w:r>
        <w:rPr>
          <w:rFonts w:ascii="Arial" w:eastAsia="Arial" w:hAnsi="Arial" w:cs="Arial"/>
          <w:b w:val="0"/>
          <w:i w:val="0"/>
          <w:color w:val="969698"/>
          <w:sz w:val="16"/>
          <w:u w:val="none"/>
        </w:rPr>
        <w:t xml:space="preserve"> represents a Company matching contribution under our 401(k) plan (</w:t>
      </w:r>
      <w:r>
        <w:rPr>
          <w:rFonts w:ascii="Arial" w:eastAsia="Arial" w:hAnsi="Arial" w:cs="Arial"/>
          <w:b w:val="0"/>
          <w:i w:val="0"/>
          <w:color w:val="969698"/>
          <w:sz w:val="16"/>
          <w:u w:val="none"/>
        </w:rPr>
        <w:t>$19,800</w:t>
      </w:r>
      <w:r>
        <w:rPr>
          <w:rFonts w:ascii="Arial" w:eastAsia="Arial" w:hAnsi="Arial" w:cs="Arial"/>
          <w:b w:val="0"/>
          <w:i w:val="0"/>
          <w:color w:val="969698"/>
          <w:sz w:val="16"/>
          <w:u w:val="none"/>
        </w:rPr>
        <w:t>). This Company matching contribution under our 401(k) plan is offered to all of our U.S.-based employees.</w:t>
      </w: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rPr>
      </w:pP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rPr>
        <w:sectPr>
          <w:headerReference w:type="default" r:id="rId283"/>
          <w:footerReference w:type="default" r:id="rId284"/>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103" w:name="Section106"/>
      <w:bookmarkEnd w:id="103"/>
    </w:p>
    <w:p>
      <w:pPr>
        <w:keepNext w:val="0"/>
        <w:keepLines w:val="0"/>
        <w:pageBreakBefore w:val="0"/>
        <w:widowControl/>
        <w:numPr>
          <w:ilvl w:val="0"/>
          <w:numId w:val="0"/>
        </w:numPr>
        <w:spacing w:before="0" w:after="60" w:line="288" w:lineRule="auto"/>
        <w:ind w:left="450" w:right="0" w:hanging="18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 xml:space="preserve">Grants of Plan-Based Awards in </w:t>
      </w:r>
      <w:r>
        <w:rPr>
          <w:rFonts w:ascii="Arial" w:eastAsia="Arial" w:hAnsi="Arial" w:cs="Arial"/>
          <w:b/>
          <w:i w:val="0"/>
          <w:color w:val="171449"/>
          <w:sz w:val="24"/>
          <w:u w:val="none"/>
        </w:rPr>
        <w:t>2023</w:t>
      </w: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875"/>
        <w:gridCol w:w="585"/>
        <w:gridCol w:w="765"/>
        <w:gridCol w:w="735"/>
        <w:gridCol w:w="885"/>
        <w:gridCol w:w="795"/>
        <w:gridCol w:w="885"/>
        <w:gridCol w:w="945"/>
        <w:gridCol w:w="615"/>
        <w:gridCol w:w="855"/>
        <w:gridCol w:w="765"/>
        <w:gridCol w:w="825"/>
      </w:tblGrid>
      <w:tr>
        <w:tblPrEx>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245"/>
          <w:jc w:val="center"/>
        </w:trPr>
        <w:tc>
          <w:tcPr>
            <w:tcW w:w="187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ind w:left="90"/>
              <w:jc w:val="left"/>
            </w:pPr>
            <w:r>
              <w:rPr>
                <w:rFonts w:ascii="Arial" w:eastAsia="Arial" w:hAnsi="Arial" w:cs="Arial"/>
                <w:b/>
                <w:i w:val="0"/>
                <w:color w:val="FFFFFF"/>
                <w:sz w:val="14"/>
                <w:u w:val="none"/>
              </w:rPr>
              <w:t>Name</w:t>
            </w:r>
          </w:p>
        </w:tc>
        <w:tc>
          <w:tcPr>
            <w:tcW w:w="58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jc w:val="center"/>
            </w:pPr>
            <w:r>
              <w:rPr>
                <w:rFonts w:ascii="Arial" w:eastAsia="Arial" w:hAnsi="Arial" w:cs="Arial"/>
                <w:b/>
                <w:i w:val="0"/>
                <w:color w:val="FFFFFF"/>
                <w:sz w:val="14"/>
                <w:u w:val="none"/>
              </w:rPr>
              <w:t>Award Type</w:t>
            </w:r>
          </w:p>
        </w:tc>
        <w:tc>
          <w:tcPr>
            <w:tcW w:w="76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jc w:val="center"/>
            </w:pPr>
            <w:r>
              <w:rPr>
                <w:rFonts w:ascii="Arial" w:eastAsia="Arial" w:hAnsi="Arial" w:cs="Arial"/>
                <w:b/>
                <w:i w:val="0"/>
                <w:color w:val="FFFFFF"/>
                <w:sz w:val="14"/>
                <w:u w:val="none"/>
              </w:rPr>
              <w:t>Approval Date</w:t>
            </w:r>
          </w:p>
        </w:tc>
        <w:tc>
          <w:tcPr>
            <w:tcW w:w="73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jc w:val="center"/>
            </w:pPr>
            <w:r>
              <w:rPr>
                <w:rFonts w:ascii="Arial" w:eastAsia="Arial" w:hAnsi="Arial" w:cs="Arial"/>
                <w:b/>
                <w:i w:val="0"/>
                <w:color w:val="FFFFFF"/>
                <w:sz w:val="14"/>
                <w:u w:val="none"/>
              </w:rPr>
              <w:t>Grant Date</w:t>
            </w:r>
          </w:p>
        </w:tc>
        <w:tc>
          <w:tcPr>
            <w:tcW w:w="2565" w:type="dxa"/>
            <w:gridSpan w:val="3"/>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0" w:line="288" w:lineRule="auto"/>
              <w:ind w:left="0" w:right="0" w:firstLine="0"/>
              <w:jc w:val="center"/>
              <w:outlineLvl w:val="9"/>
              <w:rPr>
                <w:rFonts w:ascii="Arial" w:eastAsia="Arial" w:hAnsi="Arial" w:cs="Arial"/>
                <w:b/>
                <w:i w:val="0"/>
                <w:color w:val="FFFFFF"/>
                <w:sz w:val="14"/>
                <w:u w:val="none"/>
              </w:rPr>
            </w:pPr>
            <w:r>
              <w:rPr>
                <w:rFonts w:ascii="Arial" w:eastAsia="Arial" w:hAnsi="Arial" w:cs="Arial"/>
                <w:b/>
                <w:i w:val="0"/>
                <w:color w:val="FFFFFF"/>
                <w:sz w:val="14"/>
                <w:u w:val="none"/>
              </w:rPr>
              <w:t xml:space="preserve">Estimated Possible </w:t>
            </w:r>
          </w:p>
          <w:p>
            <w:pPr>
              <w:pageBreakBefore w:val="0"/>
              <w:numPr>
                <w:ilvl w:val="0"/>
                <w:numId w:val="0"/>
              </w:numPr>
              <w:spacing w:before="0" w:after="0" w:line="288" w:lineRule="auto"/>
              <w:ind w:left="0" w:right="0" w:firstLine="0"/>
              <w:jc w:val="center"/>
              <w:outlineLvl w:val="9"/>
              <w:rPr>
                <w:rFonts w:ascii="Arial" w:eastAsia="Arial" w:hAnsi="Arial" w:cs="Arial"/>
                <w:b/>
                <w:i w:val="0"/>
                <w:color w:val="FFFFFF"/>
                <w:sz w:val="14"/>
                <w:u w:val="none"/>
              </w:rPr>
            </w:pPr>
            <w:r>
              <w:rPr>
                <w:rFonts w:ascii="Arial" w:eastAsia="Arial" w:hAnsi="Arial" w:cs="Arial"/>
                <w:b/>
                <w:i w:val="0"/>
                <w:color w:val="FFFFFF"/>
                <w:sz w:val="14"/>
                <w:u w:val="none"/>
              </w:rPr>
              <w:t>Payouts Under Non-Equity</w:t>
            </w:r>
          </w:p>
          <w:p>
            <w:pPr>
              <w:pageBreakBefore w:val="0"/>
              <w:numPr>
                <w:ilvl w:val="0"/>
                <w:numId w:val="0"/>
              </w:numPr>
              <w:spacing w:before="0" w:after="30" w:line="288" w:lineRule="auto"/>
              <w:ind w:left="0" w:right="0" w:firstLine="0"/>
              <w:jc w:val="center"/>
              <w:outlineLvl w:val="9"/>
              <w:rPr>
                <w:rFonts w:ascii="Arial" w:eastAsia="Arial" w:hAnsi="Arial" w:cs="Arial"/>
                <w:b/>
                <w:i w:val="0"/>
                <w:color w:val="FFFFFF"/>
                <w:sz w:val="14"/>
                <w:u w:val="none"/>
              </w:rPr>
            </w:pPr>
            <w:r>
              <w:rPr>
                <w:rFonts w:ascii="Arial" w:eastAsia="Arial" w:hAnsi="Arial" w:cs="Arial"/>
                <w:b/>
                <w:i w:val="0"/>
                <w:color w:val="FFFFFF"/>
                <w:sz w:val="14"/>
                <w:u w:val="none"/>
              </w:rPr>
              <w:t xml:space="preserve"> Incentive Plan Awards</w:t>
            </w:r>
            <w:r>
              <w:rPr>
                <w:rFonts w:ascii="Arial" w:eastAsia="Arial" w:hAnsi="Arial" w:cs="Arial"/>
                <w:b/>
                <w:i w:val="0"/>
                <w:color w:val="FFFFFF"/>
                <w:sz w:val="14"/>
                <w:u w:val="none"/>
                <w:vertAlign w:val="superscript"/>
              </w:rPr>
              <w:t>(1)</w:t>
            </w:r>
          </w:p>
        </w:tc>
        <w:tc>
          <w:tcPr>
            <w:tcW w:w="2415" w:type="dxa"/>
            <w:gridSpan w:val="3"/>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0" w:line="288" w:lineRule="auto"/>
              <w:ind w:left="0" w:right="0" w:firstLine="0"/>
              <w:jc w:val="center"/>
              <w:outlineLvl w:val="9"/>
              <w:rPr>
                <w:rFonts w:ascii="Arial" w:eastAsia="Arial" w:hAnsi="Arial" w:cs="Arial"/>
                <w:b/>
                <w:i w:val="0"/>
                <w:color w:val="FFFFFF"/>
                <w:sz w:val="14"/>
                <w:u w:val="none"/>
              </w:rPr>
            </w:pPr>
            <w:r>
              <w:rPr>
                <w:rFonts w:ascii="Arial" w:eastAsia="Arial" w:hAnsi="Arial" w:cs="Arial"/>
                <w:b/>
                <w:i w:val="0"/>
                <w:color w:val="FFFFFF"/>
                <w:sz w:val="14"/>
                <w:u w:val="none"/>
              </w:rPr>
              <w:t xml:space="preserve">Estimated Future </w:t>
            </w:r>
          </w:p>
          <w:p>
            <w:pPr>
              <w:pageBreakBefore w:val="0"/>
              <w:numPr>
                <w:ilvl w:val="0"/>
                <w:numId w:val="0"/>
              </w:numPr>
              <w:spacing w:before="0" w:after="0" w:line="288" w:lineRule="auto"/>
              <w:ind w:left="0" w:right="0" w:firstLine="0"/>
              <w:jc w:val="center"/>
              <w:outlineLvl w:val="9"/>
              <w:rPr>
                <w:rFonts w:ascii="Arial" w:eastAsia="Arial" w:hAnsi="Arial" w:cs="Arial"/>
                <w:b/>
                <w:i w:val="0"/>
                <w:color w:val="FFFFFF"/>
                <w:sz w:val="14"/>
                <w:u w:val="none"/>
              </w:rPr>
            </w:pPr>
            <w:r>
              <w:rPr>
                <w:rFonts w:ascii="Arial" w:eastAsia="Arial" w:hAnsi="Arial" w:cs="Arial"/>
                <w:b/>
                <w:i w:val="0"/>
                <w:color w:val="FFFFFF"/>
                <w:sz w:val="14"/>
                <w:u w:val="none"/>
              </w:rPr>
              <w:t xml:space="preserve">Payouts Under Equity </w:t>
            </w:r>
          </w:p>
          <w:p>
            <w:pPr>
              <w:pageBreakBefore w:val="0"/>
              <w:numPr>
                <w:ilvl w:val="0"/>
                <w:numId w:val="0"/>
              </w:numPr>
              <w:spacing w:before="0" w:after="30" w:line="288" w:lineRule="auto"/>
              <w:ind w:left="0" w:right="0" w:firstLine="0"/>
              <w:jc w:val="center"/>
              <w:outlineLvl w:val="9"/>
              <w:rPr>
                <w:rFonts w:ascii="Arial" w:eastAsia="Arial" w:hAnsi="Arial" w:cs="Arial"/>
                <w:b/>
                <w:i w:val="0"/>
                <w:color w:val="FFFFFF"/>
                <w:sz w:val="14"/>
                <w:u w:val="none"/>
              </w:rPr>
            </w:pPr>
            <w:r>
              <w:rPr>
                <w:rFonts w:ascii="Arial" w:eastAsia="Arial" w:hAnsi="Arial" w:cs="Arial"/>
                <w:b/>
                <w:i w:val="0"/>
                <w:color w:val="FFFFFF"/>
                <w:sz w:val="14"/>
                <w:u w:val="none"/>
              </w:rPr>
              <w:t>Incentive Plan Awards</w:t>
            </w:r>
            <w:r>
              <w:rPr>
                <w:rFonts w:ascii="Arial" w:eastAsia="Arial" w:hAnsi="Arial" w:cs="Arial"/>
                <w:b/>
                <w:i w:val="0"/>
                <w:color w:val="FFFFFF"/>
                <w:sz w:val="14"/>
                <w:u w:val="none"/>
                <w:vertAlign w:val="superscript"/>
              </w:rPr>
              <w:t>(2)</w:t>
            </w:r>
          </w:p>
        </w:tc>
        <w:tc>
          <w:tcPr>
            <w:tcW w:w="76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30" w:line="288" w:lineRule="auto"/>
              <w:ind w:left="0" w:right="0" w:firstLine="0"/>
              <w:jc w:val="right"/>
              <w:outlineLvl w:val="9"/>
              <w:rPr>
                <w:rFonts w:ascii="Arial" w:eastAsia="Arial" w:hAnsi="Arial" w:cs="Arial"/>
                <w:b/>
                <w:i w:val="0"/>
                <w:color w:val="FFFFFF"/>
                <w:sz w:val="14"/>
                <w:u w:val="none"/>
              </w:rPr>
            </w:pPr>
            <w:r>
              <w:rPr>
                <w:rFonts w:ascii="Arial" w:eastAsia="Arial" w:hAnsi="Arial" w:cs="Arial"/>
                <w:b/>
                <w:i w:val="0"/>
                <w:color w:val="FFFFFF"/>
                <w:sz w:val="14"/>
                <w:u w:val="none"/>
              </w:rPr>
              <w:t>All Other Stock Awards: Number of Shares of Stock or Units</w:t>
            </w:r>
            <w:r>
              <w:rPr>
                <w:rFonts w:ascii="Arial" w:eastAsia="Arial" w:hAnsi="Arial" w:cs="Arial"/>
                <w:b/>
                <w:i w:val="0"/>
                <w:color w:val="FFFFFF"/>
                <w:sz w:val="14"/>
                <w:u w:val="none"/>
                <w:vertAlign w:val="superscript"/>
              </w:rPr>
              <w:t>(3)</w:t>
            </w:r>
          </w:p>
        </w:tc>
        <w:tc>
          <w:tcPr>
            <w:tcW w:w="82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30" w:line="288" w:lineRule="auto"/>
              <w:ind w:left="0" w:right="0" w:firstLine="0"/>
              <w:jc w:val="right"/>
              <w:outlineLvl w:val="9"/>
              <w:rPr>
                <w:rFonts w:ascii="Arial" w:eastAsia="Arial" w:hAnsi="Arial" w:cs="Arial"/>
                <w:b/>
                <w:i w:val="0"/>
                <w:color w:val="FFFFFF"/>
                <w:sz w:val="14"/>
                <w:u w:val="none"/>
              </w:rPr>
            </w:pPr>
            <w:r>
              <w:rPr>
                <w:rFonts w:ascii="Arial" w:eastAsia="Arial" w:hAnsi="Arial" w:cs="Arial"/>
                <w:b/>
                <w:i w:val="0"/>
                <w:color w:val="FFFFFF"/>
                <w:sz w:val="14"/>
                <w:u w:val="none"/>
              </w:rPr>
              <w:t>Grant Date Fair Value of Stock and Option Awards</w:t>
            </w:r>
            <w:r>
              <w:rPr>
                <w:rFonts w:ascii="Arial" w:eastAsia="Arial" w:hAnsi="Arial" w:cs="Arial"/>
                <w:b/>
                <w:i w:val="0"/>
                <w:color w:val="FFFFFF"/>
                <w:sz w:val="14"/>
                <w:u w:val="none"/>
                <w:vertAlign w:val="superscript"/>
              </w:rPr>
              <w:t>(4)</w:t>
            </w:r>
          </w:p>
        </w:tc>
      </w:tr>
      <w:tr>
        <w:tblPrEx>
          <w:tblW w:w="10530" w:type="dxa"/>
          <w:jc w:val="center"/>
          <w:tblLayout w:type="fixed"/>
          <w:tblCellMar>
            <w:left w:w="108" w:type="dxa"/>
            <w:right w:w="108" w:type="dxa"/>
          </w:tblCellMar>
        </w:tblPrEx>
        <w:trPr>
          <w:cantSplit/>
          <w:trHeight w:hRule="exact" w:val="105"/>
          <w:jc w:val="center"/>
        </w:trPr>
        <w:tc>
          <w:tcPr>
            <w:tcW w:w="187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88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79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88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61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85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82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r>
      <w:tr>
        <w:tblPrEx>
          <w:tblW w:w="10530" w:type="dxa"/>
          <w:jc w:val="center"/>
          <w:tblLayout w:type="fixed"/>
          <w:tblCellMar>
            <w:left w:w="108" w:type="dxa"/>
            <w:right w:w="108" w:type="dxa"/>
          </w:tblCellMar>
        </w:tblPrEx>
        <w:trPr>
          <w:cantSplit/>
          <w:trHeight w:hRule="exact" w:val="240"/>
          <w:jc w:val="center"/>
        </w:trPr>
        <w:tc>
          <w:tcPr>
            <w:tcW w:w="18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85" w:type="dxa"/>
            <w:tcBorders>
              <w:top w:val="nil"/>
              <w:left w:val="nil"/>
              <w:bottom w:val="nil"/>
              <w:right w:val="nil"/>
            </w:tcBorders>
            <w:shd w:val="clear" w:color="auto" w:fill="1D64A3"/>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i w:val="0"/>
                <w:color w:val="FFFFFF"/>
                <w:sz w:val="16"/>
                <w:u w:val="none"/>
              </w:rPr>
              <w:t>Threshold</w:t>
            </w:r>
          </w:p>
        </w:tc>
        <w:tc>
          <w:tcPr>
            <w:tcW w:w="795" w:type="dxa"/>
            <w:tcBorders>
              <w:top w:val="nil"/>
              <w:left w:val="nil"/>
              <w:bottom w:val="nil"/>
              <w:right w:val="nil"/>
            </w:tcBorders>
            <w:shd w:val="clear" w:color="auto" w:fill="1D64A3"/>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i w:val="0"/>
                <w:color w:val="FFFFFF"/>
                <w:sz w:val="16"/>
                <w:u w:val="none"/>
              </w:rPr>
              <w:t>Target</w:t>
            </w:r>
          </w:p>
        </w:tc>
        <w:tc>
          <w:tcPr>
            <w:tcW w:w="885" w:type="dxa"/>
            <w:tcBorders>
              <w:top w:val="nil"/>
              <w:left w:val="nil"/>
              <w:bottom w:val="nil"/>
              <w:right w:val="nil"/>
            </w:tcBorders>
            <w:shd w:val="clear" w:color="auto" w:fill="1D64A3"/>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i w:val="0"/>
                <w:color w:val="FFFFFF"/>
                <w:sz w:val="16"/>
                <w:u w:val="none"/>
              </w:rPr>
              <w:t>Maximum</w:t>
            </w:r>
          </w:p>
        </w:tc>
        <w:tc>
          <w:tcPr>
            <w:tcW w:w="945" w:type="dxa"/>
            <w:tcBorders>
              <w:top w:val="nil"/>
              <w:left w:val="nil"/>
              <w:bottom w:val="nil"/>
              <w:right w:val="nil"/>
            </w:tcBorders>
            <w:shd w:val="clear" w:color="auto" w:fill="1D64A3"/>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i w:val="0"/>
                <w:color w:val="FFFFFF"/>
                <w:sz w:val="16"/>
                <w:u w:val="none"/>
              </w:rPr>
              <w:t>Threshold</w:t>
            </w:r>
          </w:p>
        </w:tc>
        <w:tc>
          <w:tcPr>
            <w:tcW w:w="615" w:type="dxa"/>
            <w:tcBorders>
              <w:top w:val="nil"/>
              <w:left w:val="nil"/>
              <w:bottom w:val="nil"/>
              <w:right w:val="nil"/>
            </w:tcBorders>
            <w:shd w:val="clear" w:color="auto" w:fill="1D64A3"/>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i w:val="0"/>
                <w:color w:val="FFFFFF"/>
                <w:sz w:val="16"/>
                <w:u w:val="none"/>
              </w:rPr>
              <w:t>Target</w:t>
            </w:r>
          </w:p>
        </w:tc>
        <w:tc>
          <w:tcPr>
            <w:tcW w:w="855" w:type="dxa"/>
            <w:tcBorders>
              <w:top w:val="nil"/>
              <w:left w:val="nil"/>
              <w:bottom w:val="nil"/>
              <w:right w:val="nil"/>
            </w:tcBorders>
            <w:shd w:val="clear" w:color="auto" w:fill="1D64A3"/>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i w:val="0"/>
                <w:color w:val="FFFFFF"/>
                <w:sz w:val="16"/>
                <w:u w:val="none"/>
              </w:rPr>
              <w:t>Maximum</w:t>
            </w: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2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530" w:type="dxa"/>
          <w:jc w:val="center"/>
          <w:tblLayout w:type="fixed"/>
          <w:tblCellMar>
            <w:left w:w="108" w:type="dxa"/>
            <w:right w:w="108" w:type="dxa"/>
          </w:tblCellMar>
        </w:tblPrEx>
        <w:trPr>
          <w:cantSplit/>
          <w:trHeight w:hRule="exact" w:val="225"/>
          <w:jc w:val="center"/>
        </w:trPr>
        <w:tc>
          <w:tcPr>
            <w:tcW w:w="1875" w:type="dxa"/>
            <w:tcBorders>
              <w:top w:val="nil"/>
              <w:left w:val="nil"/>
              <w:bottom w:val="nil"/>
              <w:right w:val="nil"/>
            </w:tcBorders>
            <w:shd w:val="clear" w:color="auto" w:fill="DFDDDE"/>
            <w:tcMar>
              <w:top w:w="0" w:type="dxa"/>
              <w:left w:w="53" w:type="dxa"/>
              <w:bottom w:w="0" w:type="dxa"/>
              <w:right w:w="53" w:type="dxa"/>
            </w:tcMar>
            <w:vAlign w:val="top"/>
          </w:tcPr>
          <w:p>
            <w:pPr>
              <w:keepNext/>
              <w:pageBreakBefore w:val="0"/>
              <w:spacing w:before="53" w:after="30" w:line="240" w:lineRule="auto"/>
              <w:ind w:left="90"/>
              <w:jc w:val="left"/>
            </w:pPr>
            <w:r>
              <w:rPr>
                <w:rFonts w:ascii="Arial" w:eastAsia="Arial" w:hAnsi="Arial" w:cs="Arial"/>
                <w:b/>
                <w:i w:val="0"/>
                <w:color w:val="000000"/>
                <w:sz w:val="14"/>
                <w:u w:val="none"/>
              </w:rPr>
              <w:t>Dominic Silvester</w:t>
            </w:r>
          </w:p>
        </w:tc>
        <w:tc>
          <w:tcPr>
            <w:tcW w:w="585" w:type="dxa"/>
            <w:tcBorders>
              <w:top w:val="nil"/>
              <w:left w:val="nil"/>
              <w:bottom w:val="nil"/>
              <w:right w:val="nil"/>
            </w:tcBorders>
            <w:shd w:val="clear" w:color="auto" w:fill="DFDDDE"/>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AIP</w:t>
            </w:r>
          </w:p>
        </w:tc>
        <w:tc>
          <w:tcPr>
            <w:tcW w:w="765" w:type="dxa"/>
            <w:tcBorders>
              <w:top w:val="nil"/>
              <w:left w:val="nil"/>
              <w:bottom w:val="nil"/>
              <w:right w:val="nil"/>
            </w:tcBorders>
            <w:shd w:val="clear" w:color="auto" w:fill="DFDDDE"/>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n/a</w:t>
            </w:r>
          </w:p>
        </w:tc>
        <w:tc>
          <w:tcPr>
            <w:tcW w:w="735" w:type="dxa"/>
            <w:tcBorders>
              <w:top w:val="nil"/>
              <w:left w:val="nil"/>
              <w:bottom w:val="nil"/>
              <w:right w:val="nil"/>
            </w:tcBorders>
            <w:shd w:val="clear" w:color="auto" w:fill="DFDDDE"/>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n/a</w:t>
            </w:r>
          </w:p>
        </w:tc>
        <w:tc>
          <w:tcPr>
            <w:tcW w:w="88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150"/>
                <w:tab w:val="left" w:pos="817"/>
              </w:tabs>
              <w:spacing w:before="53" w:after="30" w:line="240" w:lineRule="auto"/>
              <w:jc w:val="right"/>
            </w:pPr>
            <w:r>
              <w:rPr>
                <w:rFonts w:ascii="Arial" w:eastAsia="Arial" w:hAnsi="Arial" w:cs="Arial"/>
                <w:b w:val="0"/>
                <w:i w:val="0"/>
                <w:color w:val="000000"/>
                <w:sz w:val="14"/>
                <w:u w:val="none"/>
              </w:rPr>
              <w:t>$</w:t>
              <w:tab/>
              <w:t>2,250,000</w:t>
              <w:tab/>
            </w:r>
          </w:p>
        </w:tc>
        <w:tc>
          <w:tcPr>
            <w:tcW w:w="79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79"/>
                <w:tab w:val="left" w:pos="747"/>
              </w:tabs>
              <w:spacing w:before="53" w:after="30" w:line="240" w:lineRule="auto"/>
              <w:jc w:val="right"/>
            </w:pPr>
            <w:r>
              <w:rPr>
                <w:rFonts w:ascii="Arial" w:eastAsia="Arial" w:hAnsi="Arial" w:cs="Arial"/>
                <w:b w:val="0"/>
                <w:i w:val="0"/>
                <w:color w:val="000000"/>
                <w:sz w:val="14"/>
                <w:u w:val="none"/>
              </w:rPr>
              <w:t>$</w:t>
              <w:tab/>
              <w:t>3,750,000</w:t>
              <w:tab/>
            </w:r>
          </w:p>
        </w:tc>
        <w:tc>
          <w:tcPr>
            <w:tcW w:w="88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150"/>
                <w:tab w:val="left" w:pos="817"/>
              </w:tabs>
              <w:spacing w:before="53" w:after="30" w:line="240" w:lineRule="auto"/>
              <w:jc w:val="right"/>
            </w:pPr>
            <w:r>
              <w:rPr>
                <w:rFonts w:ascii="Arial" w:eastAsia="Arial" w:hAnsi="Arial" w:cs="Arial"/>
                <w:b w:val="0"/>
                <w:i w:val="0"/>
                <w:color w:val="000000"/>
                <w:sz w:val="14"/>
                <w:u w:val="none"/>
              </w:rPr>
              <w:t>$</w:t>
              <w:tab/>
              <w:t>4,950,000</w:t>
              <w:tab/>
            </w:r>
          </w:p>
        </w:tc>
        <w:tc>
          <w:tcPr>
            <w:tcW w:w="94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spacing w:before="53" w:after="30" w:line="240" w:lineRule="auto"/>
              <w:jc w:val="right"/>
            </w:pPr>
          </w:p>
        </w:tc>
        <w:tc>
          <w:tcPr>
            <w:tcW w:w="61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spacing w:before="53" w:after="30" w:line="240" w:lineRule="auto"/>
              <w:jc w:val="right"/>
            </w:pPr>
          </w:p>
        </w:tc>
        <w:tc>
          <w:tcPr>
            <w:tcW w:w="85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spacing w:before="53" w:after="30" w:line="240" w:lineRule="auto"/>
              <w:jc w:val="right"/>
            </w:pPr>
          </w:p>
        </w:tc>
        <w:tc>
          <w:tcPr>
            <w:tcW w:w="76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spacing w:before="53" w:after="30" w:line="240" w:lineRule="auto"/>
              <w:jc w:val="right"/>
            </w:pPr>
          </w:p>
        </w:tc>
        <w:tc>
          <w:tcPr>
            <w:tcW w:w="82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spacing w:before="53" w:after="30" w:line="240" w:lineRule="auto"/>
              <w:jc w:val="right"/>
            </w:pPr>
          </w:p>
        </w:tc>
      </w:tr>
      <w:tr>
        <w:tblPrEx>
          <w:tblW w:w="10530" w:type="dxa"/>
          <w:jc w:val="center"/>
          <w:tblLayout w:type="fixed"/>
          <w:tblCellMar>
            <w:left w:w="108" w:type="dxa"/>
            <w:right w:w="108" w:type="dxa"/>
          </w:tblCellMar>
        </w:tblPrEx>
        <w:trPr>
          <w:cantSplit/>
          <w:trHeight w:hRule="exact" w:val="60"/>
          <w:jc w:val="center"/>
        </w:trPr>
        <w:tc>
          <w:tcPr>
            <w:tcW w:w="187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88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79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88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61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85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82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r>
      <w:tr>
        <w:tblPrEx>
          <w:tblW w:w="10530" w:type="dxa"/>
          <w:jc w:val="center"/>
          <w:tblLayout w:type="fixed"/>
          <w:tblCellMar>
            <w:left w:w="108" w:type="dxa"/>
            <w:right w:w="108" w:type="dxa"/>
          </w:tblCellMar>
        </w:tblPrEx>
        <w:trPr>
          <w:cantSplit/>
          <w:trHeight w:hRule="exact" w:val="315"/>
          <w:jc w:val="center"/>
        </w:trPr>
        <w:tc>
          <w:tcPr>
            <w:tcW w:w="18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90"/>
              <w:jc w:val="left"/>
            </w:pPr>
            <w:r>
              <w:rPr>
                <w:rFonts w:ascii="Arial" w:eastAsia="Arial" w:hAnsi="Arial" w:cs="Arial"/>
                <w:b/>
                <w:i w:val="0"/>
                <w:color w:val="000000"/>
                <w:sz w:val="14"/>
                <w:u w:val="none"/>
              </w:rPr>
              <w:t>Matthew Kirk</w:t>
            </w:r>
          </w:p>
        </w:tc>
        <w:tc>
          <w:tcPr>
            <w:tcW w:w="58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AIP</w:t>
            </w:r>
          </w:p>
        </w:tc>
        <w:tc>
          <w:tcPr>
            <w:tcW w:w="7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n/a</w:t>
            </w:r>
          </w:p>
        </w:tc>
        <w:tc>
          <w:tcPr>
            <w:tcW w:w="7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n/a</w:t>
            </w:r>
          </w:p>
        </w:tc>
        <w:tc>
          <w:tcPr>
            <w:tcW w:w="88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$297,000</w:t>
            </w:r>
          </w:p>
        </w:tc>
        <w:tc>
          <w:tcPr>
            <w:tcW w:w="79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$797,500</w:t>
            </w:r>
          </w:p>
        </w:tc>
        <w:tc>
          <w:tcPr>
            <w:tcW w:w="88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$1,058,750</w:t>
            </w:r>
          </w:p>
        </w:tc>
        <w:tc>
          <w:tcPr>
            <w:tcW w:w="9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p>
        </w:tc>
        <w:tc>
          <w:tcPr>
            <w:tcW w:w="6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p>
        </w:tc>
        <w:tc>
          <w:tcPr>
            <w:tcW w:w="85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p>
        </w:tc>
        <w:tc>
          <w:tcPr>
            <w:tcW w:w="7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p>
        </w:tc>
        <w:tc>
          <w:tcPr>
            <w:tcW w:w="82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r>
      <w:tr>
        <w:tblPrEx>
          <w:tblW w:w="10530" w:type="dxa"/>
          <w:jc w:val="center"/>
          <w:tblLayout w:type="fixed"/>
          <w:tblCellMar>
            <w:left w:w="108" w:type="dxa"/>
            <w:right w:w="108" w:type="dxa"/>
          </w:tblCellMar>
        </w:tblPrEx>
        <w:trPr>
          <w:cantSplit/>
          <w:trHeight w:hRule="exact" w:val="225"/>
          <w:jc w:val="center"/>
        </w:trPr>
        <w:tc>
          <w:tcPr>
            <w:tcW w:w="18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PSUs</w:t>
            </w:r>
          </w:p>
        </w:tc>
        <w:tc>
          <w:tcPr>
            <w:tcW w:w="7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p>
        </w:tc>
        <w:tc>
          <w:tcPr>
            <w:tcW w:w="7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3/20/2023</w:t>
            </w:r>
          </w:p>
        </w:tc>
        <w:tc>
          <w:tcPr>
            <w:tcW w:w="88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79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88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94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330</w:t>
            </w:r>
          </w:p>
        </w:tc>
        <w:tc>
          <w:tcPr>
            <w:tcW w:w="61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659</w:t>
            </w:r>
          </w:p>
        </w:tc>
        <w:tc>
          <w:tcPr>
            <w:tcW w:w="85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1,318</w:t>
            </w:r>
          </w:p>
        </w:tc>
        <w:tc>
          <w:tcPr>
            <w:tcW w:w="76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82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$146,825</w:t>
            </w:r>
          </w:p>
        </w:tc>
      </w:tr>
      <w:tr>
        <w:tblPrEx>
          <w:tblW w:w="10530" w:type="dxa"/>
          <w:jc w:val="center"/>
          <w:tblLayout w:type="fixed"/>
          <w:tblCellMar>
            <w:left w:w="108" w:type="dxa"/>
            <w:right w:w="108" w:type="dxa"/>
          </w:tblCellMar>
        </w:tblPrEx>
        <w:trPr>
          <w:cantSplit/>
          <w:trHeight w:hRule="exact" w:val="225"/>
          <w:jc w:val="center"/>
        </w:trPr>
        <w:tc>
          <w:tcPr>
            <w:tcW w:w="18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PSUs</w:t>
            </w:r>
          </w:p>
        </w:tc>
        <w:tc>
          <w:tcPr>
            <w:tcW w:w="7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p>
        </w:tc>
        <w:tc>
          <w:tcPr>
            <w:tcW w:w="7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3/20/2023</w:t>
            </w:r>
          </w:p>
        </w:tc>
        <w:tc>
          <w:tcPr>
            <w:tcW w:w="88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79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88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94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61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660</w:t>
            </w:r>
          </w:p>
        </w:tc>
        <w:tc>
          <w:tcPr>
            <w:tcW w:w="85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76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82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$147,048</w:t>
            </w:r>
          </w:p>
        </w:tc>
      </w:tr>
      <w:tr>
        <w:tblPrEx>
          <w:tblW w:w="10530" w:type="dxa"/>
          <w:jc w:val="center"/>
          <w:tblLayout w:type="fixed"/>
          <w:tblCellMar>
            <w:left w:w="108" w:type="dxa"/>
            <w:right w:w="108" w:type="dxa"/>
          </w:tblCellMar>
        </w:tblPrEx>
        <w:trPr>
          <w:cantSplit/>
          <w:trHeight w:hRule="exact" w:val="225"/>
          <w:jc w:val="center"/>
        </w:trPr>
        <w:tc>
          <w:tcPr>
            <w:tcW w:w="18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RSUs</w:t>
            </w:r>
          </w:p>
        </w:tc>
        <w:tc>
          <w:tcPr>
            <w:tcW w:w="7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p>
        </w:tc>
        <w:tc>
          <w:tcPr>
            <w:tcW w:w="7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3/20/2023</w:t>
            </w:r>
          </w:p>
        </w:tc>
        <w:tc>
          <w:tcPr>
            <w:tcW w:w="88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79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88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94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61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85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76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566</w:t>
            </w:r>
          </w:p>
        </w:tc>
        <w:tc>
          <w:tcPr>
            <w:tcW w:w="82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$126,105</w:t>
            </w:r>
          </w:p>
        </w:tc>
      </w:tr>
      <w:tr>
        <w:tblPrEx>
          <w:tblW w:w="10530" w:type="dxa"/>
          <w:jc w:val="center"/>
          <w:tblLayout w:type="fixed"/>
          <w:tblCellMar>
            <w:left w:w="108" w:type="dxa"/>
            <w:right w:w="108" w:type="dxa"/>
          </w:tblCellMar>
        </w:tblPrEx>
        <w:trPr>
          <w:cantSplit/>
          <w:trHeight w:hRule="exact" w:val="60"/>
          <w:jc w:val="center"/>
        </w:trPr>
        <w:tc>
          <w:tcPr>
            <w:tcW w:w="18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88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79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88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1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85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82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10530" w:type="dxa"/>
          <w:jc w:val="center"/>
          <w:tblLayout w:type="fixed"/>
          <w:tblCellMar>
            <w:left w:w="108" w:type="dxa"/>
            <w:right w:w="108" w:type="dxa"/>
          </w:tblCellMar>
        </w:tblPrEx>
        <w:trPr>
          <w:cantSplit/>
          <w:trHeight w:hRule="exact" w:val="225"/>
          <w:jc w:val="center"/>
        </w:trPr>
        <w:tc>
          <w:tcPr>
            <w:tcW w:w="1875" w:type="dxa"/>
            <w:tcBorders>
              <w:top w:val="nil"/>
              <w:left w:val="nil"/>
              <w:bottom w:val="nil"/>
              <w:right w:val="nil"/>
            </w:tcBorders>
            <w:shd w:val="clear" w:color="auto" w:fill="DBDBDB"/>
            <w:tcMar>
              <w:top w:w="0" w:type="dxa"/>
              <w:left w:w="53" w:type="dxa"/>
              <w:bottom w:w="0" w:type="dxa"/>
              <w:right w:w="53" w:type="dxa"/>
            </w:tcMar>
            <w:vAlign w:val="top"/>
          </w:tcPr>
          <w:p>
            <w:pPr>
              <w:keepNext/>
              <w:pageBreakBefore w:val="0"/>
              <w:spacing w:before="53" w:after="30" w:line="240" w:lineRule="auto"/>
              <w:ind w:left="90"/>
              <w:jc w:val="left"/>
            </w:pPr>
            <w:r>
              <w:rPr>
                <w:rFonts w:ascii="Arial" w:eastAsia="Arial" w:hAnsi="Arial" w:cs="Arial"/>
                <w:b/>
                <w:i w:val="0"/>
                <w:color w:val="000000"/>
                <w:sz w:val="14"/>
                <w:u w:val="none"/>
              </w:rPr>
              <w:t>Orla Gregory</w:t>
            </w:r>
          </w:p>
        </w:tc>
        <w:tc>
          <w:tcPr>
            <w:tcW w:w="585" w:type="dxa"/>
            <w:tcBorders>
              <w:top w:val="nil"/>
              <w:left w:val="nil"/>
              <w:bottom w:val="nil"/>
              <w:right w:val="nil"/>
            </w:tcBorders>
            <w:shd w:val="clear" w:color="auto" w:fill="DBDBDB"/>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AIP</w:t>
            </w:r>
          </w:p>
        </w:tc>
        <w:tc>
          <w:tcPr>
            <w:tcW w:w="765" w:type="dxa"/>
            <w:tcBorders>
              <w:top w:val="nil"/>
              <w:left w:val="nil"/>
              <w:bottom w:val="nil"/>
              <w:right w:val="nil"/>
            </w:tcBorders>
            <w:shd w:val="clear" w:color="auto" w:fill="DBDBDB"/>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n/a</w:t>
            </w:r>
          </w:p>
        </w:tc>
        <w:tc>
          <w:tcPr>
            <w:tcW w:w="735" w:type="dxa"/>
            <w:tcBorders>
              <w:top w:val="nil"/>
              <w:left w:val="nil"/>
              <w:bottom w:val="nil"/>
              <w:right w:val="nil"/>
            </w:tcBorders>
            <w:shd w:val="clear" w:color="auto" w:fill="DBDBDB"/>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n/a</w:t>
            </w:r>
          </w:p>
        </w:tc>
        <w:tc>
          <w:tcPr>
            <w:tcW w:w="88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267"/>
                <w:tab w:val="left" w:pos="817"/>
              </w:tabs>
              <w:spacing w:before="53" w:after="30" w:line="240" w:lineRule="auto"/>
              <w:jc w:val="right"/>
            </w:pPr>
            <w:r>
              <w:rPr>
                <w:rFonts w:ascii="Arial" w:eastAsia="Arial" w:hAnsi="Arial" w:cs="Arial"/>
                <w:b w:val="0"/>
                <w:i w:val="0"/>
                <w:color w:val="000000"/>
                <w:sz w:val="14"/>
                <w:u w:val="none"/>
              </w:rPr>
              <w:t>$</w:t>
              <w:tab/>
              <w:t>945,000</w:t>
              <w:tab/>
            </w:r>
          </w:p>
        </w:tc>
        <w:tc>
          <w:tcPr>
            <w:tcW w:w="79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79"/>
                <w:tab w:val="left" w:pos="747"/>
              </w:tabs>
              <w:spacing w:before="53" w:after="30" w:line="240" w:lineRule="auto"/>
              <w:jc w:val="right"/>
            </w:pPr>
            <w:r>
              <w:rPr>
                <w:rFonts w:ascii="Arial" w:eastAsia="Arial" w:hAnsi="Arial" w:cs="Arial"/>
                <w:b w:val="0"/>
                <w:i w:val="0"/>
                <w:color w:val="000000"/>
                <w:sz w:val="14"/>
                <w:u w:val="none"/>
              </w:rPr>
              <w:t>$</w:t>
              <w:tab/>
              <w:t>2,030,000</w:t>
              <w:tab/>
            </w:r>
          </w:p>
        </w:tc>
        <w:tc>
          <w:tcPr>
            <w:tcW w:w="88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150"/>
                <w:tab w:val="left" w:pos="817"/>
              </w:tabs>
              <w:spacing w:before="53" w:after="30" w:line="240" w:lineRule="auto"/>
              <w:jc w:val="right"/>
            </w:pPr>
            <w:r>
              <w:rPr>
                <w:rFonts w:ascii="Arial" w:eastAsia="Arial" w:hAnsi="Arial" w:cs="Arial"/>
                <w:b w:val="0"/>
                <w:i w:val="0"/>
                <w:color w:val="000000"/>
                <w:sz w:val="14"/>
                <w:u w:val="none"/>
              </w:rPr>
              <w:t>$</w:t>
              <w:tab/>
              <w:t>2,695,000</w:t>
              <w:tab/>
            </w:r>
          </w:p>
        </w:tc>
        <w:tc>
          <w:tcPr>
            <w:tcW w:w="94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spacing w:before="53" w:after="30" w:line="240" w:lineRule="auto"/>
              <w:jc w:val="right"/>
            </w:pPr>
          </w:p>
        </w:tc>
        <w:tc>
          <w:tcPr>
            <w:tcW w:w="61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spacing w:before="53" w:after="30" w:line="240" w:lineRule="auto"/>
              <w:jc w:val="right"/>
            </w:pPr>
          </w:p>
        </w:tc>
        <w:tc>
          <w:tcPr>
            <w:tcW w:w="85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spacing w:before="53" w:after="30" w:line="240" w:lineRule="auto"/>
              <w:jc w:val="right"/>
            </w:pPr>
          </w:p>
        </w:tc>
        <w:tc>
          <w:tcPr>
            <w:tcW w:w="76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spacing w:before="53" w:after="30" w:line="240" w:lineRule="auto"/>
              <w:jc w:val="right"/>
            </w:pPr>
          </w:p>
        </w:tc>
        <w:tc>
          <w:tcPr>
            <w:tcW w:w="82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spacing w:before="53" w:after="30" w:line="240" w:lineRule="auto"/>
              <w:jc w:val="right"/>
            </w:pPr>
          </w:p>
        </w:tc>
      </w:tr>
      <w:tr>
        <w:tblPrEx>
          <w:tblW w:w="10530" w:type="dxa"/>
          <w:jc w:val="center"/>
          <w:tblLayout w:type="fixed"/>
          <w:tblCellMar>
            <w:left w:w="108" w:type="dxa"/>
            <w:right w:w="108" w:type="dxa"/>
          </w:tblCellMar>
        </w:tblPrEx>
        <w:trPr>
          <w:cantSplit/>
          <w:trHeight w:hRule="exact" w:val="225"/>
          <w:jc w:val="center"/>
        </w:trPr>
        <w:tc>
          <w:tcPr>
            <w:tcW w:w="187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shd w:val="clear" w:color="auto" w:fill="DFDDDE"/>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PSUs</w:t>
            </w:r>
          </w:p>
        </w:tc>
        <w:tc>
          <w:tcPr>
            <w:tcW w:w="765" w:type="dxa"/>
            <w:tcBorders>
              <w:top w:val="nil"/>
              <w:left w:val="nil"/>
              <w:bottom w:val="nil"/>
              <w:right w:val="nil"/>
            </w:tcBorders>
            <w:shd w:val="clear" w:color="auto" w:fill="DFDDDE"/>
            <w:tcMar>
              <w:top w:w="0" w:type="dxa"/>
              <w:left w:w="53" w:type="dxa"/>
              <w:bottom w:w="0" w:type="dxa"/>
              <w:right w:w="53" w:type="dxa"/>
            </w:tcMar>
            <w:vAlign w:val="top"/>
          </w:tcPr>
          <w:p>
            <w:pPr>
              <w:keepNext/>
              <w:pageBreakBefore w:val="0"/>
              <w:spacing w:before="53" w:after="30" w:line="240" w:lineRule="auto"/>
              <w:jc w:val="center"/>
            </w:pPr>
          </w:p>
        </w:tc>
        <w:tc>
          <w:tcPr>
            <w:tcW w:w="735" w:type="dxa"/>
            <w:tcBorders>
              <w:top w:val="nil"/>
              <w:left w:val="nil"/>
              <w:bottom w:val="nil"/>
              <w:right w:val="nil"/>
            </w:tcBorders>
            <w:shd w:val="clear" w:color="auto" w:fill="DFDDDE"/>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3/20/2023</w:t>
            </w:r>
          </w:p>
        </w:tc>
        <w:tc>
          <w:tcPr>
            <w:tcW w:w="885" w:type="dxa"/>
            <w:tcBorders>
              <w:top w:val="nil"/>
              <w:left w:val="nil"/>
              <w:bottom w:val="nil"/>
              <w:right w:val="nil"/>
            </w:tcBorders>
            <w:shd w:val="clear" w:color="auto" w:fill="DFDDDE"/>
            <w:tcMar>
              <w:top w:w="0" w:type="dxa"/>
              <w:left w:w="0" w:type="dxa"/>
              <w:bottom w:w="0" w:type="dxa"/>
              <w:right w:w="53" w:type="dxa"/>
            </w:tcMar>
            <w:vAlign w:val="top"/>
          </w:tcPr>
          <w:p>
            <w:pPr>
              <w:keepNext/>
              <w:pageBreakBefore w:val="0"/>
              <w:spacing w:before="53" w:after="30" w:line="240" w:lineRule="auto"/>
              <w:jc w:val="right"/>
            </w:pPr>
          </w:p>
        </w:tc>
        <w:tc>
          <w:tcPr>
            <w:tcW w:w="795" w:type="dxa"/>
            <w:tcBorders>
              <w:top w:val="nil"/>
              <w:left w:val="nil"/>
              <w:bottom w:val="nil"/>
              <w:right w:val="nil"/>
            </w:tcBorders>
            <w:shd w:val="clear" w:color="auto" w:fill="DFDDDE"/>
            <w:tcMar>
              <w:top w:w="0" w:type="dxa"/>
              <w:left w:w="0" w:type="dxa"/>
              <w:bottom w:w="0" w:type="dxa"/>
              <w:right w:w="53" w:type="dxa"/>
            </w:tcMar>
            <w:vAlign w:val="top"/>
          </w:tcPr>
          <w:p>
            <w:pPr>
              <w:keepNext/>
              <w:pageBreakBefore w:val="0"/>
              <w:spacing w:before="53" w:after="30" w:line="240" w:lineRule="auto"/>
              <w:jc w:val="right"/>
            </w:pPr>
          </w:p>
        </w:tc>
        <w:tc>
          <w:tcPr>
            <w:tcW w:w="885" w:type="dxa"/>
            <w:tcBorders>
              <w:top w:val="nil"/>
              <w:left w:val="nil"/>
              <w:bottom w:val="nil"/>
              <w:right w:val="nil"/>
            </w:tcBorders>
            <w:shd w:val="clear" w:color="auto" w:fill="DFDDDE"/>
            <w:tcMar>
              <w:top w:w="0" w:type="dxa"/>
              <w:left w:w="0" w:type="dxa"/>
              <w:bottom w:w="0" w:type="dxa"/>
              <w:right w:w="53" w:type="dxa"/>
            </w:tcMar>
            <w:vAlign w:val="top"/>
          </w:tcPr>
          <w:p>
            <w:pPr>
              <w:keepNext/>
              <w:pageBreakBefore w:val="0"/>
              <w:spacing w:before="53" w:after="30" w:line="240" w:lineRule="auto"/>
              <w:jc w:val="right"/>
            </w:pPr>
          </w:p>
        </w:tc>
        <w:tc>
          <w:tcPr>
            <w:tcW w:w="94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404"/>
                <w:tab w:val="left" w:pos="877"/>
              </w:tabs>
              <w:spacing w:before="53" w:after="30" w:line="240" w:lineRule="auto"/>
              <w:jc w:val="right"/>
            </w:pPr>
            <w:r>
              <w:rPr>
                <w:rFonts w:ascii="Arial" w:eastAsia="Arial" w:hAnsi="Arial" w:cs="Arial"/>
                <w:b w:val="0"/>
                <w:i w:val="0"/>
                <w:color w:val="000000"/>
                <w:sz w:val="14"/>
                <w:u w:val="none"/>
              </w:rPr>
              <w:tab/>
              <w:t>10,099</w:t>
              <w:tab/>
            </w:r>
          </w:p>
        </w:tc>
        <w:tc>
          <w:tcPr>
            <w:tcW w:w="61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74"/>
                <w:tab w:val="left" w:pos="547"/>
              </w:tabs>
              <w:spacing w:before="53" w:after="30" w:line="240" w:lineRule="auto"/>
              <w:jc w:val="right"/>
            </w:pPr>
            <w:r>
              <w:rPr>
                <w:rFonts w:ascii="Arial" w:eastAsia="Arial" w:hAnsi="Arial" w:cs="Arial"/>
                <w:b w:val="0"/>
                <w:i w:val="0"/>
                <w:color w:val="000000"/>
                <w:sz w:val="14"/>
                <w:u w:val="none"/>
              </w:rPr>
              <w:tab/>
              <w:t>20,197</w:t>
              <w:tab/>
            </w:r>
          </w:p>
        </w:tc>
        <w:tc>
          <w:tcPr>
            <w:tcW w:w="85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314"/>
                <w:tab w:val="left" w:pos="787"/>
              </w:tabs>
              <w:spacing w:before="53" w:after="30" w:line="240" w:lineRule="auto"/>
              <w:jc w:val="right"/>
            </w:pPr>
            <w:r>
              <w:rPr>
                <w:rFonts w:ascii="Arial" w:eastAsia="Arial" w:hAnsi="Arial" w:cs="Arial"/>
                <w:b w:val="0"/>
                <w:i w:val="0"/>
                <w:color w:val="000000"/>
                <w:sz w:val="14"/>
                <w:u w:val="none"/>
              </w:rPr>
              <w:tab/>
              <w:t>40,394</w:t>
              <w:tab/>
            </w:r>
          </w:p>
        </w:tc>
        <w:tc>
          <w:tcPr>
            <w:tcW w:w="76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spacing w:before="53" w:after="30" w:line="240" w:lineRule="auto"/>
              <w:jc w:val="right"/>
            </w:pPr>
          </w:p>
        </w:tc>
        <w:tc>
          <w:tcPr>
            <w:tcW w:w="82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90"/>
                <w:tab w:val="left" w:pos="757"/>
              </w:tabs>
              <w:spacing w:before="53" w:after="30" w:line="240" w:lineRule="auto"/>
              <w:jc w:val="right"/>
            </w:pPr>
            <w:r>
              <w:rPr>
                <w:rFonts w:ascii="Arial" w:eastAsia="Arial" w:hAnsi="Arial" w:cs="Arial"/>
                <w:b w:val="0"/>
                <w:i w:val="0"/>
                <w:color w:val="000000"/>
                <w:sz w:val="14"/>
                <w:u w:val="none"/>
              </w:rPr>
              <w:t>$</w:t>
              <w:tab/>
              <w:t>4,499,892</w:t>
              <w:tab/>
            </w:r>
          </w:p>
        </w:tc>
      </w:tr>
      <w:tr>
        <w:tblPrEx>
          <w:tblW w:w="10530" w:type="dxa"/>
          <w:jc w:val="center"/>
          <w:tblLayout w:type="fixed"/>
          <w:tblCellMar>
            <w:left w:w="108" w:type="dxa"/>
            <w:right w:w="108" w:type="dxa"/>
          </w:tblCellMar>
        </w:tblPrEx>
        <w:trPr>
          <w:cantSplit/>
          <w:trHeight w:hRule="exact" w:val="225"/>
          <w:jc w:val="center"/>
        </w:trPr>
        <w:tc>
          <w:tcPr>
            <w:tcW w:w="187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shd w:val="clear" w:color="auto" w:fill="DFDDDE"/>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PSUs</w:t>
            </w:r>
          </w:p>
        </w:tc>
        <w:tc>
          <w:tcPr>
            <w:tcW w:w="765" w:type="dxa"/>
            <w:tcBorders>
              <w:top w:val="nil"/>
              <w:left w:val="nil"/>
              <w:bottom w:val="nil"/>
              <w:right w:val="nil"/>
            </w:tcBorders>
            <w:shd w:val="clear" w:color="auto" w:fill="DFDDDE"/>
            <w:tcMar>
              <w:top w:w="0" w:type="dxa"/>
              <w:left w:w="53" w:type="dxa"/>
              <w:bottom w:w="0" w:type="dxa"/>
              <w:right w:w="53" w:type="dxa"/>
            </w:tcMar>
            <w:vAlign w:val="top"/>
          </w:tcPr>
          <w:p>
            <w:pPr>
              <w:keepNext/>
              <w:pageBreakBefore w:val="0"/>
              <w:spacing w:before="53" w:after="30" w:line="240" w:lineRule="auto"/>
              <w:jc w:val="center"/>
            </w:pPr>
          </w:p>
        </w:tc>
        <w:tc>
          <w:tcPr>
            <w:tcW w:w="735" w:type="dxa"/>
            <w:tcBorders>
              <w:top w:val="nil"/>
              <w:left w:val="nil"/>
              <w:bottom w:val="nil"/>
              <w:right w:val="nil"/>
            </w:tcBorders>
            <w:shd w:val="clear" w:color="auto" w:fill="DFDDDE"/>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3/20/2023</w:t>
            </w:r>
          </w:p>
        </w:tc>
        <w:tc>
          <w:tcPr>
            <w:tcW w:w="885" w:type="dxa"/>
            <w:tcBorders>
              <w:top w:val="nil"/>
              <w:left w:val="nil"/>
              <w:bottom w:val="nil"/>
              <w:right w:val="nil"/>
            </w:tcBorders>
            <w:shd w:val="clear" w:color="auto" w:fill="DFDDDE"/>
            <w:tcMar>
              <w:top w:w="0" w:type="dxa"/>
              <w:left w:w="0" w:type="dxa"/>
              <w:bottom w:w="0" w:type="dxa"/>
              <w:right w:w="53" w:type="dxa"/>
            </w:tcMar>
            <w:vAlign w:val="top"/>
          </w:tcPr>
          <w:p>
            <w:pPr>
              <w:keepNext/>
              <w:pageBreakBefore w:val="0"/>
              <w:spacing w:before="53" w:after="30" w:line="240" w:lineRule="auto"/>
              <w:jc w:val="right"/>
            </w:pPr>
          </w:p>
        </w:tc>
        <w:tc>
          <w:tcPr>
            <w:tcW w:w="795" w:type="dxa"/>
            <w:tcBorders>
              <w:top w:val="nil"/>
              <w:left w:val="nil"/>
              <w:bottom w:val="nil"/>
              <w:right w:val="nil"/>
            </w:tcBorders>
            <w:shd w:val="clear" w:color="auto" w:fill="DFDDDE"/>
            <w:tcMar>
              <w:top w:w="0" w:type="dxa"/>
              <w:left w:w="0" w:type="dxa"/>
              <w:bottom w:w="0" w:type="dxa"/>
              <w:right w:w="53" w:type="dxa"/>
            </w:tcMar>
            <w:vAlign w:val="top"/>
          </w:tcPr>
          <w:p>
            <w:pPr>
              <w:keepNext/>
              <w:pageBreakBefore w:val="0"/>
              <w:spacing w:before="53" w:after="30" w:line="240" w:lineRule="auto"/>
              <w:jc w:val="right"/>
            </w:pPr>
          </w:p>
        </w:tc>
        <w:tc>
          <w:tcPr>
            <w:tcW w:w="885" w:type="dxa"/>
            <w:tcBorders>
              <w:top w:val="nil"/>
              <w:left w:val="nil"/>
              <w:bottom w:val="nil"/>
              <w:right w:val="nil"/>
            </w:tcBorders>
            <w:shd w:val="clear" w:color="auto" w:fill="DFDDDE"/>
            <w:tcMar>
              <w:top w:w="0" w:type="dxa"/>
              <w:left w:w="0" w:type="dxa"/>
              <w:bottom w:w="0" w:type="dxa"/>
              <w:right w:w="53" w:type="dxa"/>
            </w:tcMar>
            <w:vAlign w:val="top"/>
          </w:tcPr>
          <w:p>
            <w:pPr>
              <w:keepNext/>
              <w:pageBreakBefore w:val="0"/>
              <w:spacing w:before="53" w:after="30" w:line="240" w:lineRule="auto"/>
              <w:jc w:val="right"/>
            </w:pPr>
          </w:p>
        </w:tc>
        <w:tc>
          <w:tcPr>
            <w:tcW w:w="94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404"/>
                <w:tab w:val="left" w:pos="877"/>
              </w:tabs>
              <w:spacing w:before="53" w:after="30" w:line="240" w:lineRule="auto"/>
              <w:jc w:val="right"/>
            </w:pPr>
            <w:r>
              <w:rPr>
                <w:rFonts w:ascii="Arial" w:eastAsia="Arial" w:hAnsi="Arial" w:cs="Arial"/>
                <w:b w:val="0"/>
                <w:i w:val="0"/>
                <w:color w:val="000000"/>
                <w:sz w:val="14"/>
                <w:u w:val="none"/>
              </w:rPr>
              <w:tab/>
              <w:t>10,099</w:t>
              <w:tab/>
            </w:r>
          </w:p>
        </w:tc>
        <w:tc>
          <w:tcPr>
            <w:tcW w:w="61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74"/>
                <w:tab w:val="left" w:pos="547"/>
              </w:tabs>
              <w:spacing w:before="53" w:after="30" w:line="240" w:lineRule="auto"/>
              <w:jc w:val="right"/>
            </w:pPr>
            <w:r>
              <w:rPr>
                <w:rFonts w:ascii="Arial" w:eastAsia="Arial" w:hAnsi="Arial" w:cs="Arial"/>
                <w:b w:val="0"/>
                <w:i w:val="0"/>
                <w:color w:val="000000"/>
                <w:sz w:val="14"/>
                <w:u w:val="none"/>
              </w:rPr>
              <w:tab/>
              <w:t>20,198</w:t>
              <w:tab/>
            </w:r>
          </w:p>
        </w:tc>
        <w:tc>
          <w:tcPr>
            <w:tcW w:w="85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314"/>
                <w:tab w:val="left" w:pos="787"/>
              </w:tabs>
              <w:spacing w:before="53" w:after="30" w:line="240" w:lineRule="auto"/>
              <w:jc w:val="right"/>
            </w:pPr>
            <w:r>
              <w:rPr>
                <w:rFonts w:ascii="Arial" w:eastAsia="Arial" w:hAnsi="Arial" w:cs="Arial"/>
                <w:b w:val="0"/>
                <w:i w:val="0"/>
                <w:color w:val="000000"/>
                <w:sz w:val="14"/>
                <w:u w:val="none"/>
              </w:rPr>
              <w:tab/>
              <w:t>40,396</w:t>
              <w:tab/>
            </w:r>
          </w:p>
        </w:tc>
        <w:tc>
          <w:tcPr>
            <w:tcW w:w="76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spacing w:before="53" w:after="30" w:line="240" w:lineRule="auto"/>
              <w:jc w:val="right"/>
            </w:pPr>
          </w:p>
        </w:tc>
        <w:tc>
          <w:tcPr>
            <w:tcW w:w="82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90"/>
                <w:tab w:val="left" w:pos="757"/>
              </w:tabs>
              <w:spacing w:before="53" w:after="30" w:line="240" w:lineRule="auto"/>
              <w:jc w:val="right"/>
            </w:pPr>
            <w:r>
              <w:rPr>
                <w:rFonts w:ascii="Arial" w:eastAsia="Arial" w:hAnsi="Arial" w:cs="Arial"/>
                <w:b w:val="0"/>
                <w:i w:val="0"/>
                <w:color w:val="000000"/>
                <w:sz w:val="14"/>
                <w:u w:val="none"/>
              </w:rPr>
              <w:t>$</w:t>
              <w:tab/>
              <w:t>4,500,114</w:t>
              <w:tab/>
            </w:r>
          </w:p>
        </w:tc>
      </w:tr>
      <w:tr>
        <w:tblPrEx>
          <w:tblW w:w="10530" w:type="dxa"/>
          <w:jc w:val="center"/>
          <w:tblLayout w:type="fixed"/>
          <w:tblCellMar>
            <w:left w:w="108" w:type="dxa"/>
            <w:right w:w="108" w:type="dxa"/>
          </w:tblCellMar>
        </w:tblPrEx>
        <w:trPr>
          <w:cantSplit/>
          <w:trHeight w:hRule="exact" w:val="225"/>
          <w:jc w:val="center"/>
        </w:trPr>
        <w:tc>
          <w:tcPr>
            <w:tcW w:w="187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shd w:val="clear" w:color="auto" w:fill="DFDDDE"/>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RSUs</w:t>
            </w:r>
          </w:p>
        </w:tc>
        <w:tc>
          <w:tcPr>
            <w:tcW w:w="765" w:type="dxa"/>
            <w:tcBorders>
              <w:top w:val="nil"/>
              <w:left w:val="nil"/>
              <w:bottom w:val="nil"/>
              <w:right w:val="nil"/>
            </w:tcBorders>
            <w:shd w:val="clear" w:color="auto" w:fill="DFDDDE"/>
            <w:tcMar>
              <w:top w:w="0" w:type="dxa"/>
              <w:left w:w="53" w:type="dxa"/>
              <w:bottom w:w="0" w:type="dxa"/>
              <w:right w:w="53" w:type="dxa"/>
            </w:tcMar>
            <w:vAlign w:val="top"/>
          </w:tcPr>
          <w:p>
            <w:pPr>
              <w:keepNext/>
              <w:pageBreakBefore w:val="0"/>
              <w:spacing w:before="53" w:after="30" w:line="240" w:lineRule="auto"/>
              <w:jc w:val="center"/>
            </w:pPr>
          </w:p>
        </w:tc>
        <w:tc>
          <w:tcPr>
            <w:tcW w:w="735" w:type="dxa"/>
            <w:tcBorders>
              <w:top w:val="nil"/>
              <w:left w:val="nil"/>
              <w:bottom w:val="nil"/>
              <w:right w:val="nil"/>
            </w:tcBorders>
            <w:shd w:val="clear" w:color="auto" w:fill="DFDDDE"/>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3/20/2023</w:t>
            </w:r>
          </w:p>
        </w:tc>
        <w:tc>
          <w:tcPr>
            <w:tcW w:w="885" w:type="dxa"/>
            <w:tcBorders>
              <w:top w:val="nil"/>
              <w:left w:val="nil"/>
              <w:bottom w:val="nil"/>
              <w:right w:val="nil"/>
            </w:tcBorders>
            <w:shd w:val="clear" w:color="auto" w:fill="DFDDDE"/>
            <w:tcMar>
              <w:top w:w="0" w:type="dxa"/>
              <w:left w:w="0" w:type="dxa"/>
              <w:bottom w:w="0" w:type="dxa"/>
              <w:right w:w="53" w:type="dxa"/>
            </w:tcMar>
            <w:vAlign w:val="top"/>
          </w:tcPr>
          <w:p>
            <w:pPr>
              <w:keepNext/>
              <w:pageBreakBefore w:val="0"/>
              <w:spacing w:before="53" w:after="30" w:line="240" w:lineRule="auto"/>
              <w:jc w:val="right"/>
            </w:pPr>
          </w:p>
        </w:tc>
        <w:tc>
          <w:tcPr>
            <w:tcW w:w="795" w:type="dxa"/>
            <w:tcBorders>
              <w:top w:val="nil"/>
              <w:left w:val="nil"/>
              <w:bottom w:val="nil"/>
              <w:right w:val="nil"/>
            </w:tcBorders>
            <w:shd w:val="clear" w:color="auto" w:fill="DFDDDE"/>
            <w:tcMar>
              <w:top w:w="0" w:type="dxa"/>
              <w:left w:w="0" w:type="dxa"/>
              <w:bottom w:w="0" w:type="dxa"/>
              <w:right w:w="53" w:type="dxa"/>
            </w:tcMar>
            <w:vAlign w:val="top"/>
          </w:tcPr>
          <w:p>
            <w:pPr>
              <w:keepNext/>
              <w:pageBreakBefore w:val="0"/>
              <w:spacing w:before="53" w:after="30" w:line="240" w:lineRule="auto"/>
              <w:jc w:val="right"/>
            </w:pPr>
          </w:p>
        </w:tc>
        <w:tc>
          <w:tcPr>
            <w:tcW w:w="885" w:type="dxa"/>
            <w:tcBorders>
              <w:top w:val="nil"/>
              <w:left w:val="nil"/>
              <w:bottom w:val="nil"/>
              <w:right w:val="nil"/>
            </w:tcBorders>
            <w:shd w:val="clear" w:color="auto" w:fill="DFDDDE"/>
            <w:tcMar>
              <w:top w:w="0" w:type="dxa"/>
              <w:left w:w="0" w:type="dxa"/>
              <w:bottom w:w="0" w:type="dxa"/>
              <w:right w:w="53" w:type="dxa"/>
            </w:tcMar>
            <w:vAlign w:val="top"/>
          </w:tcPr>
          <w:p>
            <w:pPr>
              <w:keepNext/>
              <w:pageBreakBefore w:val="0"/>
              <w:spacing w:before="53" w:after="30" w:line="240" w:lineRule="auto"/>
              <w:jc w:val="right"/>
            </w:pPr>
          </w:p>
        </w:tc>
        <w:tc>
          <w:tcPr>
            <w:tcW w:w="94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spacing w:before="53" w:after="30" w:line="240" w:lineRule="auto"/>
              <w:jc w:val="right"/>
            </w:pPr>
          </w:p>
        </w:tc>
        <w:tc>
          <w:tcPr>
            <w:tcW w:w="61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spacing w:before="53" w:after="30" w:line="240" w:lineRule="auto"/>
              <w:jc w:val="right"/>
            </w:pPr>
          </w:p>
        </w:tc>
        <w:tc>
          <w:tcPr>
            <w:tcW w:w="85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spacing w:before="53" w:after="30" w:line="240" w:lineRule="auto"/>
              <w:jc w:val="right"/>
            </w:pPr>
          </w:p>
        </w:tc>
        <w:tc>
          <w:tcPr>
            <w:tcW w:w="76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224"/>
                <w:tab w:val="left" w:pos="697"/>
              </w:tabs>
              <w:spacing w:before="53" w:after="30" w:line="240" w:lineRule="auto"/>
              <w:jc w:val="right"/>
            </w:pPr>
            <w:r>
              <w:rPr>
                <w:rFonts w:ascii="Arial" w:eastAsia="Arial" w:hAnsi="Arial" w:cs="Arial"/>
                <w:b w:val="0"/>
                <w:i w:val="0"/>
                <w:color w:val="000000"/>
                <w:sz w:val="14"/>
                <w:u w:val="none"/>
              </w:rPr>
              <w:tab/>
              <w:t>13,465</w:t>
              <w:tab/>
            </w:r>
          </w:p>
        </w:tc>
        <w:tc>
          <w:tcPr>
            <w:tcW w:w="82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90"/>
                <w:tab w:val="left" w:pos="757"/>
              </w:tabs>
              <w:spacing w:before="53" w:after="30" w:line="240" w:lineRule="auto"/>
              <w:jc w:val="right"/>
            </w:pPr>
            <w:r>
              <w:rPr>
                <w:rFonts w:ascii="Arial" w:eastAsia="Arial" w:hAnsi="Arial" w:cs="Arial"/>
                <w:b w:val="0"/>
                <w:i w:val="0"/>
                <w:color w:val="000000"/>
                <w:sz w:val="14"/>
                <w:u w:val="none"/>
              </w:rPr>
              <w:t>$</w:t>
              <w:tab/>
              <w:t>3,000,002</w:t>
              <w:tab/>
            </w:r>
          </w:p>
        </w:tc>
      </w:tr>
      <w:tr>
        <w:tblPrEx>
          <w:tblW w:w="10530" w:type="dxa"/>
          <w:jc w:val="center"/>
          <w:tblLayout w:type="fixed"/>
          <w:tblCellMar>
            <w:left w:w="108" w:type="dxa"/>
            <w:right w:w="108" w:type="dxa"/>
          </w:tblCellMar>
        </w:tblPrEx>
        <w:trPr>
          <w:cantSplit/>
          <w:trHeight w:hRule="exact" w:val="60"/>
          <w:jc w:val="center"/>
        </w:trPr>
        <w:tc>
          <w:tcPr>
            <w:tcW w:w="187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88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79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88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61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85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82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r>
      <w:tr>
        <w:tblPrEx>
          <w:tblW w:w="10530" w:type="dxa"/>
          <w:jc w:val="center"/>
          <w:tblLayout w:type="fixed"/>
          <w:tblCellMar>
            <w:left w:w="108" w:type="dxa"/>
            <w:right w:w="108" w:type="dxa"/>
          </w:tblCellMar>
        </w:tblPrEx>
        <w:trPr>
          <w:cantSplit/>
          <w:trHeight w:hRule="exact" w:val="225"/>
          <w:jc w:val="center"/>
        </w:trPr>
        <w:tc>
          <w:tcPr>
            <w:tcW w:w="18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90"/>
              <w:jc w:val="left"/>
            </w:pPr>
            <w:r>
              <w:rPr>
                <w:rFonts w:ascii="Arial" w:eastAsia="Arial" w:hAnsi="Arial" w:cs="Arial"/>
                <w:b/>
                <w:i w:val="0"/>
                <w:color w:val="000000"/>
                <w:sz w:val="14"/>
                <w:u w:val="none"/>
              </w:rPr>
              <w:t>David Ni</w:t>
            </w:r>
          </w:p>
        </w:tc>
        <w:tc>
          <w:tcPr>
            <w:tcW w:w="58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AIP</w:t>
            </w:r>
          </w:p>
        </w:tc>
        <w:tc>
          <w:tcPr>
            <w:tcW w:w="7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n/a</w:t>
            </w:r>
          </w:p>
        </w:tc>
        <w:tc>
          <w:tcPr>
            <w:tcW w:w="7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n/a</w:t>
            </w:r>
          </w:p>
        </w:tc>
        <w:tc>
          <w:tcPr>
            <w:tcW w:w="88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$607,500</w:t>
            </w:r>
          </w:p>
        </w:tc>
        <w:tc>
          <w:tcPr>
            <w:tcW w:w="79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$1,350,000</w:t>
            </w:r>
          </w:p>
        </w:tc>
        <w:tc>
          <w:tcPr>
            <w:tcW w:w="88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$1,732,500</w:t>
            </w:r>
          </w:p>
        </w:tc>
        <w:tc>
          <w:tcPr>
            <w:tcW w:w="9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p>
        </w:tc>
        <w:tc>
          <w:tcPr>
            <w:tcW w:w="6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p>
        </w:tc>
        <w:tc>
          <w:tcPr>
            <w:tcW w:w="85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p>
        </w:tc>
        <w:tc>
          <w:tcPr>
            <w:tcW w:w="7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p>
        </w:tc>
        <w:tc>
          <w:tcPr>
            <w:tcW w:w="82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r>
      <w:tr>
        <w:tblPrEx>
          <w:tblW w:w="10530" w:type="dxa"/>
          <w:jc w:val="center"/>
          <w:tblLayout w:type="fixed"/>
          <w:tblCellMar>
            <w:left w:w="108" w:type="dxa"/>
            <w:right w:w="108" w:type="dxa"/>
          </w:tblCellMar>
        </w:tblPrEx>
        <w:trPr>
          <w:cantSplit/>
          <w:trHeight w:hRule="exact" w:val="315"/>
          <w:jc w:val="center"/>
        </w:trPr>
        <w:tc>
          <w:tcPr>
            <w:tcW w:w="18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PSUs</w:t>
            </w:r>
          </w:p>
        </w:tc>
        <w:tc>
          <w:tcPr>
            <w:tcW w:w="7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p>
        </w:tc>
        <w:tc>
          <w:tcPr>
            <w:tcW w:w="7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3/20/2023</w:t>
            </w:r>
          </w:p>
        </w:tc>
        <w:tc>
          <w:tcPr>
            <w:tcW w:w="88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79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88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94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550</w:t>
            </w:r>
          </w:p>
        </w:tc>
        <w:tc>
          <w:tcPr>
            <w:tcW w:w="61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1,099</w:t>
            </w:r>
          </w:p>
        </w:tc>
        <w:tc>
          <w:tcPr>
            <w:tcW w:w="85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2,198</w:t>
            </w:r>
          </w:p>
        </w:tc>
        <w:tc>
          <w:tcPr>
            <w:tcW w:w="76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82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$244,857</w:t>
            </w:r>
          </w:p>
        </w:tc>
      </w:tr>
      <w:tr>
        <w:tblPrEx>
          <w:tblW w:w="10530" w:type="dxa"/>
          <w:jc w:val="center"/>
          <w:tblLayout w:type="fixed"/>
          <w:tblCellMar>
            <w:left w:w="108" w:type="dxa"/>
            <w:right w:w="108" w:type="dxa"/>
          </w:tblCellMar>
        </w:tblPrEx>
        <w:trPr>
          <w:cantSplit/>
          <w:trHeight w:hRule="exact" w:val="315"/>
          <w:jc w:val="center"/>
        </w:trPr>
        <w:tc>
          <w:tcPr>
            <w:tcW w:w="18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PSUs</w:t>
            </w:r>
          </w:p>
        </w:tc>
        <w:tc>
          <w:tcPr>
            <w:tcW w:w="7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p>
        </w:tc>
        <w:tc>
          <w:tcPr>
            <w:tcW w:w="7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3/20/2023</w:t>
            </w:r>
          </w:p>
        </w:tc>
        <w:tc>
          <w:tcPr>
            <w:tcW w:w="88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79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88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94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550</w:t>
            </w:r>
          </w:p>
        </w:tc>
        <w:tc>
          <w:tcPr>
            <w:tcW w:w="61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1,100</w:t>
            </w:r>
          </w:p>
        </w:tc>
        <w:tc>
          <w:tcPr>
            <w:tcW w:w="85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2,200</w:t>
            </w:r>
          </w:p>
        </w:tc>
        <w:tc>
          <w:tcPr>
            <w:tcW w:w="76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82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$245,080</w:t>
            </w:r>
          </w:p>
        </w:tc>
      </w:tr>
      <w:tr>
        <w:tblPrEx>
          <w:tblW w:w="10530" w:type="dxa"/>
          <w:jc w:val="center"/>
          <w:tblLayout w:type="fixed"/>
          <w:tblCellMar>
            <w:left w:w="108" w:type="dxa"/>
            <w:right w:w="108" w:type="dxa"/>
          </w:tblCellMar>
        </w:tblPrEx>
        <w:trPr>
          <w:cantSplit/>
          <w:trHeight w:hRule="exact" w:val="315"/>
          <w:jc w:val="center"/>
        </w:trPr>
        <w:tc>
          <w:tcPr>
            <w:tcW w:w="18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RSUs</w:t>
            </w:r>
          </w:p>
        </w:tc>
        <w:tc>
          <w:tcPr>
            <w:tcW w:w="7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p>
        </w:tc>
        <w:tc>
          <w:tcPr>
            <w:tcW w:w="7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3/20/2023</w:t>
            </w:r>
          </w:p>
        </w:tc>
        <w:tc>
          <w:tcPr>
            <w:tcW w:w="88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79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88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94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61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85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76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943</w:t>
            </w:r>
          </w:p>
        </w:tc>
        <w:tc>
          <w:tcPr>
            <w:tcW w:w="82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$210,100</w:t>
            </w:r>
          </w:p>
        </w:tc>
      </w:tr>
      <w:tr>
        <w:tblPrEx>
          <w:tblW w:w="10530" w:type="dxa"/>
          <w:jc w:val="center"/>
          <w:tblLayout w:type="fixed"/>
          <w:tblCellMar>
            <w:left w:w="108" w:type="dxa"/>
            <w:right w:w="108" w:type="dxa"/>
          </w:tblCellMar>
        </w:tblPrEx>
        <w:trPr>
          <w:cantSplit/>
          <w:trHeight w:hRule="exact" w:val="315"/>
          <w:jc w:val="center"/>
        </w:trPr>
        <w:tc>
          <w:tcPr>
            <w:tcW w:w="18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RSUs</w:t>
            </w:r>
          </w:p>
        </w:tc>
        <w:tc>
          <w:tcPr>
            <w:tcW w:w="7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p>
        </w:tc>
        <w:tc>
          <w:tcPr>
            <w:tcW w:w="73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3/20/2023</w:t>
            </w:r>
          </w:p>
        </w:tc>
        <w:tc>
          <w:tcPr>
            <w:tcW w:w="88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79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88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94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61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85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p>
        </w:tc>
        <w:tc>
          <w:tcPr>
            <w:tcW w:w="76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4,488</w:t>
            </w:r>
          </w:p>
        </w:tc>
        <w:tc>
          <w:tcPr>
            <w:tcW w:w="82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center"/>
            </w:pPr>
            <w:r>
              <w:rPr>
                <w:rFonts w:ascii="Arial" w:eastAsia="Arial" w:hAnsi="Arial" w:cs="Arial"/>
                <w:b w:val="0"/>
                <w:i w:val="0"/>
                <w:color w:val="000000"/>
                <w:sz w:val="14"/>
                <w:u w:val="none"/>
              </w:rPr>
              <w:t>$999,926</w:t>
            </w:r>
          </w:p>
        </w:tc>
      </w:tr>
      <w:tr>
        <w:tblPrEx>
          <w:tblW w:w="10530" w:type="dxa"/>
          <w:jc w:val="center"/>
          <w:tblLayout w:type="fixed"/>
          <w:tblCellMar>
            <w:left w:w="108" w:type="dxa"/>
            <w:right w:w="108" w:type="dxa"/>
          </w:tblCellMar>
        </w:tblPrEx>
        <w:trPr>
          <w:cantSplit/>
          <w:trHeight w:hRule="exact" w:val="60"/>
          <w:jc w:val="center"/>
        </w:trPr>
        <w:tc>
          <w:tcPr>
            <w:tcW w:w="187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88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79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88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61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85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82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10530" w:type="dxa"/>
          <w:jc w:val="center"/>
          <w:tblLayout w:type="fixed"/>
          <w:tblCellMar>
            <w:left w:w="108" w:type="dxa"/>
            <w:right w:w="108" w:type="dxa"/>
          </w:tblCellMar>
        </w:tblPrEx>
        <w:trPr>
          <w:cantSplit/>
          <w:trHeight w:hRule="exact" w:val="225"/>
          <w:jc w:val="center"/>
        </w:trPr>
        <w:tc>
          <w:tcPr>
            <w:tcW w:w="1875" w:type="dxa"/>
            <w:tcBorders>
              <w:top w:val="nil"/>
              <w:left w:val="nil"/>
              <w:bottom w:val="nil"/>
              <w:right w:val="nil"/>
            </w:tcBorders>
            <w:shd w:val="clear" w:color="auto" w:fill="DBDBDB"/>
            <w:tcMar>
              <w:top w:w="0" w:type="dxa"/>
              <w:left w:w="53" w:type="dxa"/>
              <w:bottom w:w="0" w:type="dxa"/>
              <w:right w:w="53" w:type="dxa"/>
            </w:tcMar>
            <w:vAlign w:val="top"/>
          </w:tcPr>
          <w:p>
            <w:pPr>
              <w:keepNext/>
              <w:pageBreakBefore w:val="0"/>
              <w:spacing w:before="53" w:after="30" w:line="240" w:lineRule="auto"/>
              <w:ind w:left="90"/>
              <w:jc w:val="left"/>
            </w:pPr>
            <w:r>
              <w:rPr>
                <w:rFonts w:ascii="Arial" w:eastAsia="Arial" w:hAnsi="Arial" w:cs="Arial"/>
                <w:b/>
                <w:i w:val="0"/>
                <w:color w:val="000000"/>
                <w:sz w:val="14"/>
                <w:u w:val="none"/>
              </w:rPr>
              <w:t>Paul Brockman</w:t>
            </w:r>
          </w:p>
        </w:tc>
        <w:tc>
          <w:tcPr>
            <w:tcW w:w="585" w:type="dxa"/>
            <w:tcBorders>
              <w:top w:val="nil"/>
              <w:left w:val="nil"/>
              <w:bottom w:val="nil"/>
              <w:right w:val="nil"/>
            </w:tcBorders>
            <w:shd w:val="clear" w:color="auto" w:fill="DBDBDB"/>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AIP</w:t>
            </w:r>
          </w:p>
        </w:tc>
        <w:tc>
          <w:tcPr>
            <w:tcW w:w="765" w:type="dxa"/>
            <w:tcBorders>
              <w:top w:val="nil"/>
              <w:left w:val="nil"/>
              <w:bottom w:val="nil"/>
              <w:right w:val="nil"/>
            </w:tcBorders>
            <w:shd w:val="clear" w:color="auto" w:fill="DBDBDB"/>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n/a</w:t>
            </w:r>
          </w:p>
        </w:tc>
        <w:tc>
          <w:tcPr>
            <w:tcW w:w="735" w:type="dxa"/>
            <w:tcBorders>
              <w:top w:val="nil"/>
              <w:left w:val="nil"/>
              <w:bottom w:val="nil"/>
              <w:right w:val="nil"/>
            </w:tcBorders>
            <w:shd w:val="clear" w:color="auto" w:fill="DBDBDB"/>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n/a</w:t>
            </w:r>
          </w:p>
        </w:tc>
        <w:tc>
          <w:tcPr>
            <w:tcW w:w="88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267"/>
                <w:tab w:val="left" w:pos="817"/>
              </w:tabs>
              <w:spacing w:before="53" w:after="30" w:line="240" w:lineRule="auto"/>
              <w:jc w:val="right"/>
            </w:pPr>
            <w:r>
              <w:rPr>
                <w:rFonts w:ascii="Arial" w:eastAsia="Arial" w:hAnsi="Arial" w:cs="Arial"/>
                <w:b w:val="0"/>
                <w:i w:val="0"/>
                <w:color w:val="000000"/>
                <w:sz w:val="14"/>
                <w:u w:val="none"/>
              </w:rPr>
              <w:t>$</w:t>
              <w:tab/>
              <w:t>540,000</w:t>
              <w:tab/>
            </w:r>
          </w:p>
        </w:tc>
        <w:tc>
          <w:tcPr>
            <w:tcW w:w="79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79"/>
                <w:tab w:val="left" w:pos="747"/>
              </w:tabs>
              <w:spacing w:before="53" w:after="30" w:line="240" w:lineRule="auto"/>
              <w:jc w:val="right"/>
            </w:pPr>
            <w:r>
              <w:rPr>
                <w:rFonts w:ascii="Arial" w:eastAsia="Arial" w:hAnsi="Arial" w:cs="Arial"/>
                <w:b w:val="0"/>
                <w:i w:val="0"/>
                <w:color w:val="000000"/>
                <w:sz w:val="14"/>
                <w:u w:val="none"/>
              </w:rPr>
              <w:t>$</w:t>
              <w:tab/>
              <w:t>1,000,000</w:t>
              <w:tab/>
            </w:r>
          </w:p>
        </w:tc>
        <w:tc>
          <w:tcPr>
            <w:tcW w:w="88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150"/>
                <w:tab w:val="left" w:pos="817"/>
              </w:tabs>
              <w:spacing w:before="53" w:after="30" w:line="240" w:lineRule="auto"/>
              <w:jc w:val="right"/>
            </w:pPr>
            <w:r>
              <w:rPr>
                <w:rFonts w:ascii="Arial" w:eastAsia="Arial" w:hAnsi="Arial" w:cs="Arial"/>
                <w:b w:val="0"/>
                <w:i w:val="0"/>
                <w:color w:val="000000"/>
                <w:sz w:val="14"/>
                <w:u w:val="none"/>
              </w:rPr>
              <w:t>$</w:t>
              <w:tab/>
              <w:t>1,320,000</w:t>
              <w:tab/>
            </w:r>
          </w:p>
        </w:tc>
        <w:tc>
          <w:tcPr>
            <w:tcW w:w="94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spacing w:before="53" w:after="30" w:line="240" w:lineRule="auto"/>
              <w:jc w:val="right"/>
            </w:pPr>
          </w:p>
        </w:tc>
        <w:tc>
          <w:tcPr>
            <w:tcW w:w="61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spacing w:before="53" w:after="30" w:line="240" w:lineRule="auto"/>
              <w:jc w:val="right"/>
            </w:pPr>
          </w:p>
        </w:tc>
        <w:tc>
          <w:tcPr>
            <w:tcW w:w="85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spacing w:before="53" w:after="30" w:line="240" w:lineRule="auto"/>
              <w:jc w:val="right"/>
            </w:pPr>
          </w:p>
        </w:tc>
        <w:tc>
          <w:tcPr>
            <w:tcW w:w="76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spacing w:before="53" w:after="30" w:line="240" w:lineRule="auto"/>
              <w:jc w:val="right"/>
            </w:pPr>
          </w:p>
        </w:tc>
        <w:tc>
          <w:tcPr>
            <w:tcW w:w="82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spacing w:before="53" w:after="30" w:line="240" w:lineRule="auto"/>
              <w:jc w:val="right"/>
            </w:pPr>
          </w:p>
        </w:tc>
      </w:tr>
      <w:tr>
        <w:tblPrEx>
          <w:tblW w:w="10530" w:type="dxa"/>
          <w:jc w:val="center"/>
          <w:tblLayout w:type="fixed"/>
          <w:tblCellMar>
            <w:left w:w="108" w:type="dxa"/>
            <w:right w:w="108" w:type="dxa"/>
          </w:tblCellMar>
        </w:tblPrEx>
        <w:trPr>
          <w:cantSplit/>
          <w:trHeight w:hRule="exact" w:val="225"/>
          <w:jc w:val="center"/>
        </w:trPr>
        <w:tc>
          <w:tcPr>
            <w:tcW w:w="187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shd w:val="clear" w:color="auto" w:fill="DBDBDB"/>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PSUs</w:t>
            </w:r>
          </w:p>
        </w:tc>
        <w:tc>
          <w:tcPr>
            <w:tcW w:w="765" w:type="dxa"/>
            <w:tcBorders>
              <w:top w:val="nil"/>
              <w:left w:val="nil"/>
              <w:bottom w:val="nil"/>
              <w:right w:val="nil"/>
            </w:tcBorders>
            <w:shd w:val="clear" w:color="auto" w:fill="DBDBDB"/>
            <w:tcMar>
              <w:top w:w="0" w:type="dxa"/>
              <w:left w:w="53" w:type="dxa"/>
              <w:bottom w:w="0" w:type="dxa"/>
              <w:right w:w="53" w:type="dxa"/>
            </w:tcMar>
            <w:vAlign w:val="top"/>
          </w:tcPr>
          <w:p>
            <w:pPr>
              <w:keepNext/>
              <w:pageBreakBefore w:val="0"/>
              <w:spacing w:before="53" w:after="30" w:line="240" w:lineRule="auto"/>
              <w:jc w:val="center"/>
            </w:pPr>
          </w:p>
        </w:tc>
        <w:tc>
          <w:tcPr>
            <w:tcW w:w="735" w:type="dxa"/>
            <w:tcBorders>
              <w:top w:val="nil"/>
              <w:left w:val="nil"/>
              <w:bottom w:val="nil"/>
              <w:right w:val="nil"/>
            </w:tcBorders>
            <w:shd w:val="clear" w:color="auto" w:fill="DBDBDB"/>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3/20/2023</w:t>
            </w:r>
          </w:p>
        </w:tc>
        <w:tc>
          <w:tcPr>
            <w:tcW w:w="885" w:type="dxa"/>
            <w:tcBorders>
              <w:top w:val="nil"/>
              <w:left w:val="nil"/>
              <w:bottom w:val="nil"/>
              <w:right w:val="nil"/>
            </w:tcBorders>
            <w:shd w:val="clear" w:color="auto" w:fill="DBDBDB"/>
            <w:tcMar>
              <w:top w:w="0" w:type="dxa"/>
              <w:left w:w="0" w:type="dxa"/>
              <w:bottom w:w="0" w:type="dxa"/>
              <w:right w:w="53" w:type="dxa"/>
            </w:tcMar>
            <w:vAlign w:val="top"/>
          </w:tcPr>
          <w:p>
            <w:pPr>
              <w:keepNext/>
              <w:pageBreakBefore w:val="0"/>
              <w:spacing w:before="53" w:after="30" w:line="240" w:lineRule="auto"/>
              <w:jc w:val="right"/>
            </w:pPr>
          </w:p>
        </w:tc>
        <w:tc>
          <w:tcPr>
            <w:tcW w:w="795" w:type="dxa"/>
            <w:tcBorders>
              <w:top w:val="nil"/>
              <w:left w:val="nil"/>
              <w:bottom w:val="nil"/>
              <w:right w:val="nil"/>
            </w:tcBorders>
            <w:shd w:val="clear" w:color="auto" w:fill="DBDBDB"/>
            <w:tcMar>
              <w:top w:w="0" w:type="dxa"/>
              <w:left w:w="0" w:type="dxa"/>
              <w:bottom w:w="0" w:type="dxa"/>
              <w:right w:w="53" w:type="dxa"/>
            </w:tcMar>
            <w:vAlign w:val="top"/>
          </w:tcPr>
          <w:p>
            <w:pPr>
              <w:keepNext/>
              <w:pageBreakBefore w:val="0"/>
              <w:spacing w:before="53" w:after="30" w:line="240" w:lineRule="auto"/>
              <w:jc w:val="right"/>
            </w:pPr>
          </w:p>
        </w:tc>
        <w:tc>
          <w:tcPr>
            <w:tcW w:w="885" w:type="dxa"/>
            <w:tcBorders>
              <w:top w:val="nil"/>
              <w:left w:val="nil"/>
              <w:bottom w:val="nil"/>
              <w:right w:val="nil"/>
            </w:tcBorders>
            <w:shd w:val="clear" w:color="auto" w:fill="DBDBDB"/>
            <w:tcMar>
              <w:top w:w="0" w:type="dxa"/>
              <w:left w:w="0" w:type="dxa"/>
              <w:bottom w:w="0" w:type="dxa"/>
              <w:right w:w="53" w:type="dxa"/>
            </w:tcMar>
            <w:vAlign w:val="top"/>
          </w:tcPr>
          <w:p>
            <w:pPr>
              <w:keepNext/>
              <w:pageBreakBefore w:val="0"/>
              <w:spacing w:before="53" w:after="30" w:line="240" w:lineRule="auto"/>
              <w:jc w:val="right"/>
            </w:pPr>
          </w:p>
        </w:tc>
        <w:tc>
          <w:tcPr>
            <w:tcW w:w="94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599"/>
                <w:tab w:val="left" w:pos="877"/>
              </w:tabs>
              <w:spacing w:before="53" w:after="30" w:line="240" w:lineRule="auto"/>
              <w:jc w:val="right"/>
            </w:pPr>
            <w:r>
              <w:rPr>
                <w:rFonts w:ascii="Arial" w:eastAsia="Arial" w:hAnsi="Arial" w:cs="Arial"/>
                <w:b w:val="0"/>
                <w:i w:val="0"/>
                <w:color w:val="000000"/>
                <w:sz w:val="14"/>
                <w:u w:val="none"/>
              </w:rPr>
              <w:tab/>
              <w:t>566</w:t>
              <w:tab/>
            </w:r>
          </w:p>
        </w:tc>
        <w:tc>
          <w:tcPr>
            <w:tcW w:w="61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152"/>
                <w:tab w:val="left" w:pos="547"/>
              </w:tabs>
              <w:spacing w:before="53" w:after="30" w:line="240" w:lineRule="auto"/>
              <w:jc w:val="right"/>
            </w:pPr>
            <w:r>
              <w:rPr>
                <w:rFonts w:ascii="Arial" w:eastAsia="Arial" w:hAnsi="Arial" w:cs="Arial"/>
                <w:b w:val="0"/>
                <w:i w:val="0"/>
                <w:color w:val="000000"/>
                <w:sz w:val="14"/>
                <w:u w:val="none"/>
              </w:rPr>
              <w:tab/>
              <w:t>1,131</w:t>
              <w:tab/>
            </w:r>
          </w:p>
        </w:tc>
        <w:tc>
          <w:tcPr>
            <w:tcW w:w="85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392"/>
                <w:tab w:val="left" w:pos="787"/>
              </w:tabs>
              <w:spacing w:before="53" w:after="30" w:line="240" w:lineRule="auto"/>
              <w:jc w:val="right"/>
            </w:pPr>
            <w:r>
              <w:rPr>
                <w:rFonts w:ascii="Arial" w:eastAsia="Arial" w:hAnsi="Arial" w:cs="Arial"/>
                <w:b w:val="0"/>
                <w:i w:val="0"/>
                <w:color w:val="000000"/>
                <w:sz w:val="14"/>
                <w:u w:val="none"/>
              </w:rPr>
              <w:tab/>
              <w:t>2,262</w:t>
              <w:tab/>
            </w:r>
          </w:p>
        </w:tc>
        <w:tc>
          <w:tcPr>
            <w:tcW w:w="76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spacing w:before="53" w:after="30" w:line="240" w:lineRule="auto"/>
              <w:jc w:val="right"/>
            </w:pPr>
          </w:p>
        </w:tc>
        <w:tc>
          <w:tcPr>
            <w:tcW w:w="82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207"/>
                <w:tab w:val="left" w:pos="757"/>
              </w:tabs>
              <w:spacing w:before="53" w:after="30" w:line="240" w:lineRule="auto"/>
              <w:jc w:val="right"/>
            </w:pPr>
            <w:r>
              <w:rPr>
                <w:rFonts w:ascii="Arial" w:eastAsia="Arial" w:hAnsi="Arial" w:cs="Arial"/>
                <w:b w:val="0"/>
                <w:i w:val="0"/>
                <w:color w:val="000000"/>
                <w:sz w:val="14"/>
                <w:u w:val="none"/>
              </w:rPr>
              <w:t>$</w:t>
              <w:tab/>
              <w:t>251,987</w:t>
              <w:tab/>
            </w:r>
          </w:p>
        </w:tc>
      </w:tr>
      <w:tr>
        <w:tblPrEx>
          <w:tblW w:w="10530" w:type="dxa"/>
          <w:jc w:val="center"/>
          <w:tblLayout w:type="fixed"/>
          <w:tblCellMar>
            <w:left w:w="108" w:type="dxa"/>
            <w:right w:w="108" w:type="dxa"/>
          </w:tblCellMar>
        </w:tblPrEx>
        <w:trPr>
          <w:cantSplit/>
          <w:trHeight w:hRule="exact" w:val="225"/>
          <w:jc w:val="center"/>
        </w:trPr>
        <w:tc>
          <w:tcPr>
            <w:tcW w:w="187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shd w:val="clear" w:color="auto" w:fill="DBDBDB"/>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PSUs</w:t>
            </w:r>
          </w:p>
        </w:tc>
        <w:tc>
          <w:tcPr>
            <w:tcW w:w="765" w:type="dxa"/>
            <w:tcBorders>
              <w:top w:val="nil"/>
              <w:left w:val="nil"/>
              <w:bottom w:val="nil"/>
              <w:right w:val="nil"/>
            </w:tcBorders>
            <w:shd w:val="clear" w:color="auto" w:fill="DBDBDB"/>
            <w:tcMar>
              <w:top w:w="0" w:type="dxa"/>
              <w:left w:w="53" w:type="dxa"/>
              <w:bottom w:w="0" w:type="dxa"/>
              <w:right w:w="53" w:type="dxa"/>
            </w:tcMar>
            <w:vAlign w:val="top"/>
          </w:tcPr>
          <w:p>
            <w:pPr>
              <w:keepNext/>
              <w:pageBreakBefore w:val="0"/>
              <w:spacing w:before="53" w:after="30" w:line="240" w:lineRule="auto"/>
              <w:jc w:val="center"/>
            </w:pPr>
          </w:p>
        </w:tc>
        <w:tc>
          <w:tcPr>
            <w:tcW w:w="735" w:type="dxa"/>
            <w:tcBorders>
              <w:top w:val="nil"/>
              <w:left w:val="nil"/>
              <w:bottom w:val="nil"/>
              <w:right w:val="nil"/>
            </w:tcBorders>
            <w:shd w:val="clear" w:color="auto" w:fill="DBDBDB"/>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3/20/2023</w:t>
            </w:r>
          </w:p>
        </w:tc>
        <w:tc>
          <w:tcPr>
            <w:tcW w:w="885" w:type="dxa"/>
            <w:tcBorders>
              <w:top w:val="nil"/>
              <w:left w:val="nil"/>
              <w:bottom w:val="nil"/>
              <w:right w:val="nil"/>
            </w:tcBorders>
            <w:shd w:val="clear" w:color="auto" w:fill="DBDBDB"/>
            <w:tcMar>
              <w:top w:w="0" w:type="dxa"/>
              <w:left w:w="0" w:type="dxa"/>
              <w:bottom w:w="0" w:type="dxa"/>
              <w:right w:w="53" w:type="dxa"/>
            </w:tcMar>
            <w:vAlign w:val="top"/>
          </w:tcPr>
          <w:p>
            <w:pPr>
              <w:keepNext/>
              <w:pageBreakBefore w:val="0"/>
              <w:spacing w:before="53" w:after="30" w:line="240" w:lineRule="auto"/>
              <w:jc w:val="right"/>
            </w:pPr>
          </w:p>
        </w:tc>
        <w:tc>
          <w:tcPr>
            <w:tcW w:w="795" w:type="dxa"/>
            <w:tcBorders>
              <w:top w:val="nil"/>
              <w:left w:val="nil"/>
              <w:bottom w:val="nil"/>
              <w:right w:val="nil"/>
            </w:tcBorders>
            <w:shd w:val="clear" w:color="auto" w:fill="DBDBDB"/>
            <w:tcMar>
              <w:top w:w="0" w:type="dxa"/>
              <w:left w:w="0" w:type="dxa"/>
              <w:bottom w:w="0" w:type="dxa"/>
              <w:right w:w="53" w:type="dxa"/>
            </w:tcMar>
            <w:vAlign w:val="top"/>
          </w:tcPr>
          <w:p>
            <w:pPr>
              <w:keepNext/>
              <w:pageBreakBefore w:val="0"/>
              <w:spacing w:before="53" w:after="30" w:line="240" w:lineRule="auto"/>
              <w:jc w:val="right"/>
            </w:pPr>
          </w:p>
        </w:tc>
        <w:tc>
          <w:tcPr>
            <w:tcW w:w="885" w:type="dxa"/>
            <w:tcBorders>
              <w:top w:val="nil"/>
              <w:left w:val="nil"/>
              <w:bottom w:val="nil"/>
              <w:right w:val="nil"/>
            </w:tcBorders>
            <w:shd w:val="clear" w:color="auto" w:fill="DBDBDB"/>
            <w:tcMar>
              <w:top w:w="0" w:type="dxa"/>
              <w:left w:w="0" w:type="dxa"/>
              <w:bottom w:w="0" w:type="dxa"/>
              <w:right w:w="53" w:type="dxa"/>
            </w:tcMar>
            <w:vAlign w:val="top"/>
          </w:tcPr>
          <w:p>
            <w:pPr>
              <w:keepNext/>
              <w:pageBreakBefore w:val="0"/>
              <w:spacing w:before="53" w:after="30" w:line="240" w:lineRule="auto"/>
              <w:jc w:val="right"/>
            </w:pPr>
          </w:p>
        </w:tc>
        <w:tc>
          <w:tcPr>
            <w:tcW w:w="94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599"/>
                <w:tab w:val="left" w:pos="877"/>
              </w:tabs>
              <w:spacing w:before="53" w:after="30" w:line="240" w:lineRule="auto"/>
              <w:jc w:val="right"/>
            </w:pPr>
            <w:r>
              <w:rPr>
                <w:rFonts w:ascii="Arial" w:eastAsia="Arial" w:hAnsi="Arial" w:cs="Arial"/>
                <w:b w:val="0"/>
                <w:i w:val="0"/>
                <w:color w:val="000000"/>
                <w:sz w:val="14"/>
                <w:u w:val="none"/>
              </w:rPr>
              <w:tab/>
              <w:t>566</w:t>
              <w:tab/>
            </w:r>
          </w:p>
        </w:tc>
        <w:tc>
          <w:tcPr>
            <w:tcW w:w="61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152"/>
                <w:tab w:val="left" w:pos="547"/>
              </w:tabs>
              <w:spacing w:before="53" w:after="30" w:line="240" w:lineRule="auto"/>
              <w:jc w:val="right"/>
            </w:pPr>
            <w:r>
              <w:rPr>
                <w:rFonts w:ascii="Arial" w:eastAsia="Arial" w:hAnsi="Arial" w:cs="Arial"/>
                <w:b w:val="0"/>
                <w:i w:val="0"/>
                <w:color w:val="000000"/>
                <w:sz w:val="14"/>
                <w:u w:val="none"/>
              </w:rPr>
              <w:tab/>
              <w:t>1,131</w:t>
              <w:tab/>
            </w:r>
          </w:p>
        </w:tc>
        <w:tc>
          <w:tcPr>
            <w:tcW w:w="85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392"/>
                <w:tab w:val="left" w:pos="787"/>
              </w:tabs>
              <w:spacing w:before="53" w:after="30" w:line="240" w:lineRule="auto"/>
              <w:jc w:val="right"/>
            </w:pPr>
            <w:r>
              <w:rPr>
                <w:rFonts w:ascii="Arial" w:eastAsia="Arial" w:hAnsi="Arial" w:cs="Arial"/>
                <w:b w:val="0"/>
                <w:i w:val="0"/>
                <w:color w:val="000000"/>
                <w:sz w:val="14"/>
                <w:u w:val="none"/>
              </w:rPr>
              <w:tab/>
              <w:t>2,262</w:t>
              <w:tab/>
            </w:r>
          </w:p>
        </w:tc>
        <w:tc>
          <w:tcPr>
            <w:tcW w:w="76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spacing w:before="53" w:after="30" w:line="240" w:lineRule="auto"/>
              <w:jc w:val="right"/>
            </w:pPr>
          </w:p>
        </w:tc>
        <w:tc>
          <w:tcPr>
            <w:tcW w:w="82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207"/>
                <w:tab w:val="left" w:pos="757"/>
              </w:tabs>
              <w:spacing w:before="53" w:after="30" w:line="240" w:lineRule="auto"/>
              <w:jc w:val="right"/>
            </w:pPr>
            <w:r>
              <w:rPr>
                <w:rFonts w:ascii="Arial" w:eastAsia="Arial" w:hAnsi="Arial" w:cs="Arial"/>
                <w:b w:val="0"/>
                <w:i w:val="0"/>
                <w:color w:val="000000"/>
                <w:sz w:val="14"/>
                <w:u w:val="none"/>
              </w:rPr>
              <w:t>$</w:t>
              <w:tab/>
              <w:t>251,987</w:t>
              <w:tab/>
            </w:r>
          </w:p>
        </w:tc>
      </w:tr>
      <w:tr>
        <w:tblPrEx>
          <w:tblW w:w="10530" w:type="dxa"/>
          <w:jc w:val="center"/>
          <w:tblLayout w:type="fixed"/>
          <w:tblCellMar>
            <w:left w:w="108" w:type="dxa"/>
            <w:right w:w="108" w:type="dxa"/>
          </w:tblCellMar>
        </w:tblPrEx>
        <w:trPr>
          <w:cantSplit/>
          <w:trHeight w:hRule="exact" w:val="225"/>
          <w:jc w:val="center"/>
        </w:trPr>
        <w:tc>
          <w:tcPr>
            <w:tcW w:w="187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shd w:val="clear" w:color="auto" w:fill="DBDBDB"/>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RSUs</w:t>
            </w:r>
          </w:p>
        </w:tc>
        <w:tc>
          <w:tcPr>
            <w:tcW w:w="765" w:type="dxa"/>
            <w:tcBorders>
              <w:top w:val="nil"/>
              <w:left w:val="nil"/>
              <w:bottom w:val="nil"/>
              <w:right w:val="nil"/>
            </w:tcBorders>
            <w:shd w:val="clear" w:color="auto" w:fill="DBDBDB"/>
            <w:tcMar>
              <w:top w:w="0" w:type="dxa"/>
              <w:left w:w="53" w:type="dxa"/>
              <w:bottom w:w="0" w:type="dxa"/>
              <w:right w:w="53" w:type="dxa"/>
            </w:tcMar>
            <w:vAlign w:val="top"/>
          </w:tcPr>
          <w:p>
            <w:pPr>
              <w:keepNext/>
              <w:pageBreakBefore w:val="0"/>
              <w:spacing w:before="53" w:after="30" w:line="240" w:lineRule="auto"/>
              <w:jc w:val="center"/>
            </w:pPr>
          </w:p>
        </w:tc>
        <w:tc>
          <w:tcPr>
            <w:tcW w:w="735" w:type="dxa"/>
            <w:tcBorders>
              <w:top w:val="nil"/>
              <w:left w:val="nil"/>
              <w:bottom w:val="nil"/>
              <w:right w:val="nil"/>
            </w:tcBorders>
            <w:shd w:val="clear" w:color="auto" w:fill="DBDBDB"/>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3/20/2023</w:t>
            </w:r>
          </w:p>
        </w:tc>
        <w:tc>
          <w:tcPr>
            <w:tcW w:w="885" w:type="dxa"/>
            <w:tcBorders>
              <w:top w:val="nil"/>
              <w:left w:val="nil"/>
              <w:bottom w:val="nil"/>
              <w:right w:val="nil"/>
            </w:tcBorders>
            <w:shd w:val="clear" w:color="auto" w:fill="DBDBDB"/>
            <w:tcMar>
              <w:top w:w="0" w:type="dxa"/>
              <w:left w:w="0" w:type="dxa"/>
              <w:bottom w:w="0" w:type="dxa"/>
              <w:right w:w="53" w:type="dxa"/>
            </w:tcMar>
            <w:vAlign w:val="top"/>
          </w:tcPr>
          <w:p>
            <w:pPr>
              <w:keepNext/>
              <w:pageBreakBefore w:val="0"/>
              <w:spacing w:before="53" w:after="30" w:line="240" w:lineRule="auto"/>
              <w:jc w:val="right"/>
            </w:pPr>
          </w:p>
        </w:tc>
        <w:tc>
          <w:tcPr>
            <w:tcW w:w="795" w:type="dxa"/>
            <w:tcBorders>
              <w:top w:val="nil"/>
              <w:left w:val="nil"/>
              <w:bottom w:val="nil"/>
              <w:right w:val="nil"/>
            </w:tcBorders>
            <w:shd w:val="clear" w:color="auto" w:fill="DBDBDB"/>
            <w:tcMar>
              <w:top w:w="0" w:type="dxa"/>
              <w:left w:w="0" w:type="dxa"/>
              <w:bottom w:w="0" w:type="dxa"/>
              <w:right w:w="53" w:type="dxa"/>
            </w:tcMar>
            <w:vAlign w:val="top"/>
          </w:tcPr>
          <w:p>
            <w:pPr>
              <w:keepNext/>
              <w:pageBreakBefore w:val="0"/>
              <w:spacing w:before="53" w:after="30" w:line="240" w:lineRule="auto"/>
              <w:jc w:val="right"/>
            </w:pPr>
          </w:p>
        </w:tc>
        <w:tc>
          <w:tcPr>
            <w:tcW w:w="885" w:type="dxa"/>
            <w:tcBorders>
              <w:top w:val="nil"/>
              <w:left w:val="nil"/>
              <w:bottom w:val="nil"/>
              <w:right w:val="nil"/>
            </w:tcBorders>
            <w:shd w:val="clear" w:color="auto" w:fill="DBDBDB"/>
            <w:tcMar>
              <w:top w:w="0" w:type="dxa"/>
              <w:left w:w="0" w:type="dxa"/>
              <w:bottom w:w="0" w:type="dxa"/>
              <w:right w:w="53" w:type="dxa"/>
            </w:tcMar>
            <w:vAlign w:val="top"/>
          </w:tcPr>
          <w:p>
            <w:pPr>
              <w:keepNext/>
              <w:pageBreakBefore w:val="0"/>
              <w:spacing w:before="53" w:after="30" w:line="240" w:lineRule="auto"/>
              <w:jc w:val="right"/>
            </w:pPr>
          </w:p>
        </w:tc>
        <w:tc>
          <w:tcPr>
            <w:tcW w:w="94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spacing w:before="53" w:after="30" w:line="240" w:lineRule="auto"/>
              <w:jc w:val="right"/>
            </w:pPr>
          </w:p>
        </w:tc>
        <w:tc>
          <w:tcPr>
            <w:tcW w:w="61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spacing w:before="53" w:after="30" w:line="240" w:lineRule="auto"/>
              <w:jc w:val="right"/>
            </w:pPr>
          </w:p>
        </w:tc>
        <w:tc>
          <w:tcPr>
            <w:tcW w:w="85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spacing w:before="53" w:after="30" w:line="240" w:lineRule="auto"/>
              <w:jc w:val="right"/>
            </w:pPr>
          </w:p>
        </w:tc>
        <w:tc>
          <w:tcPr>
            <w:tcW w:w="76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419"/>
                <w:tab w:val="left" w:pos="697"/>
              </w:tabs>
              <w:spacing w:before="53" w:after="30" w:line="240" w:lineRule="auto"/>
              <w:jc w:val="right"/>
            </w:pPr>
            <w:r>
              <w:rPr>
                <w:rFonts w:ascii="Arial" w:eastAsia="Arial" w:hAnsi="Arial" w:cs="Arial"/>
                <w:b w:val="0"/>
                <w:i w:val="0"/>
                <w:color w:val="000000"/>
                <w:sz w:val="14"/>
                <w:u w:val="none"/>
              </w:rPr>
              <w:tab/>
              <w:t>970</w:t>
              <w:tab/>
            </w:r>
          </w:p>
        </w:tc>
        <w:tc>
          <w:tcPr>
            <w:tcW w:w="825" w:type="dxa"/>
            <w:tcBorders>
              <w:top w:val="nil"/>
              <w:left w:val="nil"/>
              <w:bottom w:val="nil"/>
              <w:right w:val="nil"/>
            </w:tcBorders>
            <w:shd w:val="clear" w:color="auto" w:fill="DBDBDB"/>
            <w:tcMar>
              <w:top w:w="0" w:type="dxa"/>
              <w:left w:w="0" w:type="dxa"/>
              <w:bottom w:w="0" w:type="dxa"/>
              <w:right w:w="15" w:type="dxa"/>
            </w:tcMar>
            <w:vAlign w:val="top"/>
          </w:tcPr>
          <w:p>
            <w:pPr>
              <w:keepNext/>
              <w:pageBreakBefore w:val="0"/>
              <w:tabs>
                <w:tab w:val="left" w:pos="207"/>
                <w:tab w:val="left" w:pos="757"/>
              </w:tabs>
              <w:spacing w:before="53" w:after="30" w:line="240" w:lineRule="auto"/>
              <w:jc w:val="right"/>
            </w:pPr>
            <w:r>
              <w:rPr>
                <w:rFonts w:ascii="Arial" w:eastAsia="Arial" w:hAnsi="Arial" w:cs="Arial"/>
                <w:b w:val="0"/>
                <w:i w:val="0"/>
                <w:color w:val="000000"/>
                <w:sz w:val="14"/>
                <w:u w:val="none"/>
              </w:rPr>
              <w:t>$</w:t>
              <w:tab/>
              <w:t>216,116</w:t>
              <w:tab/>
            </w:r>
          </w:p>
        </w:tc>
      </w:tr>
      <w:tr>
        <w:tblPrEx>
          <w:tblW w:w="10530" w:type="dxa"/>
          <w:jc w:val="center"/>
          <w:tblLayout w:type="fixed"/>
          <w:tblCellMar>
            <w:left w:w="108" w:type="dxa"/>
            <w:right w:w="108" w:type="dxa"/>
          </w:tblCellMar>
        </w:tblPrEx>
        <w:trPr>
          <w:cantSplit/>
          <w:trHeight w:hRule="exact" w:val="225"/>
          <w:jc w:val="center"/>
        </w:trPr>
        <w:tc>
          <w:tcPr>
            <w:tcW w:w="187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shd w:val="clear" w:color="auto" w:fill="DFDDDE"/>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RSUs</w:t>
            </w:r>
          </w:p>
        </w:tc>
        <w:tc>
          <w:tcPr>
            <w:tcW w:w="765" w:type="dxa"/>
            <w:tcBorders>
              <w:top w:val="nil"/>
              <w:left w:val="nil"/>
              <w:bottom w:val="nil"/>
              <w:right w:val="nil"/>
            </w:tcBorders>
            <w:shd w:val="clear" w:color="auto" w:fill="DFDDDE"/>
            <w:tcMar>
              <w:top w:w="0" w:type="dxa"/>
              <w:left w:w="53" w:type="dxa"/>
              <w:bottom w:w="0" w:type="dxa"/>
              <w:right w:w="53" w:type="dxa"/>
            </w:tcMar>
            <w:vAlign w:val="top"/>
          </w:tcPr>
          <w:p>
            <w:pPr>
              <w:keepNext/>
              <w:pageBreakBefore w:val="0"/>
              <w:spacing w:before="53" w:after="30" w:line="240" w:lineRule="auto"/>
              <w:jc w:val="center"/>
            </w:pPr>
          </w:p>
        </w:tc>
        <w:tc>
          <w:tcPr>
            <w:tcW w:w="735" w:type="dxa"/>
            <w:tcBorders>
              <w:top w:val="nil"/>
              <w:left w:val="nil"/>
              <w:bottom w:val="nil"/>
              <w:right w:val="nil"/>
            </w:tcBorders>
            <w:shd w:val="clear" w:color="auto" w:fill="DFDDDE"/>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3/20/2023</w:t>
            </w:r>
          </w:p>
        </w:tc>
        <w:tc>
          <w:tcPr>
            <w:tcW w:w="885" w:type="dxa"/>
            <w:tcBorders>
              <w:top w:val="nil"/>
              <w:left w:val="nil"/>
              <w:bottom w:val="nil"/>
              <w:right w:val="nil"/>
            </w:tcBorders>
            <w:shd w:val="clear" w:color="auto" w:fill="DFDDDE"/>
            <w:tcMar>
              <w:top w:w="0" w:type="dxa"/>
              <w:left w:w="53" w:type="dxa"/>
              <w:bottom w:w="0" w:type="dxa"/>
              <w:right w:w="53" w:type="dxa"/>
            </w:tcMar>
            <w:vAlign w:val="top"/>
          </w:tcPr>
          <w:p>
            <w:pPr>
              <w:keepNext/>
              <w:pageBreakBefore w:val="0"/>
              <w:spacing w:before="53" w:after="30" w:line="240" w:lineRule="auto"/>
              <w:jc w:val="left"/>
            </w:pPr>
          </w:p>
        </w:tc>
        <w:tc>
          <w:tcPr>
            <w:tcW w:w="795" w:type="dxa"/>
            <w:tcBorders>
              <w:top w:val="nil"/>
              <w:left w:val="nil"/>
              <w:bottom w:val="nil"/>
              <w:right w:val="nil"/>
            </w:tcBorders>
            <w:shd w:val="clear" w:color="auto" w:fill="DFDDDE"/>
            <w:tcMar>
              <w:top w:w="0" w:type="dxa"/>
              <w:left w:w="53" w:type="dxa"/>
              <w:bottom w:w="0" w:type="dxa"/>
              <w:right w:w="53" w:type="dxa"/>
            </w:tcMar>
            <w:vAlign w:val="top"/>
          </w:tcPr>
          <w:p>
            <w:pPr>
              <w:keepNext/>
              <w:pageBreakBefore w:val="0"/>
              <w:spacing w:before="53" w:after="30" w:line="240" w:lineRule="auto"/>
              <w:jc w:val="left"/>
            </w:pPr>
          </w:p>
        </w:tc>
        <w:tc>
          <w:tcPr>
            <w:tcW w:w="885" w:type="dxa"/>
            <w:tcBorders>
              <w:top w:val="nil"/>
              <w:left w:val="nil"/>
              <w:bottom w:val="nil"/>
              <w:right w:val="nil"/>
            </w:tcBorders>
            <w:shd w:val="clear" w:color="auto" w:fill="DFDDDE"/>
            <w:tcMar>
              <w:top w:w="0" w:type="dxa"/>
              <w:left w:w="53" w:type="dxa"/>
              <w:bottom w:w="0" w:type="dxa"/>
              <w:right w:w="53" w:type="dxa"/>
            </w:tcMar>
            <w:vAlign w:val="top"/>
          </w:tcPr>
          <w:p>
            <w:pPr>
              <w:keepNext/>
              <w:pageBreakBefore w:val="0"/>
              <w:spacing w:before="53" w:after="30" w:line="240" w:lineRule="auto"/>
              <w:jc w:val="left"/>
            </w:pPr>
          </w:p>
        </w:tc>
        <w:tc>
          <w:tcPr>
            <w:tcW w:w="945" w:type="dxa"/>
            <w:tcBorders>
              <w:top w:val="nil"/>
              <w:left w:val="nil"/>
              <w:bottom w:val="nil"/>
              <w:right w:val="nil"/>
            </w:tcBorders>
            <w:shd w:val="clear" w:color="auto" w:fill="DFDDDE"/>
            <w:tcMar>
              <w:top w:w="0" w:type="dxa"/>
              <w:left w:w="53" w:type="dxa"/>
              <w:bottom w:w="0" w:type="dxa"/>
              <w:right w:w="15" w:type="dxa"/>
            </w:tcMar>
            <w:vAlign w:val="top"/>
          </w:tcPr>
          <w:p>
            <w:pPr>
              <w:keepNext/>
              <w:pageBreakBefore w:val="0"/>
              <w:spacing w:before="53" w:after="30" w:line="240" w:lineRule="auto"/>
              <w:jc w:val="left"/>
            </w:pPr>
          </w:p>
        </w:tc>
        <w:tc>
          <w:tcPr>
            <w:tcW w:w="615" w:type="dxa"/>
            <w:tcBorders>
              <w:top w:val="nil"/>
              <w:left w:val="nil"/>
              <w:bottom w:val="nil"/>
              <w:right w:val="nil"/>
            </w:tcBorders>
            <w:shd w:val="clear" w:color="auto" w:fill="DFDDDE"/>
            <w:tcMar>
              <w:top w:w="0" w:type="dxa"/>
              <w:left w:w="53" w:type="dxa"/>
              <w:bottom w:w="0" w:type="dxa"/>
              <w:right w:w="15" w:type="dxa"/>
            </w:tcMar>
            <w:vAlign w:val="top"/>
          </w:tcPr>
          <w:p>
            <w:pPr>
              <w:keepNext/>
              <w:pageBreakBefore w:val="0"/>
              <w:spacing w:before="53" w:after="30" w:line="240" w:lineRule="auto"/>
              <w:jc w:val="left"/>
            </w:pPr>
          </w:p>
        </w:tc>
        <w:tc>
          <w:tcPr>
            <w:tcW w:w="855" w:type="dxa"/>
            <w:tcBorders>
              <w:top w:val="nil"/>
              <w:left w:val="nil"/>
              <w:bottom w:val="nil"/>
              <w:right w:val="nil"/>
            </w:tcBorders>
            <w:shd w:val="clear" w:color="auto" w:fill="DFDDDE"/>
            <w:tcMar>
              <w:top w:w="0" w:type="dxa"/>
              <w:left w:w="53" w:type="dxa"/>
              <w:bottom w:w="0" w:type="dxa"/>
              <w:right w:w="15" w:type="dxa"/>
            </w:tcMar>
            <w:vAlign w:val="top"/>
          </w:tcPr>
          <w:p>
            <w:pPr>
              <w:keepNext/>
              <w:pageBreakBefore w:val="0"/>
              <w:spacing w:before="53" w:after="30" w:line="240" w:lineRule="auto"/>
              <w:jc w:val="left"/>
            </w:pPr>
          </w:p>
        </w:tc>
        <w:tc>
          <w:tcPr>
            <w:tcW w:w="76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302"/>
                <w:tab w:val="left" w:pos="697"/>
              </w:tabs>
              <w:spacing w:before="53" w:after="30" w:line="240" w:lineRule="auto"/>
              <w:jc w:val="right"/>
            </w:pPr>
            <w:r>
              <w:rPr>
                <w:rFonts w:ascii="Arial" w:eastAsia="Arial" w:hAnsi="Arial" w:cs="Arial"/>
                <w:b w:val="0"/>
                <w:i w:val="0"/>
                <w:color w:val="000000"/>
                <w:sz w:val="14"/>
                <w:u w:val="none"/>
              </w:rPr>
              <w:tab/>
              <w:t>4,488</w:t>
              <w:tab/>
            </w:r>
          </w:p>
        </w:tc>
        <w:tc>
          <w:tcPr>
            <w:tcW w:w="825" w:type="dxa"/>
            <w:tcBorders>
              <w:top w:val="nil"/>
              <w:left w:val="nil"/>
              <w:bottom w:val="nil"/>
              <w:right w:val="nil"/>
            </w:tcBorders>
            <w:shd w:val="clear" w:color="auto" w:fill="DFDDDE"/>
            <w:tcMar>
              <w:top w:w="0" w:type="dxa"/>
              <w:left w:w="0" w:type="dxa"/>
              <w:bottom w:w="0" w:type="dxa"/>
              <w:right w:w="15" w:type="dxa"/>
            </w:tcMar>
            <w:vAlign w:val="top"/>
          </w:tcPr>
          <w:p>
            <w:pPr>
              <w:keepNext/>
              <w:pageBreakBefore w:val="0"/>
              <w:tabs>
                <w:tab w:val="left" w:pos="207"/>
                <w:tab w:val="left" w:pos="757"/>
              </w:tabs>
              <w:spacing w:before="53" w:after="30" w:line="240" w:lineRule="auto"/>
              <w:jc w:val="right"/>
            </w:pPr>
            <w:r>
              <w:rPr>
                <w:rFonts w:ascii="Arial" w:eastAsia="Arial" w:hAnsi="Arial" w:cs="Arial"/>
                <w:b w:val="0"/>
                <w:i w:val="0"/>
                <w:color w:val="000000"/>
                <w:sz w:val="14"/>
                <w:u w:val="none"/>
              </w:rPr>
              <w:t>$</w:t>
              <w:tab/>
              <w:t>999,926</w:t>
              <w:tab/>
            </w:r>
          </w:p>
        </w:tc>
      </w:tr>
      <w:tr>
        <w:tblPrEx>
          <w:tblW w:w="10530" w:type="dxa"/>
          <w:jc w:val="center"/>
          <w:tblLayout w:type="fixed"/>
          <w:tblCellMar>
            <w:left w:w="108" w:type="dxa"/>
            <w:right w:w="108" w:type="dxa"/>
          </w:tblCellMar>
        </w:tblPrEx>
        <w:trPr>
          <w:cantSplit/>
          <w:trHeight w:hRule="exact" w:val="60"/>
          <w:jc w:val="center"/>
        </w:trPr>
        <w:tc>
          <w:tcPr>
            <w:tcW w:w="187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88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79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88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94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61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85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82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r>
      <w:tr>
        <w:tblPrEx>
          <w:tblW w:w="10530" w:type="dxa"/>
          <w:jc w:val="center"/>
          <w:tblLayout w:type="fixed"/>
          <w:tblCellMar>
            <w:left w:w="108" w:type="dxa"/>
            <w:right w:w="108" w:type="dxa"/>
          </w:tblCellMar>
        </w:tblPrEx>
        <w:trPr>
          <w:cantSplit/>
          <w:trHeight w:hRule="exact" w:val="225"/>
          <w:jc w:val="center"/>
        </w:trPr>
        <w:tc>
          <w:tcPr>
            <w:tcW w:w="187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90"/>
              <w:jc w:val="left"/>
            </w:pPr>
            <w:r>
              <w:rPr>
                <w:rFonts w:ascii="Arial" w:eastAsia="Arial" w:hAnsi="Arial" w:cs="Arial"/>
                <w:b/>
                <w:i w:val="0"/>
                <w:color w:val="000000"/>
                <w:sz w:val="14"/>
                <w:u w:val="none"/>
              </w:rPr>
              <w:t>Nazar Alobaidat</w:t>
            </w:r>
          </w:p>
        </w:tc>
        <w:tc>
          <w:tcPr>
            <w:tcW w:w="58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AIP</w:t>
            </w:r>
          </w:p>
        </w:tc>
        <w:tc>
          <w:tcPr>
            <w:tcW w:w="76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n/a</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n/a</w:t>
            </w:r>
          </w:p>
        </w:tc>
        <w:tc>
          <w:tcPr>
            <w:tcW w:w="885" w:type="dxa"/>
            <w:tcBorders>
              <w:top w:val="nil"/>
              <w:left w:val="nil"/>
              <w:bottom w:val="nil"/>
              <w:right w:val="nil"/>
            </w:tcBorders>
            <w:tcMar>
              <w:top w:w="0" w:type="dxa"/>
              <w:left w:w="0" w:type="dxa"/>
              <w:bottom w:w="0" w:type="dxa"/>
              <w:right w:w="15" w:type="dxa"/>
            </w:tcMar>
            <w:vAlign w:val="top"/>
          </w:tcPr>
          <w:p>
            <w:pPr>
              <w:keepNext/>
              <w:pageBreakBefore w:val="0"/>
              <w:tabs>
                <w:tab w:val="left" w:pos="267"/>
                <w:tab w:val="left" w:pos="817"/>
              </w:tabs>
              <w:spacing w:before="53" w:after="30" w:line="240" w:lineRule="auto"/>
              <w:jc w:val="right"/>
            </w:pPr>
            <w:r>
              <w:rPr>
                <w:rFonts w:ascii="Arial" w:eastAsia="Arial" w:hAnsi="Arial" w:cs="Arial"/>
                <w:b w:val="0"/>
                <w:i w:val="0"/>
                <w:color w:val="000000"/>
                <w:sz w:val="14"/>
                <w:u w:val="none"/>
              </w:rPr>
              <w:t>$</w:t>
              <w:tab/>
              <w:t>351,000</w:t>
              <w:tab/>
            </w:r>
          </w:p>
        </w:tc>
        <w:tc>
          <w:tcPr>
            <w:tcW w:w="795" w:type="dxa"/>
            <w:tcBorders>
              <w:top w:val="nil"/>
              <w:left w:val="nil"/>
              <w:bottom w:val="nil"/>
              <w:right w:val="nil"/>
            </w:tcBorders>
            <w:tcMar>
              <w:top w:w="0" w:type="dxa"/>
              <w:left w:w="0" w:type="dxa"/>
              <w:bottom w:w="0" w:type="dxa"/>
              <w:right w:w="15" w:type="dxa"/>
            </w:tcMar>
            <w:vAlign w:val="top"/>
          </w:tcPr>
          <w:p>
            <w:pPr>
              <w:keepNext/>
              <w:pageBreakBefore w:val="0"/>
              <w:tabs>
                <w:tab w:val="left" w:pos="177"/>
                <w:tab w:val="left" w:pos="727"/>
              </w:tabs>
              <w:spacing w:before="53" w:after="30" w:line="240" w:lineRule="auto"/>
              <w:jc w:val="right"/>
            </w:pPr>
            <w:r>
              <w:rPr>
                <w:rFonts w:ascii="Arial" w:eastAsia="Arial" w:hAnsi="Arial" w:cs="Arial"/>
                <w:b w:val="0"/>
                <w:i w:val="0"/>
                <w:color w:val="000000"/>
                <w:sz w:val="14"/>
                <w:u w:val="none"/>
              </w:rPr>
              <w:t>$</w:t>
              <w:tab/>
              <w:t>812,500</w:t>
              <w:tab/>
            </w:r>
          </w:p>
        </w:tc>
        <w:tc>
          <w:tcPr>
            <w:tcW w:w="885" w:type="dxa"/>
            <w:tcBorders>
              <w:top w:val="nil"/>
              <w:left w:val="nil"/>
              <w:bottom w:val="nil"/>
              <w:right w:val="nil"/>
            </w:tcBorders>
            <w:tcMar>
              <w:top w:w="0" w:type="dxa"/>
              <w:left w:w="0" w:type="dxa"/>
              <w:bottom w:w="0" w:type="dxa"/>
              <w:right w:w="15" w:type="dxa"/>
            </w:tcMar>
            <w:vAlign w:val="top"/>
          </w:tcPr>
          <w:p>
            <w:pPr>
              <w:keepNext/>
              <w:pageBreakBefore w:val="0"/>
              <w:tabs>
                <w:tab w:val="left" w:pos="150"/>
                <w:tab w:val="left" w:pos="817"/>
              </w:tabs>
              <w:spacing w:before="53" w:after="30" w:line="240" w:lineRule="auto"/>
              <w:jc w:val="right"/>
            </w:pPr>
            <w:r>
              <w:rPr>
                <w:rFonts w:ascii="Arial" w:eastAsia="Arial" w:hAnsi="Arial" w:cs="Arial"/>
                <w:b w:val="0"/>
                <w:i w:val="0"/>
                <w:color w:val="000000"/>
                <w:sz w:val="14"/>
                <w:u w:val="none"/>
              </w:rPr>
              <w:t>$</w:t>
              <w:tab/>
              <w:t>1,072,500</w:t>
              <w:tab/>
            </w:r>
          </w:p>
        </w:tc>
        <w:tc>
          <w:tcPr>
            <w:tcW w:w="945" w:type="dxa"/>
            <w:tcBorders>
              <w:top w:val="nil"/>
              <w:left w:val="nil"/>
              <w:bottom w:val="nil"/>
              <w:right w:val="nil"/>
            </w:tcBorders>
            <w:tcMar>
              <w:top w:w="0" w:type="dxa"/>
              <w:left w:w="53" w:type="dxa"/>
              <w:bottom w:w="0" w:type="dxa"/>
              <w:right w:w="15" w:type="dxa"/>
            </w:tcMar>
            <w:vAlign w:val="top"/>
          </w:tcPr>
          <w:p>
            <w:pPr>
              <w:keepNext/>
              <w:pageBreakBefore w:val="0"/>
              <w:spacing w:before="53" w:after="30" w:line="240" w:lineRule="auto"/>
              <w:jc w:val="left"/>
            </w:pPr>
          </w:p>
        </w:tc>
        <w:tc>
          <w:tcPr>
            <w:tcW w:w="615" w:type="dxa"/>
            <w:tcBorders>
              <w:top w:val="nil"/>
              <w:left w:val="nil"/>
              <w:bottom w:val="nil"/>
              <w:right w:val="nil"/>
            </w:tcBorders>
            <w:tcMar>
              <w:top w:w="0" w:type="dxa"/>
              <w:left w:w="53" w:type="dxa"/>
              <w:bottom w:w="0" w:type="dxa"/>
              <w:right w:w="15" w:type="dxa"/>
            </w:tcMar>
            <w:vAlign w:val="top"/>
          </w:tcPr>
          <w:p>
            <w:pPr>
              <w:keepNext/>
              <w:pageBreakBefore w:val="0"/>
              <w:spacing w:before="53" w:after="30" w:line="240" w:lineRule="auto"/>
              <w:jc w:val="left"/>
            </w:pPr>
          </w:p>
        </w:tc>
        <w:tc>
          <w:tcPr>
            <w:tcW w:w="855" w:type="dxa"/>
            <w:tcBorders>
              <w:top w:val="nil"/>
              <w:left w:val="nil"/>
              <w:bottom w:val="nil"/>
              <w:right w:val="nil"/>
            </w:tcBorders>
            <w:tcMar>
              <w:top w:w="0" w:type="dxa"/>
              <w:left w:w="53" w:type="dxa"/>
              <w:bottom w:w="0" w:type="dxa"/>
              <w:right w:w="15" w:type="dxa"/>
            </w:tcMar>
            <w:vAlign w:val="top"/>
          </w:tcPr>
          <w:p>
            <w:pPr>
              <w:keepNext/>
              <w:pageBreakBefore w:val="0"/>
              <w:spacing w:before="53" w:after="30" w:line="240" w:lineRule="auto"/>
              <w:jc w:val="left"/>
            </w:pPr>
          </w:p>
        </w:tc>
        <w:tc>
          <w:tcPr>
            <w:tcW w:w="765" w:type="dxa"/>
            <w:tcBorders>
              <w:top w:val="nil"/>
              <w:left w:val="nil"/>
              <w:bottom w:val="nil"/>
              <w:right w:val="nil"/>
            </w:tcBorders>
            <w:tcMar>
              <w:top w:w="0" w:type="dxa"/>
              <w:left w:w="0" w:type="dxa"/>
              <w:bottom w:w="0" w:type="dxa"/>
              <w:right w:w="15" w:type="dxa"/>
            </w:tcMar>
            <w:vAlign w:val="top"/>
          </w:tcPr>
          <w:p>
            <w:pPr>
              <w:keepNext/>
              <w:pageBreakBefore w:val="0"/>
              <w:spacing w:before="53" w:after="30" w:line="240" w:lineRule="auto"/>
              <w:jc w:val="right"/>
            </w:pPr>
          </w:p>
        </w:tc>
        <w:tc>
          <w:tcPr>
            <w:tcW w:w="825" w:type="dxa"/>
            <w:tcBorders>
              <w:top w:val="nil"/>
              <w:left w:val="nil"/>
              <w:bottom w:val="nil"/>
              <w:right w:val="nil"/>
            </w:tcBorders>
            <w:tcMar>
              <w:top w:w="0" w:type="dxa"/>
              <w:left w:w="0" w:type="dxa"/>
              <w:bottom w:w="0" w:type="dxa"/>
              <w:right w:w="15" w:type="dxa"/>
            </w:tcMar>
            <w:vAlign w:val="top"/>
          </w:tcPr>
          <w:p>
            <w:pPr>
              <w:keepNext/>
              <w:pageBreakBefore w:val="0"/>
              <w:spacing w:before="53" w:after="30" w:line="240" w:lineRule="auto"/>
              <w:jc w:val="right"/>
            </w:pPr>
          </w:p>
        </w:tc>
      </w:tr>
      <w:tr>
        <w:tblPrEx>
          <w:tblW w:w="10530" w:type="dxa"/>
          <w:jc w:val="center"/>
          <w:tblLayout w:type="fixed"/>
          <w:tblCellMar>
            <w:left w:w="108" w:type="dxa"/>
            <w:right w:w="108" w:type="dxa"/>
          </w:tblCellMar>
        </w:tblPrEx>
        <w:trPr>
          <w:cantSplit/>
          <w:trHeight w:hRule="exact" w:val="225"/>
          <w:jc w:val="center"/>
        </w:trPr>
        <w:tc>
          <w:tcPr>
            <w:tcW w:w="18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PSUs</w:t>
            </w:r>
          </w:p>
        </w:tc>
        <w:tc>
          <w:tcPr>
            <w:tcW w:w="76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3/20/2023</w:t>
            </w:r>
          </w:p>
        </w:tc>
        <w:tc>
          <w:tcPr>
            <w:tcW w:w="88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p>
        </w:tc>
        <w:tc>
          <w:tcPr>
            <w:tcW w:w="79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p>
        </w:tc>
        <w:tc>
          <w:tcPr>
            <w:tcW w:w="88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p>
        </w:tc>
        <w:tc>
          <w:tcPr>
            <w:tcW w:w="945" w:type="dxa"/>
            <w:tcBorders>
              <w:top w:val="nil"/>
              <w:left w:val="nil"/>
              <w:bottom w:val="nil"/>
              <w:right w:val="nil"/>
            </w:tcBorders>
            <w:tcMar>
              <w:top w:w="0" w:type="dxa"/>
              <w:left w:w="0" w:type="dxa"/>
              <w:bottom w:w="0" w:type="dxa"/>
              <w:right w:w="15" w:type="dxa"/>
            </w:tcMar>
            <w:vAlign w:val="top"/>
          </w:tcPr>
          <w:p>
            <w:pPr>
              <w:keepNext/>
              <w:pageBreakBefore w:val="0"/>
              <w:tabs>
                <w:tab w:val="left" w:pos="599"/>
                <w:tab w:val="left" w:pos="877"/>
              </w:tabs>
              <w:spacing w:before="53" w:after="30" w:line="240" w:lineRule="auto"/>
              <w:jc w:val="right"/>
            </w:pPr>
            <w:r>
              <w:rPr>
                <w:rFonts w:ascii="Arial" w:eastAsia="Arial" w:hAnsi="Arial" w:cs="Arial"/>
                <w:b w:val="0"/>
                <w:i w:val="0"/>
                <w:color w:val="000000"/>
                <w:sz w:val="14"/>
                <w:u w:val="none"/>
              </w:rPr>
              <w:tab/>
              <w:t>471</w:t>
              <w:tab/>
            </w:r>
          </w:p>
        </w:tc>
        <w:tc>
          <w:tcPr>
            <w:tcW w:w="615" w:type="dxa"/>
            <w:tcBorders>
              <w:top w:val="nil"/>
              <w:left w:val="nil"/>
              <w:bottom w:val="nil"/>
              <w:right w:val="nil"/>
            </w:tcBorders>
            <w:tcMar>
              <w:top w:w="0" w:type="dxa"/>
              <w:left w:w="0" w:type="dxa"/>
              <w:bottom w:w="0" w:type="dxa"/>
              <w:right w:w="15" w:type="dxa"/>
            </w:tcMar>
            <w:vAlign w:val="top"/>
          </w:tcPr>
          <w:p>
            <w:pPr>
              <w:keepNext/>
              <w:pageBreakBefore w:val="0"/>
              <w:tabs>
                <w:tab w:val="left" w:pos="269"/>
                <w:tab w:val="left" w:pos="547"/>
              </w:tabs>
              <w:spacing w:before="53" w:after="30" w:line="240" w:lineRule="auto"/>
              <w:jc w:val="right"/>
            </w:pPr>
            <w:r>
              <w:rPr>
                <w:rFonts w:ascii="Arial" w:eastAsia="Arial" w:hAnsi="Arial" w:cs="Arial"/>
                <w:b w:val="0"/>
                <w:i w:val="0"/>
                <w:color w:val="000000"/>
                <w:sz w:val="14"/>
                <w:u w:val="none"/>
              </w:rPr>
              <w:tab/>
              <w:t>942</w:t>
              <w:tab/>
            </w:r>
          </w:p>
        </w:tc>
        <w:tc>
          <w:tcPr>
            <w:tcW w:w="855" w:type="dxa"/>
            <w:tcBorders>
              <w:top w:val="nil"/>
              <w:left w:val="nil"/>
              <w:bottom w:val="nil"/>
              <w:right w:val="nil"/>
            </w:tcBorders>
            <w:tcMar>
              <w:top w:w="0" w:type="dxa"/>
              <w:left w:w="0" w:type="dxa"/>
              <w:bottom w:w="0" w:type="dxa"/>
              <w:right w:w="15" w:type="dxa"/>
            </w:tcMar>
            <w:vAlign w:val="top"/>
          </w:tcPr>
          <w:p>
            <w:pPr>
              <w:keepNext/>
              <w:pageBreakBefore w:val="0"/>
              <w:tabs>
                <w:tab w:val="left" w:pos="392"/>
                <w:tab w:val="left" w:pos="787"/>
              </w:tabs>
              <w:spacing w:before="53" w:after="30" w:line="240" w:lineRule="auto"/>
              <w:jc w:val="right"/>
            </w:pPr>
            <w:r>
              <w:rPr>
                <w:rFonts w:ascii="Arial" w:eastAsia="Arial" w:hAnsi="Arial" w:cs="Arial"/>
                <w:b w:val="0"/>
                <w:i w:val="0"/>
                <w:color w:val="000000"/>
                <w:sz w:val="14"/>
                <w:u w:val="none"/>
              </w:rPr>
              <w:tab/>
              <w:t>1,884</w:t>
              <w:tab/>
            </w:r>
          </w:p>
        </w:tc>
        <w:tc>
          <w:tcPr>
            <w:tcW w:w="765" w:type="dxa"/>
            <w:tcBorders>
              <w:top w:val="nil"/>
              <w:left w:val="nil"/>
              <w:bottom w:val="nil"/>
              <w:right w:val="nil"/>
            </w:tcBorders>
            <w:tcMar>
              <w:top w:w="0" w:type="dxa"/>
              <w:left w:w="0" w:type="dxa"/>
              <w:bottom w:w="0" w:type="dxa"/>
              <w:right w:w="15" w:type="dxa"/>
            </w:tcMar>
            <w:vAlign w:val="top"/>
          </w:tcPr>
          <w:p>
            <w:pPr>
              <w:keepNext/>
              <w:pageBreakBefore w:val="0"/>
              <w:spacing w:before="53" w:after="30" w:line="240" w:lineRule="auto"/>
              <w:jc w:val="right"/>
            </w:pPr>
          </w:p>
        </w:tc>
        <w:tc>
          <w:tcPr>
            <w:tcW w:w="825" w:type="dxa"/>
            <w:tcBorders>
              <w:top w:val="nil"/>
              <w:left w:val="nil"/>
              <w:bottom w:val="nil"/>
              <w:right w:val="nil"/>
            </w:tcBorders>
            <w:tcMar>
              <w:top w:w="0" w:type="dxa"/>
              <w:left w:w="0" w:type="dxa"/>
              <w:bottom w:w="0" w:type="dxa"/>
              <w:right w:w="15" w:type="dxa"/>
            </w:tcMar>
            <w:vAlign w:val="top"/>
          </w:tcPr>
          <w:p>
            <w:pPr>
              <w:keepNext/>
              <w:pageBreakBefore w:val="0"/>
              <w:tabs>
                <w:tab w:val="left" w:pos="207"/>
                <w:tab w:val="left" w:pos="757"/>
              </w:tabs>
              <w:spacing w:before="53" w:after="30" w:line="240" w:lineRule="auto"/>
              <w:jc w:val="right"/>
            </w:pPr>
            <w:r>
              <w:rPr>
                <w:rFonts w:ascii="Arial" w:eastAsia="Arial" w:hAnsi="Arial" w:cs="Arial"/>
                <w:b w:val="0"/>
                <w:i w:val="0"/>
                <w:color w:val="000000"/>
                <w:sz w:val="14"/>
                <w:u w:val="none"/>
              </w:rPr>
              <w:t>$</w:t>
              <w:tab/>
              <w:t>209,878</w:t>
              <w:tab/>
            </w:r>
          </w:p>
        </w:tc>
      </w:tr>
      <w:tr>
        <w:tblPrEx>
          <w:tblW w:w="10530" w:type="dxa"/>
          <w:jc w:val="center"/>
          <w:tblLayout w:type="fixed"/>
          <w:tblCellMar>
            <w:left w:w="108" w:type="dxa"/>
            <w:right w:w="108" w:type="dxa"/>
          </w:tblCellMar>
        </w:tblPrEx>
        <w:trPr>
          <w:cantSplit/>
          <w:trHeight w:hRule="exact" w:val="225"/>
          <w:jc w:val="center"/>
        </w:trPr>
        <w:tc>
          <w:tcPr>
            <w:tcW w:w="18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PSUs</w:t>
            </w:r>
          </w:p>
        </w:tc>
        <w:tc>
          <w:tcPr>
            <w:tcW w:w="76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3/20/2023</w:t>
            </w:r>
          </w:p>
        </w:tc>
        <w:tc>
          <w:tcPr>
            <w:tcW w:w="88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p>
        </w:tc>
        <w:tc>
          <w:tcPr>
            <w:tcW w:w="79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p>
        </w:tc>
        <w:tc>
          <w:tcPr>
            <w:tcW w:w="88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p>
        </w:tc>
        <w:tc>
          <w:tcPr>
            <w:tcW w:w="945" w:type="dxa"/>
            <w:tcBorders>
              <w:top w:val="nil"/>
              <w:left w:val="nil"/>
              <w:bottom w:val="nil"/>
              <w:right w:val="nil"/>
            </w:tcBorders>
            <w:tcMar>
              <w:top w:w="0" w:type="dxa"/>
              <w:left w:w="0" w:type="dxa"/>
              <w:bottom w:w="0" w:type="dxa"/>
              <w:right w:w="15" w:type="dxa"/>
            </w:tcMar>
            <w:vAlign w:val="top"/>
          </w:tcPr>
          <w:p>
            <w:pPr>
              <w:keepNext/>
              <w:pageBreakBefore w:val="0"/>
              <w:tabs>
                <w:tab w:val="left" w:pos="599"/>
                <w:tab w:val="left" w:pos="877"/>
              </w:tabs>
              <w:spacing w:before="53" w:after="30" w:line="240" w:lineRule="auto"/>
              <w:jc w:val="right"/>
            </w:pPr>
            <w:r>
              <w:rPr>
                <w:rFonts w:ascii="Arial" w:eastAsia="Arial" w:hAnsi="Arial" w:cs="Arial"/>
                <w:b w:val="0"/>
                <w:i w:val="0"/>
                <w:color w:val="000000"/>
                <w:sz w:val="14"/>
                <w:u w:val="none"/>
              </w:rPr>
              <w:tab/>
              <w:t>472</w:t>
              <w:tab/>
            </w:r>
          </w:p>
        </w:tc>
        <w:tc>
          <w:tcPr>
            <w:tcW w:w="615" w:type="dxa"/>
            <w:tcBorders>
              <w:top w:val="nil"/>
              <w:left w:val="nil"/>
              <w:bottom w:val="nil"/>
              <w:right w:val="nil"/>
            </w:tcBorders>
            <w:tcMar>
              <w:top w:w="0" w:type="dxa"/>
              <w:left w:w="0" w:type="dxa"/>
              <w:bottom w:w="0" w:type="dxa"/>
              <w:right w:w="15" w:type="dxa"/>
            </w:tcMar>
            <w:vAlign w:val="top"/>
          </w:tcPr>
          <w:p>
            <w:pPr>
              <w:keepNext/>
              <w:pageBreakBefore w:val="0"/>
              <w:tabs>
                <w:tab w:val="left" w:pos="269"/>
                <w:tab w:val="left" w:pos="547"/>
              </w:tabs>
              <w:spacing w:before="53" w:after="30" w:line="240" w:lineRule="auto"/>
              <w:jc w:val="right"/>
            </w:pPr>
            <w:r>
              <w:rPr>
                <w:rFonts w:ascii="Arial" w:eastAsia="Arial" w:hAnsi="Arial" w:cs="Arial"/>
                <w:b w:val="0"/>
                <w:i w:val="0"/>
                <w:color w:val="000000"/>
                <w:sz w:val="14"/>
                <w:u w:val="none"/>
              </w:rPr>
              <w:tab/>
              <w:t>943</w:t>
              <w:tab/>
            </w:r>
          </w:p>
        </w:tc>
        <w:tc>
          <w:tcPr>
            <w:tcW w:w="855" w:type="dxa"/>
            <w:tcBorders>
              <w:top w:val="nil"/>
              <w:left w:val="nil"/>
              <w:bottom w:val="nil"/>
              <w:right w:val="nil"/>
            </w:tcBorders>
            <w:tcMar>
              <w:top w:w="0" w:type="dxa"/>
              <w:left w:w="0" w:type="dxa"/>
              <w:bottom w:w="0" w:type="dxa"/>
              <w:right w:w="15" w:type="dxa"/>
            </w:tcMar>
            <w:vAlign w:val="top"/>
          </w:tcPr>
          <w:p>
            <w:pPr>
              <w:keepNext/>
              <w:pageBreakBefore w:val="0"/>
              <w:tabs>
                <w:tab w:val="left" w:pos="392"/>
                <w:tab w:val="left" w:pos="787"/>
              </w:tabs>
              <w:spacing w:before="53" w:after="30" w:line="240" w:lineRule="auto"/>
              <w:jc w:val="right"/>
            </w:pPr>
            <w:r>
              <w:rPr>
                <w:rFonts w:ascii="Arial" w:eastAsia="Arial" w:hAnsi="Arial" w:cs="Arial"/>
                <w:b w:val="0"/>
                <w:i w:val="0"/>
                <w:color w:val="000000"/>
                <w:sz w:val="14"/>
                <w:u w:val="none"/>
              </w:rPr>
              <w:tab/>
              <w:t>1,886</w:t>
              <w:tab/>
            </w:r>
          </w:p>
        </w:tc>
        <w:tc>
          <w:tcPr>
            <w:tcW w:w="765" w:type="dxa"/>
            <w:tcBorders>
              <w:top w:val="nil"/>
              <w:left w:val="nil"/>
              <w:bottom w:val="nil"/>
              <w:right w:val="nil"/>
            </w:tcBorders>
            <w:tcMar>
              <w:top w:w="0" w:type="dxa"/>
              <w:left w:w="0" w:type="dxa"/>
              <w:bottom w:w="0" w:type="dxa"/>
              <w:right w:w="15" w:type="dxa"/>
            </w:tcMar>
            <w:vAlign w:val="top"/>
          </w:tcPr>
          <w:p>
            <w:pPr>
              <w:keepNext/>
              <w:pageBreakBefore w:val="0"/>
              <w:spacing w:before="53" w:after="30" w:line="240" w:lineRule="auto"/>
              <w:jc w:val="right"/>
            </w:pPr>
          </w:p>
        </w:tc>
        <w:tc>
          <w:tcPr>
            <w:tcW w:w="825" w:type="dxa"/>
            <w:tcBorders>
              <w:top w:val="nil"/>
              <w:left w:val="nil"/>
              <w:bottom w:val="nil"/>
              <w:right w:val="nil"/>
            </w:tcBorders>
            <w:tcMar>
              <w:top w:w="0" w:type="dxa"/>
              <w:left w:w="0" w:type="dxa"/>
              <w:bottom w:w="0" w:type="dxa"/>
              <w:right w:w="15" w:type="dxa"/>
            </w:tcMar>
            <w:vAlign w:val="top"/>
          </w:tcPr>
          <w:p>
            <w:pPr>
              <w:keepNext/>
              <w:pageBreakBefore w:val="0"/>
              <w:tabs>
                <w:tab w:val="left" w:pos="207"/>
                <w:tab w:val="left" w:pos="757"/>
              </w:tabs>
              <w:spacing w:before="53" w:after="30" w:line="240" w:lineRule="auto"/>
              <w:jc w:val="right"/>
            </w:pPr>
            <w:r>
              <w:rPr>
                <w:rFonts w:ascii="Arial" w:eastAsia="Arial" w:hAnsi="Arial" w:cs="Arial"/>
                <w:b w:val="0"/>
                <w:i w:val="0"/>
                <w:color w:val="000000"/>
                <w:sz w:val="14"/>
                <w:u w:val="none"/>
              </w:rPr>
              <w:t>$</w:t>
              <w:tab/>
              <w:t>210,100</w:t>
              <w:tab/>
            </w:r>
          </w:p>
        </w:tc>
      </w:tr>
      <w:tr>
        <w:tblPrEx>
          <w:tblW w:w="10530" w:type="dxa"/>
          <w:jc w:val="center"/>
          <w:tblLayout w:type="fixed"/>
          <w:tblCellMar>
            <w:left w:w="108" w:type="dxa"/>
            <w:right w:w="108" w:type="dxa"/>
          </w:tblCellMar>
        </w:tblPrEx>
        <w:trPr>
          <w:cantSplit/>
          <w:trHeight w:hRule="exact" w:val="225"/>
          <w:jc w:val="center"/>
        </w:trPr>
        <w:tc>
          <w:tcPr>
            <w:tcW w:w="18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8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RSUs</w:t>
            </w:r>
          </w:p>
        </w:tc>
        <w:tc>
          <w:tcPr>
            <w:tcW w:w="76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val="0"/>
                <w:i w:val="0"/>
                <w:color w:val="000000"/>
                <w:sz w:val="14"/>
                <w:u w:val="none"/>
              </w:rPr>
              <w:t>3/20/2023</w:t>
            </w:r>
          </w:p>
        </w:tc>
        <w:tc>
          <w:tcPr>
            <w:tcW w:w="88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p>
        </w:tc>
        <w:tc>
          <w:tcPr>
            <w:tcW w:w="79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p>
        </w:tc>
        <w:tc>
          <w:tcPr>
            <w:tcW w:w="88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p>
        </w:tc>
        <w:tc>
          <w:tcPr>
            <w:tcW w:w="945" w:type="dxa"/>
            <w:tcBorders>
              <w:top w:val="nil"/>
              <w:left w:val="nil"/>
              <w:bottom w:val="nil"/>
              <w:right w:val="nil"/>
            </w:tcBorders>
            <w:tcMar>
              <w:top w:w="0" w:type="dxa"/>
              <w:left w:w="53" w:type="dxa"/>
              <w:bottom w:w="0" w:type="dxa"/>
              <w:right w:w="15" w:type="dxa"/>
            </w:tcMar>
            <w:vAlign w:val="top"/>
          </w:tcPr>
          <w:p>
            <w:pPr>
              <w:keepNext/>
              <w:pageBreakBefore w:val="0"/>
              <w:spacing w:before="53" w:after="30" w:line="240" w:lineRule="auto"/>
              <w:jc w:val="left"/>
            </w:pPr>
          </w:p>
        </w:tc>
        <w:tc>
          <w:tcPr>
            <w:tcW w:w="615" w:type="dxa"/>
            <w:tcBorders>
              <w:top w:val="nil"/>
              <w:left w:val="nil"/>
              <w:bottom w:val="nil"/>
              <w:right w:val="nil"/>
            </w:tcBorders>
            <w:tcMar>
              <w:top w:w="0" w:type="dxa"/>
              <w:left w:w="53" w:type="dxa"/>
              <w:bottom w:w="0" w:type="dxa"/>
              <w:right w:w="15" w:type="dxa"/>
            </w:tcMar>
            <w:vAlign w:val="top"/>
          </w:tcPr>
          <w:p>
            <w:pPr>
              <w:keepNext/>
              <w:pageBreakBefore w:val="0"/>
              <w:spacing w:before="53" w:after="30" w:line="240" w:lineRule="auto"/>
              <w:jc w:val="left"/>
            </w:pPr>
          </w:p>
        </w:tc>
        <w:tc>
          <w:tcPr>
            <w:tcW w:w="855" w:type="dxa"/>
            <w:tcBorders>
              <w:top w:val="nil"/>
              <w:left w:val="nil"/>
              <w:bottom w:val="nil"/>
              <w:right w:val="nil"/>
            </w:tcBorders>
            <w:tcMar>
              <w:top w:w="0" w:type="dxa"/>
              <w:left w:w="53" w:type="dxa"/>
              <w:bottom w:w="0" w:type="dxa"/>
              <w:right w:w="15" w:type="dxa"/>
            </w:tcMar>
            <w:vAlign w:val="top"/>
          </w:tcPr>
          <w:p>
            <w:pPr>
              <w:keepNext/>
              <w:pageBreakBefore w:val="0"/>
              <w:spacing w:before="53" w:after="30" w:line="240" w:lineRule="auto"/>
              <w:jc w:val="left"/>
            </w:pPr>
          </w:p>
        </w:tc>
        <w:tc>
          <w:tcPr>
            <w:tcW w:w="765" w:type="dxa"/>
            <w:tcBorders>
              <w:top w:val="nil"/>
              <w:left w:val="nil"/>
              <w:bottom w:val="nil"/>
              <w:right w:val="nil"/>
            </w:tcBorders>
            <w:tcMar>
              <w:top w:w="0" w:type="dxa"/>
              <w:left w:w="0" w:type="dxa"/>
              <w:bottom w:w="0" w:type="dxa"/>
              <w:right w:w="15" w:type="dxa"/>
            </w:tcMar>
            <w:vAlign w:val="top"/>
          </w:tcPr>
          <w:p>
            <w:pPr>
              <w:keepNext/>
              <w:pageBreakBefore w:val="0"/>
              <w:tabs>
                <w:tab w:val="left" w:pos="419"/>
                <w:tab w:val="left" w:pos="697"/>
              </w:tabs>
              <w:spacing w:before="53" w:after="30" w:line="240" w:lineRule="auto"/>
              <w:jc w:val="right"/>
            </w:pPr>
            <w:r>
              <w:rPr>
                <w:rFonts w:ascii="Arial" w:eastAsia="Arial" w:hAnsi="Arial" w:cs="Arial"/>
                <w:b w:val="0"/>
                <w:i w:val="0"/>
                <w:color w:val="000000"/>
                <w:sz w:val="14"/>
                <w:u w:val="none"/>
              </w:rPr>
              <w:tab/>
              <w:t>808</w:t>
              <w:tab/>
            </w:r>
          </w:p>
        </w:tc>
        <w:tc>
          <w:tcPr>
            <w:tcW w:w="825" w:type="dxa"/>
            <w:tcBorders>
              <w:top w:val="nil"/>
              <w:left w:val="nil"/>
              <w:bottom w:val="nil"/>
              <w:right w:val="nil"/>
            </w:tcBorders>
            <w:tcMar>
              <w:top w:w="0" w:type="dxa"/>
              <w:left w:w="0" w:type="dxa"/>
              <w:bottom w:w="0" w:type="dxa"/>
              <w:right w:w="15" w:type="dxa"/>
            </w:tcMar>
            <w:vAlign w:val="top"/>
          </w:tcPr>
          <w:p>
            <w:pPr>
              <w:keepNext/>
              <w:pageBreakBefore w:val="0"/>
              <w:tabs>
                <w:tab w:val="left" w:pos="207"/>
                <w:tab w:val="left" w:pos="757"/>
              </w:tabs>
              <w:spacing w:before="53" w:after="30" w:line="240" w:lineRule="auto"/>
              <w:jc w:val="right"/>
            </w:pPr>
            <w:r>
              <w:rPr>
                <w:rFonts w:ascii="Arial" w:eastAsia="Arial" w:hAnsi="Arial" w:cs="Arial"/>
                <w:b w:val="0"/>
                <w:i w:val="0"/>
                <w:color w:val="000000"/>
                <w:sz w:val="14"/>
                <w:u w:val="none"/>
              </w:rPr>
              <w:t>$</w:t>
              <w:tab/>
              <w:t>180,022</w:t>
              <w:tab/>
            </w:r>
          </w:p>
        </w:tc>
      </w:tr>
      <w:tr>
        <w:tblPrEx>
          <w:tblW w:w="10530" w:type="dxa"/>
          <w:jc w:val="center"/>
          <w:tblLayout w:type="fixed"/>
          <w:tblCellMar>
            <w:left w:w="108" w:type="dxa"/>
            <w:right w:w="108" w:type="dxa"/>
          </w:tblCellMar>
        </w:tblPrEx>
        <w:trPr>
          <w:cantSplit/>
          <w:trHeight w:hRule="exact" w:val="225"/>
          <w:jc w:val="center"/>
        </w:trPr>
        <w:tc>
          <w:tcPr>
            <w:tcW w:w="187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58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center"/>
            </w:pPr>
            <w:r>
              <w:rPr>
                <w:rFonts w:ascii="Arial" w:eastAsia="Arial" w:hAnsi="Arial" w:cs="Arial"/>
                <w:b w:val="0"/>
                <w:i w:val="0"/>
                <w:color w:val="000000"/>
                <w:sz w:val="14"/>
                <w:u w:val="none"/>
              </w:rPr>
              <w:t>RSUs</w:t>
            </w:r>
          </w:p>
        </w:tc>
        <w:tc>
          <w:tcPr>
            <w:tcW w:w="76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center"/>
            </w:pPr>
          </w:p>
        </w:tc>
        <w:tc>
          <w:tcPr>
            <w:tcW w:w="73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center"/>
            </w:pPr>
            <w:r>
              <w:rPr>
                <w:rFonts w:ascii="Arial" w:eastAsia="Arial" w:hAnsi="Arial" w:cs="Arial"/>
                <w:b w:val="0"/>
                <w:i w:val="0"/>
                <w:color w:val="000000"/>
                <w:sz w:val="14"/>
                <w:u w:val="none"/>
              </w:rPr>
              <w:t>3/20/2023</w:t>
            </w:r>
          </w:p>
        </w:tc>
        <w:tc>
          <w:tcPr>
            <w:tcW w:w="88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p>
        </w:tc>
        <w:tc>
          <w:tcPr>
            <w:tcW w:w="79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p>
        </w:tc>
        <w:tc>
          <w:tcPr>
            <w:tcW w:w="885" w:type="dxa"/>
            <w:tcBorders>
              <w:top w:val="nil"/>
              <w:left w:val="nil"/>
              <w:bottom w:val="nil"/>
              <w:right w:val="nil"/>
            </w:tcBorders>
            <w:tcMar>
              <w:top w:w="0" w:type="dxa"/>
              <w:left w:w="53" w:type="dxa"/>
              <w:bottom w:w="0" w:type="dxa"/>
              <w:right w:w="53" w:type="dxa"/>
            </w:tcMar>
            <w:vAlign w:val="top"/>
          </w:tcPr>
          <w:p>
            <w:pPr>
              <w:pageBreakBefore w:val="0"/>
              <w:spacing w:before="53" w:after="30" w:line="240" w:lineRule="auto"/>
              <w:jc w:val="left"/>
            </w:pPr>
          </w:p>
        </w:tc>
        <w:tc>
          <w:tcPr>
            <w:tcW w:w="945" w:type="dxa"/>
            <w:tcBorders>
              <w:top w:val="nil"/>
              <w:left w:val="nil"/>
              <w:bottom w:val="nil"/>
              <w:right w:val="nil"/>
            </w:tcBorders>
            <w:tcMar>
              <w:top w:w="0" w:type="dxa"/>
              <w:left w:w="53" w:type="dxa"/>
              <w:bottom w:w="0" w:type="dxa"/>
              <w:right w:w="15" w:type="dxa"/>
            </w:tcMar>
            <w:vAlign w:val="top"/>
          </w:tcPr>
          <w:p>
            <w:pPr>
              <w:pageBreakBefore w:val="0"/>
              <w:spacing w:before="53" w:after="30" w:line="240" w:lineRule="auto"/>
              <w:jc w:val="left"/>
            </w:pPr>
          </w:p>
        </w:tc>
        <w:tc>
          <w:tcPr>
            <w:tcW w:w="615" w:type="dxa"/>
            <w:tcBorders>
              <w:top w:val="nil"/>
              <w:left w:val="nil"/>
              <w:bottom w:val="nil"/>
              <w:right w:val="nil"/>
            </w:tcBorders>
            <w:tcMar>
              <w:top w:w="0" w:type="dxa"/>
              <w:left w:w="53" w:type="dxa"/>
              <w:bottom w:w="0" w:type="dxa"/>
              <w:right w:w="15" w:type="dxa"/>
            </w:tcMar>
            <w:vAlign w:val="top"/>
          </w:tcPr>
          <w:p>
            <w:pPr>
              <w:pageBreakBefore w:val="0"/>
              <w:spacing w:before="53" w:after="30" w:line="240" w:lineRule="auto"/>
              <w:jc w:val="left"/>
            </w:pPr>
          </w:p>
        </w:tc>
        <w:tc>
          <w:tcPr>
            <w:tcW w:w="855" w:type="dxa"/>
            <w:tcBorders>
              <w:top w:val="nil"/>
              <w:left w:val="nil"/>
              <w:bottom w:val="nil"/>
              <w:right w:val="nil"/>
            </w:tcBorders>
            <w:tcMar>
              <w:top w:w="0" w:type="dxa"/>
              <w:left w:w="53" w:type="dxa"/>
              <w:bottom w:w="0" w:type="dxa"/>
              <w:right w:w="15" w:type="dxa"/>
            </w:tcMar>
            <w:vAlign w:val="top"/>
          </w:tcPr>
          <w:p>
            <w:pPr>
              <w:pageBreakBefore w:val="0"/>
              <w:spacing w:before="53" w:after="30" w:line="240" w:lineRule="auto"/>
              <w:jc w:val="left"/>
            </w:pPr>
          </w:p>
        </w:tc>
        <w:tc>
          <w:tcPr>
            <w:tcW w:w="765" w:type="dxa"/>
            <w:tcBorders>
              <w:top w:val="nil"/>
              <w:left w:val="nil"/>
              <w:bottom w:val="nil"/>
              <w:right w:val="nil"/>
            </w:tcBorders>
            <w:tcMar>
              <w:top w:w="0" w:type="dxa"/>
              <w:left w:w="0" w:type="dxa"/>
              <w:bottom w:w="0" w:type="dxa"/>
              <w:right w:w="15" w:type="dxa"/>
            </w:tcMar>
            <w:vAlign w:val="top"/>
          </w:tcPr>
          <w:p>
            <w:pPr>
              <w:pageBreakBefore w:val="0"/>
              <w:tabs>
                <w:tab w:val="left" w:pos="302"/>
                <w:tab w:val="left" w:pos="697"/>
              </w:tabs>
              <w:spacing w:before="53" w:after="30" w:line="240" w:lineRule="auto"/>
              <w:jc w:val="right"/>
            </w:pPr>
            <w:r>
              <w:rPr>
                <w:rFonts w:ascii="Arial" w:eastAsia="Arial" w:hAnsi="Arial" w:cs="Arial"/>
                <w:b w:val="0"/>
                <w:i w:val="0"/>
                <w:color w:val="000000"/>
                <w:sz w:val="14"/>
                <w:u w:val="none"/>
              </w:rPr>
              <w:tab/>
              <w:t>4,488</w:t>
              <w:tab/>
            </w:r>
          </w:p>
        </w:tc>
        <w:tc>
          <w:tcPr>
            <w:tcW w:w="825" w:type="dxa"/>
            <w:tcBorders>
              <w:top w:val="nil"/>
              <w:left w:val="nil"/>
              <w:bottom w:val="nil"/>
              <w:right w:val="nil"/>
            </w:tcBorders>
            <w:tcMar>
              <w:top w:w="0" w:type="dxa"/>
              <w:left w:w="0" w:type="dxa"/>
              <w:bottom w:w="0" w:type="dxa"/>
              <w:right w:w="15" w:type="dxa"/>
            </w:tcMar>
            <w:vAlign w:val="top"/>
          </w:tcPr>
          <w:p>
            <w:pPr>
              <w:pageBreakBefore w:val="0"/>
              <w:tabs>
                <w:tab w:val="left" w:pos="207"/>
                <w:tab w:val="left" w:pos="757"/>
              </w:tabs>
              <w:spacing w:before="53" w:after="30" w:line="240" w:lineRule="auto"/>
              <w:jc w:val="right"/>
            </w:pPr>
            <w:r>
              <w:rPr>
                <w:rFonts w:ascii="Arial" w:eastAsia="Arial" w:hAnsi="Arial" w:cs="Arial"/>
                <w:b w:val="0"/>
                <w:i w:val="0"/>
                <w:color w:val="000000"/>
                <w:sz w:val="14"/>
                <w:u w:val="none"/>
              </w:rPr>
              <w:t>$</w:t>
              <w:tab/>
              <w:t>999,926</w:t>
              <w:tab/>
            </w:r>
          </w:p>
        </w:tc>
      </w:tr>
    </w:tbl>
    <w:p>
      <w:pPr>
        <w:keepNext w:val="0"/>
        <w:keepLines w:val="0"/>
        <w:pageBreakBefore w:val="0"/>
        <w:widowControl/>
        <w:numPr>
          <w:ilvl w:val="0"/>
          <w:numId w:val="314"/>
        </w:numPr>
        <w:spacing w:before="120" w:after="60" w:line="288" w:lineRule="auto"/>
        <w:ind w:left="630" w:right="36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The amounts reported in these columns represent estimated possible payouts of performance-based annual incentive cash bonuses under the Annual Incentive Compensation Program in respect of </w:t>
      </w:r>
      <w:r>
        <w:rPr>
          <w:rFonts w:ascii="Arial" w:eastAsia="Arial" w:hAnsi="Arial" w:cs="Arial"/>
          <w:b w:val="0"/>
          <w:i w:val="0"/>
          <w:color w:val="969698"/>
          <w:sz w:val="16"/>
          <w:u w:val="none"/>
        </w:rPr>
        <w:t>2023</w:t>
      </w:r>
      <w:r>
        <w:rPr>
          <w:rFonts w:ascii="Arial" w:eastAsia="Arial" w:hAnsi="Arial" w:cs="Arial"/>
          <w:b w:val="0"/>
          <w:i w:val="0"/>
          <w:color w:val="969698"/>
          <w:sz w:val="16"/>
          <w:u w:val="none"/>
        </w:rPr>
        <w:t xml:space="preserve">, assuming threshold achievement, target achievement and maximum achievement of the applicable performance metrics and assuming full negative and positive exercise of the Committee Adjustment Amount for threshold and maximum awards, respectively. The Committee Adjustment Amount is described in detail in "Compensation Discussion and Analysis - Annual Incentive Compensation - Committee Adjustment Amount." The actual amounts paid to our named executive officers in respect of </w:t>
      </w:r>
      <w:r>
        <w:rPr>
          <w:rFonts w:ascii="Arial" w:eastAsia="Arial" w:hAnsi="Arial" w:cs="Arial"/>
          <w:b w:val="0"/>
          <w:i w:val="0"/>
          <w:color w:val="969698"/>
          <w:sz w:val="16"/>
          <w:u w:val="none"/>
        </w:rPr>
        <w:t>2023</w:t>
      </w:r>
      <w:r>
        <w:rPr>
          <w:rFonts w:ascii="Arial" w:eastAsia="Arial" w:hAnsi="Arial" w:cs="Arial"/>
          <w:b w:val="0"/>
          <w:i w:val="0"/>
          <w:color w:val="969698"/>
          <w:sz w:val="16"/>
          <w:u w:val="none"/>
        </w:rPr>
        <w:t xml:space="preserve"> are included in the Summary Compensation Table in the "Non-Equity Incentive Plan Compensation" column. </w:t>
      </w:r>
    </w:p>
    <w:p>
      <w:pPr>
        <w:keepNext w:val="0"/>
        <w:keepLines w:val="0"/>
        <w:pageBreakBefore w:val="0"/>
        <w:widowControl/>
        <w:numPr>
          <w:ilvl w:val="0"/>
          <w:numId w:val="314"/>
        </w:numPr>
        <w:spacing w:before="0" w:after="60" w:line="288" w:lineRule="auto"/>
        <w:ind w:left="630" w:right="36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The amounts reported in these columns represent grants pursuant to the Equity Plan during </w:t>
      </w:r>
      <w:r>
        <w:rPr>
          <w:rFonts w:ascii="Arial" w:eastAsia="Arial" w:hAnsi="Arial" w:cs="Arial"/>
          <w:b w:val="0"/>
          <w:i w:val="0"/>
          <w:color w:val="969698"/>
          <w:sz w:val="16"/>
          <w:u w:val="none"/>
        </w:rPr>
        <w:t>2023</w:t>
      </w:r>
      <w:r>
        <w:rPr>
          <w:rFonts w:ascii="Arial" w:eastAsia="Arial" w:hAnsi="Arial" w:cs="Arial"/>
          <w:b w:val="0"/>
          <w:i w:val="0"/>
          <w:color w:val="969698"/>
          <w:sz w:val="16"/>
          <w:u w:val="none"/>
        </w:rPr>
        <w:t xml:space="preserve"> of PSUs that cliff vest following a three-year performance period, subject to the Company's achievement of certain levels of growth in </w:t>
      </w:r>
      <w:r>
        <w:rPr>
          <w:rFonts w:ascii="Arial" w:eastAsia="Arial" w:hAnsi="Arial" w:cs="Arial"/>
          <w:b w:val="0"/>
          <w:i w:val="0"/>
          <w:color w:val="969698"/>
          <w:sz w:val="16"/>
          <w:u w:val="none"/>
        </w:rPr>
        <w:t>FDBVPS</w:t>
      </w:r>
      <w:r>
        <w:rPr>
          <w:rFonts w:ascii="Arial" w:eastAsia="Arial" w:hAnsi="Arial" w:cs="Arial"/>
          <w:b w:val="0"/>
          <w:i w:val="0"/>
          <w:color w:val="969698"/>
          <w:sz w:val="16"/>
          <w:u w:val="none"/>
        </w:rPr>
        <w:t xml:space="preserve"> or </w:t>
      </w:r>
      <w:r>
        <w:rPr>
          <w:rFonts w:ascii="Arial" w:eastAsia="Arial" w:hAnsi="Arial" w:cs="Arial"/>
          <w:b w:val="0"/>
          <w:i w:val="0"/>
          <w:color w:val="969698"/>
          <w:sz w:val="16"/>
          <w:u w:val="none"/>
        </w:rPr>
        <w:t>Adjusted</w:t>
      </w:r>
      <w:r>
        <w:rPr>
          <w:rFonts w:ascii="Arial" w:eastAsia="Arial" w:hAnsi="Arial" w:cs="Arial"/>
          <w:b w:val="0"/>
          <w:i w:val="0"/>
          <w:color w:val="969698"/>
          <w:sz w:val="16"/>
          <w:u w:val="none"/>
        </w:rPr>
        <w:t xml:space="preserve"> ROE. Failure by the Company to attain at least a threshold level of financial performance during the performance period in respect of an award would result in zero vesting of PSUs under such award.</w:t>
      </w:r>
    </w:p>
    <w:p>
      <w:pPr>
        <w:keepNext w:val="0"/>
        <w:keepLines w:val="0"/>
        <w:pageBreakBefore w:val="0"/>
        <w:widowControl/>
        <w:numPr>
          <w:ilvl w:val="0"/>
          <w:numId w:val="314"/>
        </w:numPr>
        <w:spacing w:before="0" w:after="60" w:line="288" w:lineRule="auto"/>
        <w:ind w:left="630" w:right="36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T</w:t>
      </w:r>
      <w:r>
        <w:rPr>
          <w:rFonts w:ascii="Arial" w:eastAsia="Arial" w:hAnsi="Arial" w:cs="Arial"/>
          <w:b w:val="0"/>
          <w:i w:val="0"/>
          <w:color w:val="969698"/>
          <w:sz w:val="16"/>
          <w:u w:val="none"/>
        </w:rPr>
        <w:t xml:space="preserve">he amounts reported in this column represent grants pursuant to the Equity Plan during </w:t>
      </w:r>
      <w:r>
        <w:rPr>
          <w:rFonts w:ascii="Arial" w:eastAsia="Arial" w:hAnsi="Arial" w:cs="Arial"/>
          <w:b w:val="0"/>
          <w:i w:val="0"/>
          <w:color w:val="969698"/>
          <w:sz w:val="16"/>
          <w:u w:val="none"/>
        </w:rPr>
        <w:t>2023</w:t>
      </w:r>
      <w:r>
        <w:rPr>
          <w:rFonts w:ascii="Arial" w:eastAsia="Arial" w:hAnsi="Arial" w:cs="Arial"/>
          <w:b w:val="0"/>
          <w:i w:val="0"/>
          <w:color w:val="969698"/>
          <w:sz w:val="16"/>
          <w:u w:val="none"/>
        </w:rPr>
        <w:t xml:space="preserve"> of time-vested RSUs. RSUs granted during </w:t>
      </w:r>
      <w:r>
        <w:rPr>
          <w:rFonts w:ascii="Arial" w:eastAsia="Arial" w:hAnsi="Arial" w:cs="Arial"/>
          <w:b w:val="0"/>
          <w:i w:val="0"/>
          <w:color w:val="969698"/>
          <w:sz w:val="16"/>
          <w:u w:val="none"/>
        </w:rPr>
        <w:t>2023</w:t>
      </w:r>
      <w:r>
        <w:rPr>
          <w:rFonts w:ascii="Arial" w:eastAsia="Arial" w:hAnsi="Arial" w:cs="Arial"/>
          <w:b w:val="0"/>
          <w:i w:val="0"/>
          <w:color w:val="969698"/>
          <w:sz w:val="16"/>
          <w:u w:val="none"/>
        </w:rPr>
        <w:t xml:space="preserve"> vest in three approximately equal annual installments beginning one year from the grant date, except for </w:t>
      </w:r>
      <w:r>
        <w:rPr>
          <w:rFonts w:ascii="Arial" w:eastAsia="Arial" w:hAnsi="Arial" w:cs="Arial"/>
          <w:b w:val="0"/>
          <w:i w:val="0"/>
          <w:color w:val="969698"/>
          <w:sz w:val="16"/>
          <w:u w:val="none"/>
        </w:rPr>
        <w:t>4,488</w:t>
      </w:r>
      <w:r>
        <w:rPr>
          <w:rFonts w:ascii="Arial" w:eastAsia="Arial" w:hAnsi="Arial" w:cs="Arial"/>
          <w:b w:val="0"/>
          <w:i w:val="0"/>
          <w:color w:val="969698"/>
          <w:sz w:val="16"/>
          <w:u w:val="none"/>
        </w:rPr>
        <w:t xml:space="preserve"> RSUs granted to Mr. Brockman, </w:t>
      </w:r>
      <w:r>
        <w:rPr>
          <w:rFonts w:ascii="Arial" w:eastAsia="Arial" w:hAnsi="Arial" w:cs="Arial"/>
          <w:b w:val="0"/>
          <w:i w:val="0"/>
          <w:color w:val="969698"/>
          <w:sz w:val="16"/>
          <w:u w:val="none"/>
        </w:rPr>
        <w:t>4,488</w:t>
      </w:r>
      <w:r>
        <w:rPr>
          <w:rFonts w:ascii="Arial" w:eastAsia="Arial" w:hAnsi="Arial" w:cs="Arial"/>
          <w:b w:val="0"/>
          <w:i w:val="0"/>
          <w:color w:val="969698"/>
          <w:sz w:val="16"/>
          <w:u w:val="none"/>
        </w:rPr>
        <w:t xml:space="preserve"> RSUs granted to Mr. Ni, and </w:t>
      </w:r>
      <w:r>
        <w:rPr>
          <w:rFonts w:ascii="Arial" w:eastAsia="Arial" w:hAnsi="Arial" w:cs="Arial"/>
          <w:b w:val="0"/>
          <w:i w:val="0"/>
          <w:color w:val="969698"/>
          <w:sz w:val="16"/>
          <w:u w:val="none"/>
        </w:rPr>
        <w:t>4,488</w:t>
      </w:r>
      <w:r>
        <w:rPr>
          <w:rFonts w:ascii="Arial" w:eastAsia="Arial" w:hAnsi="Arial" w:cs="Arial"/>
          <w:b w:val="0"/>
          <w:i w:val="0"/>
          <w:color w:val="969698"/>
          <w:sz w:val="16"/>
          <w:u w:val="none"/>
        </w:rPr>
        <w:t xml:space="preserve"> RSUs granted to Mr. Alobaidat, all of which cliff vest on the third anniversary of their grant date</w:t>
      </w:r>
      <w:r>
        <w:rPr>
          <w:rFonts w:ascii="Arial" w:eastAsia="Arial" w:hAnsi="Arial" w:cs="Arial"/>
          <w:b w:val="0"/>
          <w:i w:val="0"/>
          <w:color w:val="969698"/>
          <w:sz w:val="16"/>
          <w:u w:val="none"/>
        </w:rPr>
        <w:t>.</w:t>
      </w:r>
    </w:p>
    <w:p>
      <w:pPr>
        <w:keepNext w:val="0"/>
        <w:keepLines w:val="0"/>
        <w:pageBreakBefore w:val="0"/>
        <w:widowControl/>
        <w:numPr>
          <w:ilvl w:val="0"/>
          <w:numId w:val="314"/>
        </w:numPr>
        <w:spacing w:before="0" w:after="60" w:line="288" w:lineRule="auto"/>
        <w:ind w:left="630" w:right="36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The amounts reported in this column represent the grant date fair value of awards granted to our named executive officers in </w:t>
      </w:r>
      <w:r>
        <w:rPr>
          <w:rFonts w:ascii="Arial" w:eastAsia="Arial" w:hAnsi="Arial" w:cs="Arial"/>
          <w:b w:val="0"/>
          <w:i w:val="0"/>
          <w:color w:val="969698"/>
          <w:sz w:val="16"/>
          <w:u w:val="none"/>
        </w:rPr>
        <w:t>2023</w:t>
      </w:r>
      <w:r>
        <w:rPr>
          <w:rFonts w:ascii="Arial" w:eastAsia="Arial" w:hAnsi="Arial" w:cs="Arial"/>
          <w:b w:val="0"/>
          <w:i w:val="0"/>
          <w:color w:val="969698"/>
          <w:sz w:val="16"/>
          <w:u w:val="none"/>
        </w:rPr>
        <w:t>, computed in accordance with FASB ASC Topic 718, excluding the effect of estimated forfeitures.</w:t>
      </w: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rPr>
      </w:pP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rPr>
        <w:sectPr>
          <w:headerReference w:type="default" r:id="rId285"/>
          <w:footerReference w:type="default" r:id="rId286"/>
          <w:pgSz w:w="12240" w:h="15840"/>
          <w:pgMar w:top="900" w:right="540" w:bottom="900" w:left="54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104" w:name="Section107"/>
      <w:bookmarkEnd w:id="104"/>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 xml:space="preserve">Narrative Disclosure to Summary Compensation Table and Grants of Plan-Based </w:t>
      </w: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r>
        <w:rPr>
          <w:rFonts w:ascii="Arial" w:eastAsia="Arial" w:hAnsi="Arial" w:cs="Arial"/>
          <w:b/>
          <w:i w:val="0"/>
          <w:color w:val="171449"/>
          <w:sz w:val="24"/>
          <w:u w:val="none"/>
        </w:rPr>
        <w:t>Awards Table</w:t>
      </w:r>
    </w:p>
    <w:p>
      <w:pPr>
        <w:keepNext w:val="0"/>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4495D1"/>
          <w:sz w:val="20"/>
          <w:u w:val="none"/>
        </w:rPr>
      </w:pPr>
      <w:r>
        <w:rPr>
          <w:rFonts w:ascii="Arial" w:eastAsia="Arial" w:hAnsi="Arial" w:cs="Arial"/>
          <w:b/>
          <w:i w:val="0"/>
          <w:color w:val="4495D1"/>
          <w:sz w:val="20"/>
          <w:u w:val="none"/>
        </w:rPr>
        <w:t>Employment Agreements with Named Executive Officers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We have employment agreements with all of our named executive officers.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On July 1, 2022, </w:t>
      </w:r>
      <w:r>
        <w:rPr>
          <w:rFonts w:ascii="Arial" w:eastAsia="Arial" w:hAnsi="Arial" w:cs="Arial"/>
          <w:b w:val="0"/>
          <w:i w:val="0"/>
          <w:sz w:val="20"/>
        </w:rPr>
        <w:t xml:space="preserve">we </w:t>
      </w:r>
      <w:r>
        <w:rPr>
          <w:rFonts w:ascii="Arial" w:eastAsia="Arial" w:hAnsi="Arial" w:cs="Arial"/>
          <w:b w:val="0"/>
          <w:i w:val="0"/>
          <w:sz w:val="20"/>
        </w:rPr>
        <w:t>entered into an amend</w:t>
      </w:r>
      <w:r>
        <w:rPr>
          <w:rFonts w:ascii="Arial" w:eastAsia="Arial" w:hAnsi="Arial" w:cs="Arial"/>
          <w:b w:val="0"/>
          <w:i w:val="0"/>
          <w:sz w:val="20"/>
        </w:rPr>
        <w:t xml:space="preserve">ed </w:t>
      </w:r>
      <w:r>
        <w:rPr>
          <w:rFonts w:ascii="Arial" w:eastAsia="Arial" w:hAnsi="Arial" w:cs="Arial"/>
          <w:b w:val="0"/>
          <w:i w:val="0"/>
          <w:sz w:val="20"/>
        </w:rPr>
        <w:t>and restated employment agr</w:t>
      </w:r>
      <w:r>
        <w:rPr>
          <w:rFonts w:ascii="Arial" w:eastAsia="Arial" w:hAnsi="Arial" w:cs="Arial"/>
          <w:b w:val="0"/>
          <w:i w:val="0"/>
          <w:sz w:val="20"/>
        </w:rPr>
        <w:t xml:space="preserve">eement with Mr. Silvester to effect certain changes </w:t>
      </w:r>
      <w:r>
        <w:rPr>
          <w:rFonts w:ascii="Arial" w:eastAsia="Arial" w:hAnsi="Arial" w:cs="Arial"/>
          <w:b w:val="0"/>
          <w:i w:val="0"/>
          <w:sz w:val="20"/>
        </w:rPr>
        <w:t xml:space="preserve">in connection with </w:t>
      </w:r>
      <w:r>
        <w:rPr>
          <w:rFonts w:ascii="Arial" w:eastAsia="Arial" w:hAnsi="Arial" w:cs="Arial"/>
          <w:b w:val="0"/>
          <w:i w:val="0"/>
          <w:sz w:val="20"/>
        </w:rPr>
        <w:t xml:space="preserve">the </w:t>
      </w:r>
      <w:r>
        <w:rPr>
          <w:rFonts w:ascii="Arial" w:eastAsia="Arial" w:hAnsi="Arial" w:cs="Arial"/>
          <w:b w:val="0"/>
          <w:i w:val="0"/>
          <w:sz w:val="20"/>
        </w:rPr>
        <w:t xml:space="preserve">extension of the term of the </w:t>
      </w:r>
      <w:r>
        <w:rPr>
          <w:rFonts w:ascii="Arial" w:eastAsia="Arial" w:hAnsi="Arial" w:cs="Arial"/>
          <w:b w:val="0"/>
          <w:i w:val="0"/>
          <w:sz w:val="20"/>
        </w:rPr>
        <w:t>JSOP</w:t>
      </w:r>
      <w:r>
        <w:rPr>
          <w:rFonts w:ascii="Arial" w:eastAsia="Arial" w:hAnsi="Arial" w:cs="Arial"/>
          <w:b w:val="0"/>
          <w:i w:val="0"/>
          <w:sz w:val="20"/>
        </w:rPr>
        <w:t xml:space="preserve"> Award</w:t>
      </w:r>
      <w:r>
        <w:rPr>
          <w:rFonts w:ascii="Arial" w:eastAsia="Arial" w:hAnsi="Arial" w:cs="Arial"/>
          <w:b w:val="0"/>
          <w:i w:val="0"/>
          <w:sz w:val="20"/>
        </w:rPr>
        <w:t xml:space="preserve"> to 2025</w:t>
      </w:r>
      <w:r>
        <w:rPr>
          <w:rFonts w:ascii="Arial" w:eastAsia="Arial" w:hAnsi="Arial" w:cs="Arial"/>
          <w:b w:val="0"/>
          <w:i w:val="0"/>
          <w:sz w:val="20"/>
        </w:rPr>
        <w:t xml:space="preserve">. </w:t>
      </w:r>
      <w:r>
        <w:rPr>
          <w:rFonts w:ascii="Arial" w:eastAsia="Arial" w:hAnsi="Arial" w:cs="Arial"/>
          <w:b w:val="0"/>
          <w:i w:val="0"/>
          <w:sz w:val="20"/>
        </w:rPr>
        <w:t xml:space="preserve">Mr. Silvester's </w:t>
      </w:r>
      <w:r>
        <w:rPr>
          <w:rFonts w:ascii="Arial" w:eastAsia="Arial" w:hAnsi="Arial" w:cs="Arial"/>
          <w:b w:val="0"/>
          <w:i w:val="0"/>
          <w:sz w:val="20"/>
        </w:rPr>
        <w:t xml:space="preserve">amended and restated </w:t>
      </w:r>
      <w:r>
        <w:rPr>
          <w:rFonts w:ascii="Arial" w:eastAsia="Arial" w:hAnsi="Arial" w:cs="Arial"/>
          <w:b w:val="0"/>
          <w:i w:val="0"/>
          <w:sz w:val="20"/>
        </w:rPr>
        <w:t xml:space="preserve">employment agreement has a term expiring on January 31, 2025 and provides for an annual base salary of $2,500,000. In addition, Mr. Silvester's employment agreement provides for certain benefits including a monthly housing allowance of $20,000 and others described in "Compensation Discussion and Analysis - Other Benefits and Perquisites" above. Mr. Silvester's employment agreement does not contain an automatic renewal clause.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On March 21, 2023, Mr. Kirk entered into a new employment agreement in connection with his appoint</w:t>
      </w:r>
      <w:r>
        <w:rPr>
          <w:rFonts w:ascii="Arial" w:eastAsia="Arial" w:hAnsi="Arial" w:cs="Arial"/>
          <w:b w:val="0"/>
          <w:i w:val="0"/>
          <w:sz w:val="20"/>
        </w:rPr>
        <w:t>me</w:t>
      </w:r>
      <w:r>
        <w:rPr>
          <w:rFonts w:ascii="Arial" w:eastAsia="Arial" w:hAnsi="Arial" w:cs="Arial"/>
          <w:b w:val="0"/>
          <w:i w:val="0"/>
          <w:sz w:val="20"/>
        </w:rPr>
        <w:t xml:space="preserve">nt to the position of Chief Financial Officer. </w:t>
      </w:r>
      <w:r>
        <w:rPr>
          <w:rFonts w:ascii="Arial" w:eastAsia="Arial" w:hAnsi="Arial" w:cs="Arial"/>
          <w:b w:val="0"/>
          <w:i w:val="0"/>
          <w:sz w:val="20"/>
        </w:rPr>
        <w:t xml:space="preserve">Mr. Kirk's employment agreement </w:t>
      </w:r>
      <w:r>
        <w:rPr>
          <w:rFonts w:ascii="Arial" w:eastAsia="Arial" w:hAnsi="Arial" w:cs="Arial"/>
          <w:b w:val="0"/>
          <w:i w:val="0"/>
          <w:sz w:val="20"/>
        </w:rPr>
        <w:t>continues for an indefinite term u</w:t>
      </w:r>
      <w:r>
        <w:rPr>
          <w:rFonts w:ascii="Arial" w:eastAsia="Arial" w:hAnsi="Arial" w:cs="Arial"/>
          <w:b w:val="0"/>
          <w:i w:val="0"/>
          <w:sz w:val="20"/>
        </w:rPr>
        <w:t xml:space="preserve">ntil terminated in accordance with its terms. </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On March 21, 2023, </w:t>
      </w:r>
      <w:r>
        <w:rPr>
          <w:rFonts w:ascii="Arial" w:eastAsia="Arial" w:hAnsi="Arial" w:cs="Arial"/>
          <w:b w:val="0"/>
          <w:i w:val="0"/>
          <w:sz w:val="20"/>
        </w:rPr>
        <w:t xml:space="preserve">in connection with her appointment to the position of </w:t>
      </w:r>
      <w:r>
        <w:rPr>
          <w:rFonts w:ascii="Arial" w:eastAsia="Arial" w:hAnsi="Arial" w:cs="Arial"/>
          <w:b w:val="0"/>
          <w:i w:val="0"/>
          <w:sz w:val="20"/>
        </w:rPr>
        <w:t xml:space="preserve">President, </w:t>
      </w:r>
      <w:r>
        <w:rPr>
          <w:rFonts w:ascii="Arial" w:eastAsia="Arial" w:hAnsi="Arial" w:cs="Arial"/>
          <w:b w:val="0"/>
          <w:i w:val="0"/>
          <w:sz w:val="20"/>
        </w:rPr>
        <w:t xml:space="preserve">we </w:t>
      </w:r>
      <w:r>
        <w:rPr>
          <w:rFonts w:ascii="Arial" w:eastAsia="Arial" w:hAnsi="Arial" w:cs="Arial"/>
          <w:b w:val="0"/>
          <w:i w:val="0"/>
          <w:sz w:val="20"/>
        </w:rPr>
        <w:t>entered into an</w:t>
      </w:r>
      <w:r>
        <w:rPr>
          <w:rFonts w:ascii="Arial" w:eastAsia="Arial" w:hAnsi="Arial" w:cs="Arial"/>
          <w:b w:val="0"/>
          <w:i w:val="0"/>
          <w:sz w:val="20"/>
        </w:rPr>
        <w:t xml:space="preserve"> amendment</w:t>
      </w:r>
      <w:r>
        <w:rPr>
          <w:rFonts w:ascii="Arial" w:eastAsia="Arial" w:hAnsi="Arial" w:cs="Arial"/>
          <w:b w:val="0"/>
          <w:i w:val="0"/>
          <w:sz w:val="20"/>
        </w:rPr>
        <w:t xml:space="preserve"> </w:t>
      </w:r>
      <w:r>
        <w:rPr>
          <w:rFonts w:ascii="Arial" w:eastAsia="Arial" w:hAnsi="Arial" w:cs="Arial"/>
          <w:b w:val="0"/>
          <w:i w:val="0"/>
          <w:sz w:val="20"/>
        </w:rPr>
        <w:t xml:space="preserve">to </w:t>
      </w:r>
      <w:r>
        <w:rPr>
          <w:rFonts w:ascii="Arial" w:eastAsia="Arial" w:hAnsi="Arial" w:cs="Arial"/>
          <w:b w:val="0"/>
          <w:i w:val="0"/>
          <w:sz w:val="20"/>
        </w:rPr>
        <w:t xml:space="preserve">Ms. </w:t>
      </w:r>
      <w:r>
        <w:rPr>
          <w:rFonts w:ascii="Arial" w:eastAsia="Arial" w:hAnsi="Arial" w:cs="Arial"/>
          <w:b w:val="0"/>
          <w:i w:val="0"/>
          <w:sz w:val="20"/>
        </w:rPr>
        <w:t>G</w:t>
      </w:r>
      <w:r>
        <w:rPr>
          <w:rFonts w:ascii="Arial" w:eastAsia="Arial" w:hAnsi="Arial" w:cs="Arial"/>
          <w:b w:val="0"/>
          <w:i w:val="0"/>
          <w:sz w:val="20"/>
        </w:rPr>
        <w:t>regory's</w:t>
      </w:r>
      <w:r>
        <w:rPr>
          <w:rFonts w:ascii="Arial" w:eastAsia="Arial" w:hAnsi="Arial" w:cs="Arial"/>
          <w:b w:val="0"/>
          <w:i w:val="0"/>
          <w:sz w:val="20"/>
        </w:rPr>
        <w:t xml:space="preserve"> existing amended and restated employment agreement </w:t>
      </w:r>
      <w:r>
        <w:rPr>
          <w:rFonts w:ascii="Arial" w:eastAsia="Arial" w:hAnsi="Arial" w:cs="Arial"/>
          <w:b w:val="0"/>
          <w:i w:val="0"/>
          <w:sz w:val="20"/>
        </w:rPr>
        <w:t xml:space="preserve">dated as </w:t>
      </w:r>
      <w:r>
        <w:rPr>
          <w:rFonts w:ascii="Arial" w:eastAsia="Arial" w:hAnsi="Arial" w:cs="Arial"/>
          <w:b w:val="0"/>
          <w:i w:val="0"/>
          <w:sz w:val="20"/>
        </w:rPr>
        <w:t>of January 21, 20</w:t>
      </w:r>
      <w:r>
        <w:rPr>
          <w:rFonts w:ascii="Arial" w:eastAsia="Arial" w:hAnsi="Arial" w:cs="Arial"/>
          <w:b w:val="0"/>
          <w:i w:val="0"/>
          <w:sz w:val="20"/>
        </w:rPr>
        <w:t>20 and amended on Se</w:t>
      </w:r>
      <w:r>
        <w:rPr>
          <w:rFonts w:ascii="Arial" w:eastAsia="Arial" w:hAnsi="Arial" w:cs="Arial"/>
          <w:b w:val="0"/>
          <w:i w:val="0"/>
          <w:sz w:val="20"/>
        </w:rPr>
        <w:t xml:space="preserve">ptember 16, 2021 and July 1, 2022. </w:t>
      </w:r>
      <w:r>
        <w:rPr>
          <w:rFonts w:ascii="Arial" w:eastAsia="Arial" w:hAnsi="Arial" w:cs="Arial"/>
          <w:b w:val="0"/>
          <w:i w:val="0"/>
          <w:sz w:val="20"/>
        </w:rPr>
        <w:t>Th</w:t>
      </w:r>
      <w:r>
        <w:rPr>
          <w:rFonts w:ascii="Arial" w:eastAsia="Arial" w:hAnsi="Arial" w:cs="Arial"/>
          <w:b w:val="0"/>
          <w:i w:val="0"/>
          <w:sz w:val="20"/>
        </w:rPr>
        <w:t>is amendment</w:t>
      </w:r>
      <w:r>
        <w:rPr>
          <w:rFonts w:ascii="Arial" w:eastAsia="Arial" w:hAnsi="Arial" w:cs="Arial"/>
          <w:b w:val="0"/>
          <w:i w:val="0"/>
          <w:sz w:val="20"/>
        </w:rPr>
        <w:t xml:space="preserve"> increased </w:t>
      </w:r>
      <w:r>
        <w:rPr>
          <w:rFonts w:ascii="Arial" w:eastAsia="Arial" w:hAnsi="Arial" w:cs="Arial"/>
          <w:b w:val="0"/>
          <w:i w:val="0"/>
          <w:sz w:val="20"/>
        </w:rPr>
        <w:t xml:space="preserve">Ms. Gregory's annual base salary to $1,400,000, and otherwise includes substantially the same terms and conditions as her existing agreement. </w:t>
      </w:r>
      <w:r>
        <w:rPr>
          <w:rFonts w:ascii="Arial" w:eastAsia="Arial" w:hAnsi="Arial" w:cs="Arial"/>
          <w:b w:val="0"/>
          <w:i w:val="0"/>
          <w:sz w:val="20"/>
        </w:rPr>
        <w:t xml:space="preserve">Ms. Gregory's term of service under </w:t>
      </w:r>
      <w:r>
        <w:rPr>
          <w:rFonts w:ascii="Arial" w:eastAsia="Arial" w:hAnsi="Arial" w:cs="Arial"/>
          <w:b w:val="0"/>
          <w:i w:val="0"/>
          <w:sz w:val="20"/>
        </w:rPr>
        <w:t xml:space="preserve">her employment agreement extends until March 1, 2026, and does </w:t>
      </w:r>
      <w:r>
        <w:rPr>
          <w:rFonts w:ascii="Arial" w:eastAsia="Arial" w:hAnsi="Arial" w:cs="Arial"/>
          <w:b w:val="0"/>
          <w:i w:val="0"/>
          <w:sz w:val="20"/>
        </w:rPr>
        <w:t>not conta</w:t>
      </w:r>
      <w:r>
        <w:rPr>
          <w:rFonts w:ascii="Arial" w:eastAsia="Arial" w:hAnsi="Arial" w:cs="Arial"/>
          <w:b w:val="0"/>
          <w:i w:val="0"/>
          <w:sz w:val="20"/>
        </w:rPr>
        <w:t xml:space="preserve">in an automatic renewal clause.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Mr. Ni's employment agreement was entered into on February 4, 2022 and continues for an indefinite term until terminated in accordance with its terms.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color w:val="000000"/>
          <w:sz w:val="20"/>
          <w:u w:val="none"/>
        </w:rPr>
        <w:t>On March 21, 2023</w:t>
      </w:r>
      <w:r>
        <w:rPr>
          <w:rFonts w:ascii="Arial" w:eastAsia="Arial" w:hAnsi="Arial" w:cs="Arial"/>
          <w:b w:val="0"/>
          <w:i w:val="0"/>
          <w:sz w:val="20"/>
        </w:rPr>
        <w:t xml:space="preserve">, </w:t>
      </w:r>
      <w:r>
        <w:rPr>
          <w:rFonts w:ascii="Arial" w:eastAsia="Arial" w:hAnsi="Arial" w:cs="Arial"/>
          <w:b w:val="0"/>
          <w:i w:val="0"/>
          <w:sz w:val="20"/>
        </w:rPr>
        <w:t xml:space="preserve">in connection with his </w:t>
      </w:r>
      <w:r>
        <w:rPr>
          <w:rFonts w:ascii="Arial" w:eastAsia="Arial" w:hAnsi="Arial" w:cs="Arial"/>
          <w:b w:val="0"/>
          <w:i w:val="0"/>
          <w:sz w:val="20"/>
        </w:rPr>
        <w:t xml:space="preserve">appointment to the position of Chief Operating Officer, </w:t>
      </w:r>
      <w:r>
        <w:rPr>
          <w:rFonts w:ascii="Arial" w:eastAsia="Arial" w:hAnsi="Arial" w:cs="Arial"/>
          <w:b w:val="0"/>
          <w:i w:val="0"/>
          <w:sz w:val="20"/>
        </w:rPr>
        <w:t xml:space="preserve">we </w:t>
      </w:r>
      <w:r>
        <w:rPr>
          <w:rFonts w:ascii="Arial" w:eastAsia="Arial" w:hAnsi="Arial" w:cs="Arial"/>
          <w:b w:val="0"/>
          <w:i w:val="0"/>
          <w:sz w:val="20"/>
        </w:rPr>
        <w:t xml:space="preserve">entered into an amendment to </w:t>
      </w:r>
      <w:r>
        <w:rPr>
          <w:rFonts w:ascii="Arial" w:eastAsia="Arial" w:hAnsi="Arial" w:cs="Arial"/>
          <w:b w:val="0"/>
          <w:i w:val="0"/>
          <w:sz w:val="20"/>
        </w:rPr>
        <w:t>Mr. Brockman</w:t>
      </w:r>
      <w:r>
        <w:rPr>
          <w:rFonts w:ascii="Arial" w:eastAsia="Arial" w:hAnsi="Arial" w:cs="Arial"/>
          <w:b w:val="0"/>
          <w:i w:val="0"/>
          <w:sz w:val="20"/>
        </w:rPr>
        <w:t>'s</w:t>
      </w:r>
      <w:r>
        <w:rPr>
          <w:rFonts w:ascii="Arial" w:eastAsia="Arial" w:hAnsi="Arial" w:cs="Arial"/>
          <w:b w:val="0"/>
          <w:i w:val="0"/>
          <w:sz w:val="20"/>
        </w:rPr>
        <w:t xml:space="preserve"> ex</w:t>
      </w:r>
      <w:r>
        <w:rPr>
          <w:rFonts w:ascii="Arial" w:eastAsia="Arial" w:hAnsi="Arial" w:cs="Arial"/>
          <w:b w:val="0"/>
          <w:i w:val="0"/>
          <w:sz w:val="20"/>
        </w:rPr>
        <w:t>i</w:t>
      </w:r>
      <w:r>
        <w:rPr>
          <w:rFonts w:ascii="Arial" w:eastAsia="Arial" w:hAnsi="Arial" w:cs="Arial"/>
          <w:b w:val="0"/>
          <w:i w:val="0"/>
          <w:sz w:val="20"/>
        </w:rPr>
        <w:t xml:space="preserve">sting </w:t>
      </w:r>
      <w:r>
        <w:rPr>
          <w:rFonts w:ascii="Arial" w:eastAsia="Arial" w:hAnsi="Arial" w:cs="Arial"/>
          <w:b w:val="0"/>
          <w:i w:val="0"/>
          <w:sz w:val="20"/>
        </w:rPr>
        <w:t xml:space="preserve">employment agreement </w:t>
      </w:r>
      <w:r>
        <w:rPr>
          <w:rFonts w:ascii="Arial" w:eastAsia="Arial" w:hAnsi="Arial" w:cs="Arial"/>
          <w:b w:val="0"/>
          <w:i w:val="0"/>
          <w:sz w:val="20"/>
        </w:rPr>
        <w:t>dated as of</w:t>
      </w:r>
      <w:r>
        <w:rPr>
          <w:rFonts w:ascii="Arial" w:eastAsia="Arial" w:hAnsi="Arial" w:cs="Arial"/>
          <w:b w:val="0"/>
          <w:i w:val="0"/>
          <w:sz w:val="20"/>
        </w:rPr>
        <w:t xml:space="preserve"> January 8, 2018</w:t>
      </w:r>
      <w:r>
        <w:rPr>
          <w:rFonts w:ascii="Arial" w:eastAsia="Arial" w:hAnsi="Arial" w:cs="Arial"/>
          <w:b w:val="0"/>
          <w:i w:val="0"/>
          <w:sz w:val="20"/>
        </w:rPr>
        <w:t>.</w:t>
      </w:r>
      <w:r>
        <w:rPr>
          <w:rFonts w:ascii="Arial" w:eastAsia="Arial" w:hAnsi="Arial" w:cs="Arial"/>
          <w:b w:val="0"/>
          <w:i w:val="0"/>
          <w:sz w:val="20"/>
        </w:rPr>
        <w:t xml:space="preserve"> </w:t>
      </w:r>
      <w:r>
        <w:rPr>
          <w:rFonts w:ascii="Arial" w:eastAsia="Arial" w:hAnsi="Arial" w:cs="Arial"/>
          <w:b w:val="0"/>
          <w:i w:val="0"/>
          <w:sz w:val="20"/>
        </w:rPr>
        <w:t xml:space="preserve">This amendment (1) increased Mr. Brockman's annual base salary to $800,000 and (2) provides that if Mr. Brockman’s employment is terminated by us without “cause,” Mr. Brockman would be entitled to: (A) salary continuation at his then-current base salary for the greater of (x) twelve months after the termination date or (y) the number of pay periods required by our severance pay plan; and (B) a pro rata bonus in respect of the year of termination, based on our achievement of the performance goals established in accordance with any incentive plan in which Mr. Brockman participates. The amendment otherwise includes similar terms and conditions as Mr. Brockman’s existing agreement. </w:t>
      </w:r>
      <w:r>
        <w:rPr>
          <w:rFonts w:ascii="Arial" w:eastAsia="Arial" w:hAnsi="Arial" w:cs="Arial"/>
          <w:b w:val="0"/>
          <w:i w:val="0"/>
          <w:sz w:val="20"/>
        </w:rPr>
        <w:t xml:space="preserve"> </w:t>
      </w:r>
      <w:r>
        <w:rPr>
          <w:rFonts w:ascii="Arial" w:eastAsia="Arial" w:hAnsi="Arial" w:cs="Arial"/>
          <w:b w:val="0"/>
          <w:i w:val="0"/>
          <w:sz w:val="20"/>
        </w:rPr>
        <w:t>Mr. Brockman's employment agreement continues for an in</w:t>
      </w:r>
      <w:r>
        <w:rPr>
          <w:rFonts w:ascii="Arial" w:eastAsia="Arial" w:hAnsi="Arial" w:cs="Arial"/>
          <w:b w:val="0"/>
          <w:i w:val="0"/>
          <w:sz w:val="20"/>
        </w:rPr>
        <w:t xml:space="preserve">definite term until terminated in accordance with its terms.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On June 6, 2023, we entered into an </w:t>
      </w:r>
      <w:r>
        <w:rPr>
          <w:rFonts w:ascii="Arial" w:eastAsia="Arial" w:hAnsi="Arial" w:cs="Arial"/>
          <w:b w:val="0"/>
          <w:i w:val="0"/>
          <w:sz w:val="20"/>
        </w:rPr>
        <w:t>amend</w:t>
      </w:r>
      <w:r>
        <w:rPr>
          <w:rFonts w:ascii="Arial" w:eastAsia="Arial" w:hAnsi="Arial" w:cs="Arial"/>
          <w:b w:val="0"/>
          <w:i w:val="0"/>
          <w:sz w:val="20"/>
        </w:rPr>
        <w:t>ed and rest</w:t>
      </w:r>
      <w:r>
        <w:rPr>
          <w:rFonts w:ascii="Arial" w:eastAsia="Arial" w:hAnsi="Arial" w:cs="Arial"/>
          <w:b w:val="0"/>
          <w:i w:val="0"/>
          <w:sz w:val="20"/>
        </w:rPr>
        <w:t xml:space="preserve">ated </w:t>
      </w:r>
      <w:r>
        <w:rPr>
          <w:rFonts w:ascii="Arial" w:eastAsia="Arial" w:hAnsi="Arial" w:cs="Arial"/>
          <w:b w:val="0"/>
          <w:i w:val="0"/>
          <w:sz w:val="20"/>
        </w:rPr>
        <w:t xml:space="preserve">employment agreement with </w:t>
      </w:r>
      <w:r>
        <w:rPr>
          <w:rFonts w:ascii="Arial" w:eastAsia="Arial" w:hAnsi="Arial" w:cs="Arial"/>
          <w:b w:val="0"/>
          <w:i w:val="0"/>
          <w:sz w:val="20"/>
        </w:rPr>
        <w:t>Mr. Alobaidat, which amended</w:t>
      </w:r>
      <w:r>
        <w:rPr>
          <w:rFonts w:ascii="Arial" w:eastAsia="Arial" w:hAnsi="Arial" w:cs="Arial"/>
          <w:b w:val="0"/>
          <w:i w:val="0"/>
          <w:sz w:val="20"/>
        </w:rPr>
        <w:t xml:space="preserve"> </w:t>
      </w:r>
      <w:r>
        <w:rPr>
          <w:rFonts w:ascii="Arial" w:eastAsia="Arial" w:hAnsi="Arial" w:cs="Arial"/>
          <w:b w:val="0"/>
          <w:i w:val="0"/>
          <w:sz w:val="20"/>
        </w:rPr>
        <w:t xml:space="preserve">and restated </w:t>
      </w:r>
      <w:r>
        <w:rPr>
          <w:rFonts w:ascii="Arial" w:eastAsia="Arial" w:hAnsi="Arial" w:cs="Arial"/>
          <w:b w:val="0"/>
          <w:i w:val="0"/>
          <w:color w:val="000000"/>
          <w:sz w:val="20"/>
          <w:u w:val="none"/>
        </w:rPr>
        <w:t>Mr. A</w:t>
      </w:r>
      <w:r>
        <w:rPr>
          <w:rFonts w:ascii="Arial" w:eastAsia="Arial" w:hAnsi="Arial" w:cs="Arial"/>
          <w:b w:val="0"/>
          <w:i w:val="0"/>
          <w:color w:val="000000"/>
          <w:sz w:val="20"/>
          <w:u w:val="none"/>
        </w:rPr>
        <w:t>lo</w:t>
      </w:r>
      <w:r>
        <w:rPr>
          <w:rFonts w:ascii="Arial" w:eastAsia="Arial" w:hAnsi="Arial" w:cs="Arial"/>
          <w:b w:val="0"/>
          <w:i w:val="0"/>
          <w:color w:val="000000"/>
          <w:sz w:val="20"/>
          <w:u w:val="none"/>
        </w:rPr>
        <w:t>b</w:t>
      </w:r>
      <w:r>
        <w:rPr>
          <w:rFonts w:ascii="Arial" w:eastAsia="Arial" w:hAnsi="Arial" w:cs="Arial"/>
          <w:b w:val="0"/>
          <w:i w:val="0"/>
          <w:color w:val="000000"/>
          <w:sz w:val="20"/>
          <w:u w:val="none"/>
        </w:rPr>
        <w:t xml:space="preserve">aidat's </w:t>
      </w:r>
      <w:r>
        <w:rPr>
          <w:rFonts w:ascii="Arial" w:eastAsia="Arial" w:hAnsi="Arial" w:cs="Arial"/>
          <w:b w:val="0"/>
          <w:i w:val="0"/>
          <w:color w:val="000000"/>
          <w:sz w:val="20"/>
          <w:u w:val="none"/>
        </w:rPr>
        <w:t>exis</w:t>
      </w:r>
      <w:r>
        <w:rPr>
          <w:rFonts w:ascii="Arial" w:eastAsia="Arial" w:hAnsi="Arial" w:cs="Arial"/>
          <w:b w:val="0"/>
          <w:i w:val="0"/>
          <w:color w:val="000000"/>
          <w:sz w:val="20"/>
          <w:u w:val="none"/>
        </w:rPr>
        <w:t xml:space="preserve">ting </w:t>
      </w:r>
      <w:r>
        <w:rPr>
          <w:rFonts w:ascii="Arial" w:eastAsia="Arial" w:hAnsi="Arial" w:cs="Arial"/>
          <w:b w:val="0"/>
          <w:i w:val="0"/>
          <w:color w:val="000000"/>
          <w:sz w:val="20"/>
          <w:u w:val="none"/>
        </w:rPr>
        <w:t xml:space="preserve">employment agreement </w:t>
      </w:r>
      <w:r>
        <w:rPr>
          <w:rFonts w:ascii="Arial" w:eastAsia="Arial" w:hAnsi="Arial" w:cs="Arial"/>
          <w:b w:val="0"/>
          <w:i w:val="0"/>
          <w:color w:val="000000"/>
          <w:sz w:val="20"/>
          <w:u w:val="none"/>
        </w:rPr>
        <w:t>dated as of</w:t>
      </w:r>
      <w:r>
        <w:rPr>
          <w:rFonts w:ascii="Arial" w:eastAsia="Arial" w:hAnsi="Arial" w:cs="Arial"/>
          <w:b w:val="0"/>
          <w:i w:val="0"/>
          <w:color w:val="000000"/>
          <w:sz w:val="20"/>
          <w:u w:val="none"/>
        </w:rPr>
        <w:t xml:space="preserve"> September 9, 2016</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The amended and restated employment agree</w:t>
      </w:r>
      <w:r>
        <w:rPr>
          <w:rFonts w:ascii="Arial" w:eastAsia="Arial" w:hAnsi="Arial" w:cs="Arial"/>
          <w:b w:val="0"/>
          <w:i w:val="0"/>
          <w:color w:val="000000"/>
          <w:sz w:val="20"/>
          <w:u w:val="none"/>
        </w:rPr>
        <w:t xml:space="preserve">ment </w:t>
      </w:r>
      <w:r>
        <w:rPr>
          <w:rFonts w:ascii="Arial" w:eastAsia="Arial" w:hAnsi="Arial" w:cs="Arial"/>
          <w:b w:val="0"/>
          <w:i w:val="0"/>
          <w:color w:val="000000"/>
          <w:sz w:val="20"/>
          <w:u w:val="none"/>
        </w:rPr>
        <w:t xml:space="preserve">provides that if Mr. </w:t>
      </w:r>
      <w:r>
        <w:rPr>
          <w:rFonts w:ascii="Arial" w:eastAsia="Arial" w:hAnsi="Arial" w:cs="Arial"/>
          <w:b w:val="0"/>
          <w:i w:val="0"/>
          <w:color w:val="000000"/>
          <w:sz w:val="20"/>
          <w:u w:val="none"/>
        </w:rPr>
        <w:t>Alobaidat's</w:t>
      </w:r>
      <w:r>
        <w:rPr>
          <w:rFonts w:ascii="Arial" w:eastAsia="Arial" w:hAnsi="Arial" w:cs="Arial"/>
          <w:b w:val="0"/>
          <w:i w:val="0"/>
          <w:color w:val="000000"/>
          <w:sz w:val="20"/>
          <w:u w:val="none"/>
        </w:rPr>
        <w:t xml:space="preserve"> employment is terminated by us</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without “cause,” Mr. </w:t>
      </w:r>
      <w:r>
        <w:rPr>
          <w:rFonts w:ascii="Arial" w:eastAsia="Arial" w:hAnsi="Arial" w:cs="Arial"/>
          <w:b w:val="0"/>
          <w:i w:val="0"/>
          <w:color w:val="000000"/>
          <w:sz w:val="20"/>
          <w:u w:val="none"/>
        </w:rPr>
        <w:t>Alobaidat</w:t>
      </w:r>
      <w:r>
        <w:rPr>
          <w:rFonts w:ascii="Arial" w:eastAsia="Arial" w:hAnsi="Arial" w:cs="Arial"/>
          <w:b w:val="0"/>
          <w:i w:val="0"/>
          <w:color w:val="000000"/>
          <w:sz w:val="20"/>
          <w:u w:val="none"/>
        </w:rPr>
        <w:t xml:space="preserve"> would be entitled to: (</w:t>
      </w:r>
      <w:r>
        <w:rPr>
          <w:rFonts w:ascii="Arial" w:eastAsia="Arial" w:hAnsi="Arial" w:cs="Arial"/>
          <w:b w:val="0"/>
          <w:i w:val="0"/>
          <w:color w:val="000000"/>
          <w:sz w:val="20"/>
          <w:u w:val="none"/>
        </w:rPr>
        <w:t>A</w:t>
      </w:r>
      <w:r>
        <w:rPr>
          <w:rFonts w:ascii="Arial" w:eastAsia="Arial" w:hAnsi="Arial" w:cs="Arial"/>
          <w:b w:val="0"/>
          <w:i w:val="0"/>
          <w:color w:val="000000"/>
          <w:sz w:val="20"/>
          <w:u w:val="none"/>
        </w:rPr>
        <w:t>) salary continuation at his then-current base salary for the greater of (</w:t>
      </w:r>
      <w:r>
        <w:rPr>
          <w:rFonts w:ascii="Arial" w:eastAsia="Arial" w:hAnsi="Arial" w:cs="Arial"/>
          <w:b w:val="0"/>
          <w:i w:val="0"/>
          <w:color w:val="000000"/>
          <w:sz w:val="20"/>
          <w:u w:val="none"/>
        </w:rPr>
        <w:t>x</w:t>
      </w:r>
      <w:r>
        <w:rPr>
          <w:rFonts w:ascii="Arial" w:eastAsia="Arial" w:hAnsi="Arial" w:cs="Arial"/>
          <w:b w:val="0"/>
          <w:i w:val="0"/>
          <w:color w:val="000000"/>
          <w:sz w:val="20"/>
          <w:u w:val="none"/>
        </w:rPr>
        <w:t xml:space="preserve">) twelve months </w:t>
      </w:r>
      <w:r>
        <w:rPr>
          <w:rFonts w:ascii="Arial" w:eastAsia="Arial" w:hAnsi="Arial" w:cs="Arial"/>
          <w:b w:val="0"/>
          <w:i w:val="0"/>
          <w:color w:val="000000"/>
          <w:sz w:val="20"/>
          <w:u w:val="none"/>
        </w:rPr>
        <w:t xml:space="preserve">(or eighteen months if such termination without </w:t>
      </w:r>
      <w:r>
        <w:rPr>
          <w:rFonts w:ascii="Arial" w:eastAsia="Arial" w:hAnsi="Arial" w:cs="Arial"/>
          <w:b w:val="0"/>
          <w:i w:val="0"/>
          <w:color w:val="000000"/>
          <w:sz w:val="20"/>
          <w:u w:val="none"/>
        </w:rPr>
        <w:t>"ca</w:t>
      </w:r>
      <w:r>
        <w:rPr>
          <w:rFonts w:ascii="Arial" w:eastAsia="Arial" w:hAnsi="Arial" w:cs="Arial"/>
          <w:b w:val="0"/>
          <w:i w:val="0"/>
          <w:color w:val="000000"/>
          <w:sz w:val="20"/>
          <w:u w:val="none"/>
        </w:rPr>
        <w:t>use</w:t>
      </w:r>
      <w:r>
        <w:rPr>
          <w:rFonts w:ascii="Arial" w:eastAsia="Arial" w:hAnsi="Arial" w:cs="Arial"/>
          <w:b w:val="0"/>
          <w:i w:val="0"/>
          <w:color w:val="000000"/>
          <w:sz w:val="20"/>
          <w:u w:val="none"/>
        </w:rPr>
        <w:t xml:space="preserve">" occurs following a change in control) </w:t>
      </w:r>
      <w:r>
        <w:rPr>
          <w:rFonts w:ascii="Arial" w:eastAsia="Arial" w:hAnsi="Arial" w:cs="Arial"/>
          <w:b w:val="0"/>
          <w:i w:val="0"/>
          <w:color w:val="000000"/>
          <w:sz w:val="20"/>
          <w:u w:val="none"/>
        </w:rPr>
        <w:t>after the termination date or (</w:t>
      </w:r>
      <w:r>
        <w:rPr>
          <w:rFonts w:ascii="Arial" w:eastAsia="Arial" w:hAnsi="Arial" w:cs="Arial"/>
          <w:b w:val="0"/>
          <w:i w:val="0"/>
          <w:color w:val="000000"/>
          <w:sz w:val="20"/>
          <w:u w:val="none"/>
        </w:rPr>
        <w:t>y</w:t>
      </w:r>
      <w:r>
        <w:rPr>
          <w:rFonts w:ascii="Arial" w:eastAsia="Arial" w:hAnsi="Arial" w:cs="Arial"/>
          <w:b w:val="0"/>
          <w:i w:val="0"/>
          <w:color w:val="000000"/>
          <w:sz w:val="20"/>
          <w:u w:val="none"/>
        </w:rPr>
        <w:t>) the number of pay periods required by our severance pay plan;</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B</w:t>
      </w:r>
      <w:r>
        <w:rPr>
          <w:rFonts w:ascii="Arial" w:eastAsia="Arial" w:hAnsi="Arial" w:cs="Arial"/>
          <w:b w:val="0"/>
          <w:i w:val="0"/>
          <w:color w:val="000000"/>
          <w:sz w:val="20"/>
          <w:u w:val="none"/>
        </w:rPr>
        <w:t xml:space="preserve">) a pro rata bonus in respect of the year of termination, based on our achievement of the performance goals established in accordance with any incentive plan in which Mr. </w:t>
      </w:r>
      <w:r>
        <w:rPr>
          <w:rFonts w:ascii="Arial" w:eastAsia="Arial" w:hAnsi="Arial" w:cs="Arial"/>
          <w:b w:val="0"/>
          <w:i w:val="0"/>
          <w:color w:val="000000"/>
          <w:sz w:val="20"/>
          <w:u w:val="none"/>
        </w:rPr>
        <w:t>Alobaidat</w:t>
      </w:r>
      <w:r>
        <w:rPr>
          <w:rFonts w:ascii="Arial" w:eastAsia="Arial" w:hAnsi="Arial" w:cs="Arial"/>
          <w:b w:val="0"/>
          <w:i w:val="0"/>
          <w:color w:val="000000"/>
          <w:sz w:val="20"/>
          <w:u w:val="none"/>
        </w:rPr>
        <w:t xml:space="preserve"> participates</w:t>
      </w:r>
      <w:r>
        <w:rPr>
          <w:rFonts w:ascii="Arial" w:eastAsia="Arial" w:hAnsi="Arial" w:cs="Arial"/>
          <w:b w:val="0"/>
          <w:i w:val="0"/>
          <w:color w:val="000000"/>
          <w:sz w:val="20"/>
          <w:u w:val="none"/>
        </w:rPr>
        <w:t>; and (</w:t>
      </w:r>
      <w:r>
        <w:rPr>
          <w:rFonts w:ascii="Arial" w:eastAsia="Arial" w:hAnsi="Arial" w:cs="Arial"/>
          <w:b w:val="0"/>
          <w:i w:val="0"/>
          <w:color w:val="000000"/>
          <w:sz w:val="20"/>
          <w:u w:val="none"/>
        </w:rPr>
        <w:t>C</w:t>
      </w:r>
      <w:r>
        <w:rPr>
          <w:rFonts w:ascii="Arial" w:eastAsia="Arial" w:hAnsi="Arial" w:cs="Arial"/>
          <w:b w:val="0"/>
          <w:i w:val="0"/>
          <w:color w:val="000000"/>
          <w:sz w:val="20"/>
          <w:u w:val="none"/>
        </w:rPr>
        <w:t>) Company</w:t>
      </w:r>
      <w:r>
        <w:rPr>
          <w:rFonts w:ascii="Arial" w:eastAsia="Arial" w:hAnsi="Arial" w:cs="Arial"/>
          <w:b w:val="0"/>
          <w:i w:val="0"/>
          <w:color w:val="000000"/>
          <w:sz w:val="20"/>
          <w:u w:val="none"/>
        </w:rPr>
        <w:t>-paid</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COB</w:t>
      </w:r>
      <w:r>
        <w:rPr>
          <w:rFonts w:ascii="Arial" w:eastAsia="Arial" w:hAnsi="Arial" w:cs="Arial"/>
          <w:b w:val="0"/>
          <w:i w:val="0"/>
          <w:color w:val="000000"/>
          <w:sz w:val="20"/>
          <w:u w:val="none"/>
        </w:rPr>
        <w:t>RA-</w:t>
      </w:r>
      <w:r>
        <w:rPr>
          <w:rFonts w:ascii="Arial" w:eastAsia="Arial" w:hAnsi="Arial" w:cs="Arial"/>
          <w:b w:val="0"/>
          <w:i w:val="0"/>
          <w:color w:val="000000"/>
          <w:sz w:val="20"/>
          <w:u w:val="none"/>
        </w:rPr>
        <w:t>con</w:t>
      </w:r>
      <w:r>
        <w:rPr>
          <w:rFonts w:ascii="Arial" w:eastAsia="Arial" w:hAnsi="Arial" w:cs="Arial"/>
          <w:b w:val="0"/>
          <w:i w:val="0"/>
          <w:color w:val="000000"/>
          <w:sz w:val="20"/>
          <w:u w:val="none"/>
        </w:rPr>
        <w:t>tinuation coverage for Mr. Alobaidat and any eligible dependents for</w:t>
      </w:r>
      <w:r>
        <w:rPr>
          <w:rFonts w:ascii="Arial" w:eastAsia="Arial" w:hAnsi="Arial" w:cs="Arial"/>
          <w:b w:val="0"/>
          <w:i w:val="0"/>
          <w:color w:val="000000"/>
          <w:sz w:val="20"/>
          <w:u w:val="none"/>
        </w:rPr>
        <w:t xml:space="preserve"> a period of twelve months following </w:t>
      </w:r>
      <w:r>
        <w:rPr>
          <w:rFonts w:ascii="Arial" w:eastAsia="Arial" w:hAnsi="Arial" w:cs="Arial"/>
          <w:b w:val="0"/>
          <w:i w:val="0"/>
          <w:color w:val="000000"/>
          <w:sz w:val="20"/>
          <w:u w:val="none"/>
        </w:rPr>
        <w:t>the termination date</w:t>
      </w:r>
      <w:r>
        <w:rPr>
          <w:rFonts w:ascii="Arial" w:eastAsia="Arial" w:hAnsi="Arial" w:cs="Arial"/>
          <w:b w:val="0"/>
          <w:i w:val="0"/>
          <w:color w:val="000000"/>
          <w:sz w:val="20"/>
          <w:u w:val="none"/>
        </w:rPr>
        <w:t>.</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The amended and restated emplo</w:t>
      </w:r>
      <w:r>
        <w:rPr>
          <w:rFonts w:ascii="Arial" w:eastAsia="Arial" w:hAnsi="Arial" w:cs="Arial"/>
          <w:b w:val="0"/>
          <w:i w:val="0"/>
          <w:color w:val="000000"/>
          <w:sz w:val="20"/>
          <w:u w:val="none"/>
        </w:rPr>
        <w:t xml:space="preserve">yment agreement also observed the Compensation Committee's decision to increase Mr. Alobaidat's </w:t>
      </w:r>
      <w:r>
        <w:rPr>
          <w:rFonts w:ascii="Arial" w:eastAsia="Arial" w:hAnsi="Arial" w:cs="Arial"/>
          <w:b w:val="0"/>
          <w:i w:val="0"/>
          <w:color w:val="000000"/>
          <w:sz w:val="20"/>
          <w:u w:val="none"/>
        </w:rPr>
        <w:t>annual</w:t>
      </w:r>
      <w:r>
        <w:rPr>
          <w:rFonts w:ascii="Arial" w:eastAsia="Arial" w:hAnsi="Arial" w:cs="Arial"/>
          <w:b w:val="0"/>
          <w:i w:val="0"/>
          <w:color w:val="000000"/>
          <w:sz w:val="20"/>
          <w:u w:val="none"/>
        </w:rPr>
        <w:t xml:space="preserve"> base salary to $650,000, effective April 1, 2023. </w:t>
      </w:r>
      <w:r>
        <w:rPr>
          <w:rFonts w:ascii="Arial" w:eastAsia="Arial" w:hAnsi="Arial" w:cs="Arial"/>
          <w:b w:val="0"/>
          <w:i w:val="0"/>
          <w:color w:val="000000"/>
          <w:sz w:val="20"/>
          <w:u w:val="none"/>
        </w:rPr>
        <w:t xml:space="preserve">The amended and restated employment agreement otherwise includes similar terms and conditions </w:t>
      </w:r>
      <w:r>
        <w:rPr>
          <w:rFonts w:ascii="Arial" w:eastAsia="Arial" w:hAnsi="Arial" w:cs="Arial"/>
          <w:b w:val="0"/>
          <w:i w:val="0"/>
          <w:color w:val="000000"/>
          <w:sz w:val="20"/>
          <w:u w:val="none"/>
        </w:rPr>
        <w:t xml:space="preserve">as Mr. Alobaidat's existing </w:t>
      </w:r>
      <w:r>
        <w:rPr>
          <w:rFonts w:ascii="Arial" w:eastAsia="Arial" w:hAnsi="Arial" w:cs="Arial"/>
          <w:b w:val="0"/>
          <w:i w:val="0"/>
          <w:color w:val="000000"/>
          <w:sz w:val="20"/>
          <w:u w:val="none"/>
        </w:rPr>
        <w:t xml:space="preserve">agreement. </w:t>
      </w:r>
      <w:r>
        <w:rPr>
          <w:rFonts w:ascii="Arial" w:eastAsia="Arial" w:hAnsi="Arial" w:cs="Arial"/>
          <w:b w:val="0"/>
          <w:i w:val="0"/>
          <w:color w:val="000000"/>
          <w:sz w:val="20"/>
          <w:u w:val="none"/>
        </w:rPr>
        <w:t>Mr. Alob</w:t>
      </w:r>
      <w:r>
        <w:rPr>
          <w:rFonts w:ascii="Arial" w:eastAsia="Arial" w:hAnsi="Arial" w:cs="Arial"/>
          <w:b w:val="0"/>
          <w:i w:val="0"/>
          <w:color w:val="000000"/>
          <w:sz w:val="20"/>
          <w:u w:val="none"/>
        </w:rPr>
        <w:t xml:space="preserve">aidat's </w:t>
      </w:r>
      <w:r>
        <w:rPr>
          <w:rFonts w:ascii="Arial" w:eastAsia="Arial" w:hAnsi="Arial" w:cs="Arial"/>
          <w:b w:val="0"/>
          <w:i w:val="0"/>
          <w:color w:val="000000"/>
          <w:sz w:val="20"/>
          <w:u w:val="none"/>
        </w:rPr>
        <w:t xml:space="preserve">amended and restated </w:t>
      </w:r>
      <w:r>
        <w:rPr>
          <w:rFonts w:ascii="Arial" w:eastAsia="Arial" w:hAnsi="Arial" w:cs="Arial"/>
          <w:b w:val="0"/>
          <w:i w:val="0"/>
          <w:color w:val="000000"/>
          <w:sz w:val="20"/>
          <w:u w:val="none"/>
        </w:rPr>
        <w:t>em</w:t>
      </w:r>
      <w:r>
        <w:rPr>
          <w:rFonts w:ascii="Arial" w:eastAsia="Arial" w:hAnsi="Arial" w:cs="Arial"/>
          <w:b w:val="0"/>
          <w:i w:val="0"/>
          <w:color w:val="000000"/>
          <w:sz w:val="20"/>
          <w:u w:val="none"/>
        </w:rPr>
        <w:t xml:space="preserve">ployment agreement </w:t>
      </w:r>
      <w:r>
        <w:rPr>
          <w:rFonts w:ascii="Arial" w:eastAsia="Arial" w:hAnsi="Arial" w:cs="Arial"/>
          <w:b w:val="0"/>
          <w:i w:val="0"/>
          <w:color w:val="000000"/>
          <w:sz w:val="20"/>
          <w:u w:val="none"/>
        </w:rPr>
        <w:t>continues for an indefinite term until</w:t>
      </w:r>
      <w:r>
        <w:rPr>
          <w:rFonts w:ascii="Arial" w:eastAsia="Arial" w:hAnsi="Arial" w:cs="Arial"/>
          <w:b w:val="0"/>
          <w:i w:val="0"/>
          <w:color w:val="000000"/>
          <w:sz w:val="20"/>
          <w:u w:val="none"/>
        </w:rPr>
        <w:t xml:space="preserve"> terminated </w:t>
      </w:r>
      <w:r>
        <w:rPr>
          <w:rFonts w:ascii="Arial" w:eastAsia="Arial" w:hAnsi="Arial" w:cs="Arial"/>
          <w:b w:val="0"/>
          <w:i w:val="0"/>
          <w:color w:val="000000"/>
          <w:sz w:val="20"/>
          <w:u w:val="none"/>
        </w:rPr>
        <w:t xml:space="preserve">in accordance with its terms.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Additional material terms of each of the employment agreements are described below in the section entitled "Potential Payments upon Termination or Change in Control." The employment agreements also provide for certain benefits and certain restrictive covenants. </w:t>
      </w:r>
    </w:p>
    <w:p>
      <w:pPr>
        <w:keepNext/>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4495D1"/>
          <w:sz w:val="20"/>
          <w:u w:val="none"/>
        </w:rPr>
      </w:pPr>
      <w:r>
        <w:rPr>
          <w:rFonts w:ascii="Arial" w:eastAsia="Arial" w:hAnsi="Arial" w:cs="Arial"/>
          <w:b/>
          <w:i w:val="0"/>
          <w:color w:val="4495D1"/>
          <w:sz w:val="20"/>
          <w:u w:val="none"/>
        </w:rPr>
        <w:t>Incentive Awards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Awards granted under our Annual Incentive Compensation Program and our Equity Plan are described in "Compensation Discussion and Analysis - Annual Incentive Compensation" and "Long-Term Incentive Compensation," respectively.  </w:t>
      </w:r>
    </w:p>
    <w:p>
      <w:pPr>
        <w:keepNext w:val="0"/>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4495D1"/>
          <w:sz w:val="20"/>
          <w:u w:val="none"/>
        </w:rPr>
      </w:pPr>
      <w:r>
        <w:rPr>
          <w:rFonts w:ascii="Arial" w:eastAsia="Arial" w:hAnsi="Arial" w:cs="Arial"/>
          <w:b/>
          <w:i w:val="0"/>
          <w:color w:val="4495D1"/>
          <w:sz w:val="20"/>
          <w:u w:val="none"/>
        </w:rPr>
        <w:t>Retirement and Other Benefits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We maintain retirement plans and programs for our employees in Bermuda, Australia, the United Kingdom, Europe, and the United States. On an annual basis, our employees and executive officers in Bermuda receive an amount equal to 10% of their base salaries in respect of a retirement benefit contribution. Our employees and executive officers in the United States receive a Company matching contribution under our 401(k) plan of up to 6% of base salary, subject to IRS maximums. The amounts paid to each of our executive officers in respect of these retirement benefits are included in the amounts shown in the "All Other Compensation" column of the Summary Compensation Table above. Amounts for other benefits included in the "All Other Compensation" column of the Summary Compensation Table are described in "Compensation Discussion and Analysis - Other Benefits and Perquisites."</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287"/>
          <w:footerReference w:type="default" r:id="rId288"/>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105" w:name="Section108"/>
      <w:bookmarkEnd w:id="105"/>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 xml:space="preserve">Outstanding Equity Awards at </w:t>
      </w:r>
      <w:r>
        <w:rPr>
          <w:rFonts w:ascii="Arial" w:eastAsia="Arial" w:hAnsi="Arial" w:cs="Arial"/>
          <w:b/>
          <w:i w:val="0"/>
          <w:color w:val="171449"/>
          <w:sz w:val="24"/>
          <w:u w:val="none"/>
        </w:rPr>
        <w:t>2023</w:t>
      </w:r>
      <w:r>
        <w:rPr>
          <w:rFonts w:ascii="Arial" w:eastAsia="Arial" w:hAnsi="Arial" w:cs="Arial"/>
          <w:b/>
          <w:i w:val="0"/>
          <w:color w:val="171449"/>
          <w:sz w:val="24"/>
          <w:u w:val="none"/>
        </w:rPr>
        <w:t xml:space="preserve"> Fiscal Year-End</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following table sets forth information regarding all outstanding equity awards held by the executive officers at </w:t>
      </w:r>
      <w:r>
        <w:rPr>
          <w:rFonts w:ascii="Arial" w:eastAsia="Arial" w:hAnsi="Arial" w:cs="Arial"/>
          <w:b w:val="0"/>
          <w:i w:val="0"/>
          <w:color w:val="000000"/>
          <w:sz w:val="20"/>
          <w:u w:val="none"/>
        </w:rPr>
        <w:t>December 31, 2023</w:t>
      </w:r>
      <w:r>
        <w:rPr>
          <w:rFonts w:ascii="Arial" w:eastAsia="Arial" w:hAnsi="Arial" w:cs="Arial"/>
          <w:b w:val="0"/>
          <w:i w:val="0"/>
          <w:sz w:val="20"/>
        </w:rPr>
        <w:t>.</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785"/>
        <w:gridCol w:w="855"/>
        <w:gridCol w:w="255"/>
        <w:gridCol w:w="1020"/>
        <w:gridCol w:w="1095"/>
        <w:gridCol w:w="255"/>
        <w:gridCol w:w="840"/>
        <w:gridCol w:w="345"/>
        <w:gridCol w:w="1155"/>
        <w:gridCol w:w="840"/>
        <w:gridCol w:w="375"/>
        <w:gridCol w:w="1350"/>
      </w:tblGrid>
      <w:tr>
        <w:tblPrEx>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78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ind w:left="90"/>
              <w:jc w:val="left"/>
            </w:pPr>
            <w:r>
              <w:rPr>
                <w:rFonts w:ascii="Arial" w:eastAsia="Arial" w:hAnsi="Arial" w:cs="Arial"/>
                <w:b/>
                <w:i w:val="0"/>
                <w:color w:val="FFFFFF"/>
                <w:sz w:val="16"/>
                <w:u w:val="none"/>
              </w:rPr>
              <w:t>  </w:t>
            </w:r>
          </w:p>
        </w:tc>
        <w:tc>
          <w:tcPr>
            <w:tcW w:w="3480" w:type="dxa"/>
            <w:gridSpan w:val="5"/>
            <w:tcBorders>
              <w:top w:val="nil"/>
              <w:left w:val="nil"/>
              <w:bottom w:val="nil"/>
              <w:right w:val="nil"/>
            </w:tcBorders>
            <w:shd w:val="clear" w:color="auto" w:fill="1D64A3"/>
            <w:tcMar>
              <w:top w:w="0" w:type="dxa"/>
              <w:left w:w="53" w:type="dxa"/>
              <w:bottom w:w="0" w:type="dxa"/>
              <w:right w:w="53" w:type="dxa"/>
            </w:tcMar>
            <w:vAlign w:val="bottom"/>
          </w:tcPr>
          <w:p>
            <w:pPr>
              <w:keepNext/>
              <w:pageBreakBefore w:val="0"/>
              <w:spacing w:before="53" w:after="30" w:line="288" w:lineRule="auto"/>
              <w:jc w:val="center"/>
            </w:pPr>
            <w:r>
              <w:rPr>
                <w:rFonts w:ascii="Arial" w:eastAsia="Arial" w:hAnsi="Arial" w:cs="Arial"/>
                <w:b/>
                <w:i w:val="0"/>
                <w:color w:val="FFFFFF"/>
                <w:sz w:val="16"/>
                <w:u w:val="none"/>
              </w:rPr>
              <w:t>Option Awards</w:t>
            </w:r>
          </w:p>
        </w:tc>
        <w:tc>
          <w:tcPr>
            <w:tcW w:w="4905" w:type="dxa"/>
            <w:gridSpan w:val="6"/>
            <w:tcBorders>
              <w:top w:val="nil"/>
              <w:left w:val="single" w:sz="8" w:space="0" w:color="FFFFFF"/>
              <w:bottom w:val="nil"/>
              <w:right w:val="nil"/>
            </w:tcBorders>
            <w:shd w:val="clear" w:color="auto" w:fill="1D64A3"/>
            <w:tcMar>
              <w:top w:w="0" w:type="dxa"/>
              <w:left w:w="53" w:type="dxa"/>
              <w:bottom w:w="0" w:type="dxa"/>
              <w:right w:w="53" w:type="dxa"/>
            </w:tcMar>
            <w:vAlign w:val="bottom"/>
          </w:tcPr>
          <w:p>
            <w:pPr>
              <w:keepNext/>
              <w:pageBreakBefore w:val="0"/>
              <w:numPr>
                <w:ilvl w:val="0"/>
                <w:numId w:val="0"/>
              </w:numPr>
              <w:spacing w:before="53" w:after="30" w:line="288" w:lineRule="auto"/>
              <w:ind w:left="0" w:right="0" w:firstLine="0"/>
              <w:jc w:val="center"/>
              <w:outlineLvl w:val="9"/>
              <w:rPr>
                <w:rFonts w:ascii="Arial" w:eastAsia="Arial" w:hAnsi="Arial" w:cs="Arial"/>
                <w:b/>
                <w:i w:val="0"/>
                <w:color w:val="FFFFFF"/>
                <w:sz w:val="16"/>
                <w:u w:val="none"/>
              </w:rPr>
            </w:pPr>
            <w:r>
              <w:rPr>
                <w:rFonts w:ascii="Arial" w:eastAsia="Arial" w:hAnsi="Arial" w:cs="Arial"/>
                <w:b/>
                <w:i w:val="0"/>
                <w:color w:val="FFFFFF"/>
                <w:sz w:val="16"/>
                <w:u w:val="none"/>
              </w:rPr>
              <w:t>Stock Awards</w:t>
            </w:r>
            <w:r>
              <w:rPr>
                <w:rFonts w:ascii="Arial" w:eastAsia="Arial" w:hAnsi="Arial" w:cs="Arial"/>
                <w:b/>
                <w:i w:val="0"/>
                <w:color w:val="FFFFFF"/>
                <w:sz w:val="16"/>
                <w:u w:val="none"/>
                <w:vertAlign w:val="superscript"/>
              </w:rPr>
              <w:t>(1)</w:t>
            </w:r>
          </w:p>
        </w:tc>
      </w:tr>
      <w:tr>
        <w:tblPrEx>
          <w:tblW w:w="10170" w:type="dxa"/>
          <w:jc w:val="center"/>
          <w:tblLayout w:type="fixed"/>
          <w:tblCellMar>
            <w:left w:w="108" w:type="dxa"/>
            <w:right w:w="108" w:type="dxa"/>
          </w:tblCellMar>
        </w:tblPrEx>
        <w:trPr>
          <w:cantSplit/>
          <w:trHeight w:hRule="exact" w:val="1905"/>
          <w:jc w:val="center"/>
        </w:trPr>
        <w:tc>
          <w:tcPr>
            <w:tcW w:w="178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ind w:left="90"/>
              <w:jc w:val="left"/>
            </w:pPr>
            <w:r>
              <w:rPr>
                <w:rFonts w:ascii="Arial" w:eastAsia="Arial" w:hAnsi="Arial" w:cs="Arial"/>
                <w:b/>
                <w:i w:val="0"/>
                <w:color w:val="FFFFFF"/>
                <w:sz w:val="14"/>
                <w:u w:val="none"/>
              </w:rPr>
              <w:t>Name</w:t>
            </w:r>
          </w:p>
        </w:tc>
        <w:tc>
          <w:tcPr>
            <w:tcW w:w="1110" w:type="dxa"/>
            <w:gridSpan w:val="2"/>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after="30" w:line="288" w:lineRule="auto"/>
              <w:jc w:val="right"/>
            </w:pPr>
            <w:r>
              <w:rPr>
                <w:rFonts w:ascii="Arial" w:eastAsia="Arial" w:hAnsi="Arial" w:cs="Arial"/>
                <w:b/>
                <w:i w:val="0"/>
                <w:color w:val="FFFFFF"/>
                <w:sz w:val="14"/>
                <w:u w:val="none"/>
              </w:rPr>
              <w:t>Number of Securities Underlying Unexercised Options Exercisable</w:t>
            </w:r>
          </w:p>
        </w:tc>
        <w:tc>
          <w:tcPr>
            <w:tcW w:w="1020" w:type="dxa"/>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after="30" w:line="288" w:lineRule="auto"/>
              <w:jc w:val="right"/>
            </w:pPr>
            <w:r>
              <w:rPr>
                <w:rFonts w:ascii="Arial" w:eastAsia="Arial" w:hAnsi="Arial" w:cs="Arial"/>
                <w:b/>
                <w:i w:val="0"/>
                <w:color w:val="FFFFFF"/>
                <w:sz w:val="14"/>
                <w:u w:val="none"/>
              </w:rPr>
              <w:t>Option Exercise Price</w:t>
            </w:r>
          </w:p>
        </w:tc>
        <w:tc>
          <w:tcPr>
            <w:tcW w:w="1350" w:type="dxa"/>
            <w:gridSpan w:val="2"/>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line="288" w:lineRule="auto"/>
              <w:jc w:val="right"/>
            </w:pPr>
            <w:r>
              <w:rPr>
                <w:rFonts w:ascii="Arial" w:eastAsia="Arial" w:hAnsi="Arial" w:cs="Arial"/>
                <w:b/>
                <w:i w:val="0"/>
                <w:color w:val="FFFFFF"/>
                <w:sz w:val="14"/>
                <w:u w:val="none"/>
              </w:rPr>
              <w:t xml:space="preserve">Option </w:t>
            </w:r>
          </w:p>
          <w:p>
            <w:pPr>
              <w:spacing w:line="288" w:lineRule="auto"/>
              <w:jc w:val="right"/>
            </w:pPr>
            <w:r>
              <w:rPr>
                <w:rFonts w:ascii="Arial" w:eastAsia="Arial" w:hAnsi="Arial" w:cs="Arial"/>
                <w:b/>
                <w:i w:val="0"/>
                <w:color w:val="FFFFFF"/>
                <w:sz w:val="14"/>
                <w:u w:val="none"/>
              </w:rPr>
              <w:t xml:space="preserve">Expiration </w:t>
            </w:r>
          </w:p>
          <w:p>
            <w:pPr>
              <w:spacing w:after="30" w:line="288" w:lineRule="auto"/>
              <w:jc w:val="right"/>
            </w:pPr>
            <w:r>
              <w:rPr>
                <w:rFonts w:ascii="Arial" w:eastAsia="Arial" w:hAnsi="Arial" w:cs="Arial"/>
                <w:b/>
                <w:i w:val="0"/>
                <w:color w:val="FFFFFF"/>
                <w:sz w:val="14"/>
                <w:u w:val="none"/>
              </w:rPr>
              <w:t>Date</w:t>
            </w:r>
          </w:p>
        </w:tc>
        <w:tc>
          <w:tcPr>
            <w:tcW w:w="1185" w:type="dxa"/>
            <w:gridSpan w:val="2"/>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after="30" w:line="288" w:lineRule="auto"/>
              <w:jc w:val="right"/>
            </w:pPr>
            <w:r>
              <w:rPr>
                <w:rFonts w:ascii="Arial" w:eastAsia="Arial" w:hAnsi="Arial" w:cs="Arial"/>
                <w:b/>
                <w:i w:val="0"/>
                <w:color w:val="FFFFFF"/>
                <w:sz w:val="14"/>
                <w:u w:val="none"/>
              </w:rPr>
              <w:t>Number of Shares or Units of Stock That Have Not Vested</w:t>
            </w:r>
          </w:p>
        </w:tc>
        <w:tc>
          <w:tcPr>
            <w:tcW w:w="1155" w:type="dxa"/>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after="30" w:line="288" w:lineRule="auto"/>
              <w:jc w:val="right"/>
            </w:pPr>
            <w:r>
              <w:rPr>
                <w:rFonts w:ascii="Arial" w:eastAsia="Arial" w:hAnsi="Arial" w:cs="Arial"/>
                <w:b/>
                <w:i w:val="0"/>
                <w:color w:val="FFFFFF"/>
                <w:sz w:val="14"/>
                <w:u w:val="none"/>
              </w:rPr>
              <w:t>Market Value of Shares or Units of Stock That Have Not Vested</w:t>
            </w:r>
          </w:p>
        </w:tc>
        <w:tc>
          <w:tcPr>
            <w:tcW w:w="1215" w:type="dxa"/>
            <w:gridSpan w:val="2"/>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after="30" w:line="288" w:lineRule="auto"/>
              <w:jc w:val="right"/>
            </w:pPr>
            <w:r>
              <w:rPr>
                <w:rFonts w:ascii="Arial" w:eastAsia="Arial" w:hAnsi="Arial" w:cs="Arial"/>
                <w:b/>
                <w:i w:val="0"/>
                <w:color w:val="FFFFFF"/>
                <w:sz w:val="14"/>
                <w:u w:val="none"/>
              </w:rPr>
              <w:t>Equity Incentive Plan Awards: Number of Unearned Shares, Units or Other Rights That Have Not Vested</w:t>
            </w:r>
          </w:p>
        </w:tc>
        <w:tc>
          <w:tcPr>
            <w:tcW w:w="1350" w:type="dxa"/>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after="30" w:line="288" w:lineRule="auto"/>
              <w:jc w:val="right"/>
            </w:pPr>
            <w:r>
              <w:rPr>
                <w:rFonts w:ascii="Arial" w:eastAsia="Arial" w:hAnsi="Arial" w:cs="Arial"/>
                <w:b/>
                <w:i w:val="0"/>
                <w:color w:val="FFFFFF"/>
                <w:sz w:val="14"/>
                <w:u w:val="none"/>
              </w:rPr>
              <w:t>Equity Incentive Plan Awards: Market or Payout Value of Unearned Shares, Units or Other Rights That Have Not Vested</w:t>
            </w:r>
          </w:p>
        </w:tc>
      </w:tr>
      <w:tr>
        <w:tblPrEx>
          <w:tblW w:w="10170" w:type="dxa"/>
          <w:jc w:val="center"/>
          <w:tblLayout w:type="fixed"/>
          <w:tblCellMar>
            <w:left w:w="108" w:type="dxa"/>
            <w:right w:w="108" w:type="dxa"/>
          </w:tblCellMar>
        </w:tblPrEx>
        <w:trPr>
          <w:cantSplit/>
          <w:trHeight w:hRule="exact" w:val="345"/>
          <w:jc w:val="center"/>
        </w:trPr>
        <w:tc>
          <w:tcPr>
            <w:tcW w:w="178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i w:val="0"/>
                <w:color w:val="000000"/>
                <w:sz w:val="18"/>
                <w:u w:val="none"/>
              </w:rPr>
              <w:t>Dominic Silvester</w:t>
            </w:r>
          </w:p>
        </w:tc>
        <w:tc>
          <w:tcPr>
            <w:tcW w:w="85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79"/>
                <w:tab w:val="left" w:pos="787"/>
              </w:tabs>
              <w:spacing w:before="0" w:after="0" w:line="240" w:lineRule="auto"/>
              <w:jc w:val="right"/>
            </w:pPr>
            <w:r>
              <w:rPr>
                <w:rFonts w:ascii="Arial" w:eastAsia="Arial" w:hAnsi="Arial" w:cs="Arial"/>
                <w:b w:val="0"/>
                <w:i w:val="0"/>
                <w:color w:val="000000"/>
                <w:sz w:val="18"/>
                <w:u w:val="none"/>
              </w:rPr>
              <w:tab/>
              <w:t>565,630</w:t>
              <w:tab/>
            </w:r>
          </w:p>
        </w:tc>
        <w:tc>
          <w:tcPr>
            <w:tcW w:w="25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vertAlign w:val="superscript"/>
              </w:rPr>
            </w:pPr>
            <w:r>
              <w:rPr>
                <w:rFonts w:ascii="Arial" w:eastAsia="Arial" w:hAnsi="Arial" w:cs="Arial"/>
                <w:b w:val="0"/>
                <w:i w:val="0"/>
                <w:sz w:val="18"/>
                <w:vertAlign w:val="superscript"/>
              </w:rPr>
              <w:t>(2)</w:t>
            </w:r>
          </w:p>
        </w:tc>
        <w:tc>
          <w:tcPr>
            <w:tcW w:w="1020"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344"/>
                <w:tab w:val="left" w:pos="952"/>
              </w:tabs>
              <w:spacing w:before="0" w:after="0" w:line="240" w:lineRule="auto"/>
              <w:jc w:val="right"/>
            </w:pPr>
            <w:r>
              <w:rPr>
                <w:rFonts w:ascii="Arial" w:eastAsia="Arial" w:hAnsi="Arial" w:cs="Arial"/>
                <w:b w:val="0"/>
                <w:i w:val="0"/>
                <w:color w:val="000000"/>
                <w:sz w:val="18"/>
                <w:u w:val="none"/>
              </w:rPr>
              <w:t>$</w:t>
              <w:tab/>
              <w:t>315.53</w:t>
              <w:tab/>
            </w:r>
          </w:p>
        </w:tc>
        <w:tc>
          <w:tcPr>
            <w:tcW w:w="1095" w:type="dxa"/>
            <w:tcBorders>
              <w:top w:val="nil"/>
              <w:left w:val="nil"/>
              <w:bottom w:val="nil"/>
              <w:right w:val="nil"/>
            </w:tcBorders>
            <w:shd w:val="clear" w:color="auto" w:fill="DFDDDE"/>
            <w:tcMar>
              <w:top w:w="0" w:type="dxa"/>
              <w:left w:w="0" w:type="dxa"/>
              <w:bottom w:w="0" w:type="dxa"/>
              <w:right w:w="53" w:type="dxa"/>
            </w:tcMar>
            <w:vAlign w:val="center"/>
          </w:tcPr>
          <w:p>
            <w:pPr>
              <w:keepNext/>
              <w:pageBreakBefore w:val="0"/>
              <w:spacing w:before="0" w:after="0" w:line="240" w:lineRule="auto"/>
              <w:jc w:val="right"/>
            </w:pPr>
            <w:r>
              <w:rPr>
                <w:rFonts w:ascii="Arial" w:eastAsia="Arial" w:hAnsi="Arial" w:cs="Arial"/>
                <w:b w:val="0"/>
                <w:i w:val="0"/>
                <w:color w:val="000000"/>
                <w:sz w:val="18"/>
                <w:u w:val="none"/>
              </w:rPr>
              <w:t>4/21/2025</w:t>
            </w:r>
          </w:p>
        </w:tc>
        <w:tc>
          <w:tcPr>
            <w:tcW w:w="25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vertAlign w:val="superscript"/>
              </w:rPr>
            </w:pPr>
            <w:r>
              <w:rPr>
                <w:rFonts w:ascii="Arial" w:eastAsia="Arial" w:hAnsi="Arial" w:cs="Arial"/>
                <w:b w:val="0"/>
                <w:i w:val="0"/>
                <w:sz w:val="18"/>
                <w:vertAlign w:val="superscript"/>
              </w:rPr>
              <w:t>(2)</w:t>
            </w:r>
          </w:p>
        </w:tc>
        <w:tc>
          <w:tcPr>
            <w:tcW w:w="840"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534"/>
                <w:tab w:val="left" w:pos="772"/>
              </w:tabs>
              <w:spacing w:before="0" w:after="0" w:line="240" w:lineRule="auto"/>
              <w:jc w:val="right"/>
            </w:pPr>
            <w:r>
              <w:rPr>
                <w:rFonts w:ascii="Arial" w:eastAsia="Arial" w:hAnsi="Arial" w:cs="Arial"/>
                <w:b w:val="0"/>
                <w:i w:val="0"/>
                <w:color w:val="000000"/>
                <w:sz w:val="18"/>
                <w:u w:val="none"/>
              </w:rPr>
              <w:tab/>
              <w:t>—</w:t>
              <w:tab/>
            </w:r>
          </w:p>
        </w:tc>
        <w:tc>
          <w:tcPr>
            <w:tcW w:w="34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15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849"/>
                <w:tab w:val="left" w:pos="1087"/>
              </w:tabs>
              <w:spacing w:before="0" w:after="0" w:line="240" w:lineRule="auto"/>
              <w:jc w:val="right"/>
            </w:pPr>
            <w:r>
              <w:rPr>
                <w:rFonts w:ascii="Arial" w:eastAsia="Arial" w:hAnsi="Arial" w:cs="Arial"/>
                <w:b w:val="0"/>
                <w:i w:val="0"/>
                <w:color w:val="000000"/>
                <w:sz w:val="18"/>
                <w:u w:val="none"/>
              </w:rPr>
              <w:t>$</w:t>
              <w:tab/>
              <w:t>—</w:t>
              <w:tab/>
            </w:r>
          </w:p>
        </w:tc>
        <w:tc>
          <w:tcPr>
            <w:tcW w:w="840"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534"/>
                <w:tab w:val="left" w:pos="772"/>
              </w:tabs>
              <w:spacing w:before="0" w:after="0" w:line="240" w:lineRule="auto"/>
              <w:jc w:val="right"/>
            </w:pPr>
            <w:r>
              <w:rPr>
                <w:rFonts w:ascii="Arial" w:eastAsia="Arial" w:hAnsi="Arial" w:cs="Arial"/>
                <w:b w:val="0"/>
                <w:i w:val="0"/>
                <w:color w:val="000000"/>
                <w:sz w:val="18"/>
                <w:u w:val="none"/>
              </w:rPr>
              <w:tab/>
              <w:t>—</w:t>
              <w:tab/>
            </w:r>
          </w:p>
        </w:tc>
        <w:tc>
          <w:tcPr>
            <w:tcW w:w="37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350"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044"/>
                <w:tab w:val="left" w:pos="1282"/>
              </w:tabs>
              <w:spacing w:before="0" w:after="0" w:line="240" w:lineRule="auto"/>
              <w:jc w:val="right"/>
            </w:pPr>
            <w:r>
              <w:rPr>
                <w:rFonts w:ascii="Arial" w:eastAsia="Arial" w:hAnsi="Arial" w:cs="Arial"/>
                <w:b w:val="0"/>
                <w:i w:val="0"/>
                <w:color w:val="000000"/>
                <w:sz w:val="18"/>
                <w:u w:val="none"/>
              </w:rPr>
              <w:t>$</w:t>
              <w:tab/>
              <w:t>—</w:t>
              <w:tab/>
            </w:r>
          </w:p>
        </w:tc>
      </w:tr>
      <w:tr>
        <w:tblPrEx>
          <w:tblW w:w="10170" w:type="dxa"/>
          <w:jc w:val="center"/>
          <w:tblLayout w:type="fixed"/>
          <w:tblCellMar>
            <w:left w:w="108" w:type="dxa"/>
            <w:right w:w="108" w:type="dxa"/>
          </w:tblCellMar>
        </w:tblPrEx>
        <w:trPr>
          <w:cantSplit/>
          <w:trHeight w:hRule="exact" w:val="345"/>
          <w:jc w:val="center"/>
        </w:trPr>
        <w:tc>
          <w:tcPr>
            <w:tcW w:w="178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i w:val="0"/>
                <w:color w:val="000000"/>
                <w:sz w:val="18"/>
                <w:u w:val="none"/>
              </w:rPr>
              <w:t>Matthew Kirk</w:t>
            </w:r>
          </w:p>
        </w:tc>
        <w:tc>
          <w:tcPr>
            <w:tcW w:w="85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49"/>
                <w:tab w:val="left" w:pos="787"/>
              </w:tabs>
              <w:spacing w:before="0" w:after="0" w:line="240" w:lineRule="auto"/>
              <w:jc w:val="right"/>
            </w:pPr>
            <w:r>
              <w:rPr>
                <w:rFonts w:ascii="Arial" w:eastAsia="Arial" w:hAnsi="Arial" w:cs="Arial"/>
                <w:b w:val="0"/>
                <w:i w:val="0"/>
                <w:color w:val="000000"/>
                <w:sz w:val="18"/>
                <w:u w:val="none"/>
              </w:rPr>
              <w:tab/>
              <w:t>—</w:t>
              <w:tab/>
            </w:r>
          </w:p>
        </w:tc>
        <w:tc>
          <w:tcPr>
            <w:tcW w:w="25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02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14"/>
                <w:tab w:val="left" w:pos="952"/>
              </w:tabs>
              <w:spacing w:before="0" w:after="0" w:line="240" w:lineRule="auto"/>
              <w:jc w:val="right"/>
            </w:pPr>
            <w:r>
              <w:rPr>
                <w:rFonts w:ascii="Arial" w:eastAsia="Arial" w:hAnsi="Arial" w:cs="Arial"/>
                <w:b w:val="0"/>
                <w:i w:val="0"/>
                <w:color w:val="000000"/>
                <w:sz w:val="18"/>
                <w:u w:val="none"/>
              </w:rPr>
              <w:t>$</w:t>
              <w:tab/>
              <w:t>—</w:t>
              <w:tab/>
            </w:r>
          </w:p>
        </w:tc>
        <w:tc>
          <w:tcPr>
            <w:tcW w:w="109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89"/>
                <w:tab w:val="left" w:pos="1027"/>
              </w:tabs>
              <w:spacing w:before="0" w:after="0" w:line="240" w:lineRule="auto"/>
              <w:jc w:val="right"/>
            </w:pPr>
            <w:r>
              <w:rPr>
                <w:rFonts w:ascii="Arial" w:eastAsia="Arial" w:hAnsi="Arial" w:cs="Arial"/>
                <w:b w:val="0"/>
                <w:i w:val="0"/>
                <w:color w:val="000000"/>
                <w:sz w:val="18"/>
                <w:u w:val="none"/>
              </w:rPr>
              <w:tab/>
              <w:t>—</w:t>
              <w:tab/>
            </w:r>
          </w:p>
        </w:tc>
        <w:tc>
          <w:tcPr>
            <w:tcW w:w="25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84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264"/>
                <w:tab w:val="left" w:pos="772"/>
              </w:tabs>
              <w:spacing w:before="0" w:after="0" w:line="240" w:lineRule="auto"/>
              <w:jc w:val="right"/>
            </w:pPr>
            <w:r>
              <w:rPr>
                <w:rFonts w:ascii="Arial" w:eastAsia="Arial" w:hAnsi="Arial" w:cs="Arial"/>
                <w:b w:val="0"/>
                <w:i w:val="0"/>
                <w:color w:val="000000"/>
                <w:sz w:val="18"/>
                <w:u w:val="none"/>
              </w:rPr>
              <w:tab/>
              <w:t>6,937</w:t>
              <w:tab/>
            </w:r>
          </w:p>
        </w:tc>
        <w:tc>
          <w:tcPr>
            <w:tcW w:w="3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vertAlign w:val="superscript"/>
              </w:rPr>
            </w:pPr>
            <w:r>
              <w:rPr>
                <w:rFonts w:ascii="Arial" w:eastAsia="Arial" w:hAnsi="Arial" w:cs="Arial"/>
                <w:b w:val="0"/>
                <w:i w:val="0"/>
                <w:sz w:val="18"/>
                <w:vertAlign w:val="superscript"/>
              </w:rPr>
              <w:t>(</w:t>
            </w:r>
            <w:r>
              <w:rPr>
                <w:rFonts w:ascii="Arial" w:eastAsia="Arial" w:hAnsi="Arial" w:cs="Arial"/>
                <w:b w:val="0"/>
                <w:i w:val="0"/>
                <w:sz w:val="18"/>
                <w:vertAlign w:val="superscript"/>
              </w:rPr>
              <w:t>3</w:t>
            </w:r>
            <w:r>
              <w:rPr>
                <w:rFonts w:ascii="Arial" w:eastAsia="Arial" w:hAnsi="Arial" w:cs="Arial"/>
                <w:b w:val="0"/>
                <w:i w:val="0"/>
                <w:sz w:val="18"/>
                <w:vertAlign w:val="superscript"/>
              </w:rPr>
              <w:t>)</w:t>
            </w:r>
          </w:p>
        </w:tc>
        <w:tc>
          <w:tcPr>
            <w:tcW w:w="115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229"/>
                <w:tab w:val="left" w:pos="1087"/>
              </w:tabs>
              <w:spacing w:before="0" w:after="0" w:line="240" w:lineRule="auto"/>
              <w:jc w:val="right"/>
            </w:pPr>
            <w:r>
              <w:rPr>
                <w:rFonts w:ascii="Arial" w:eastAsia="Arial" w:hAnsi="Arial" w:cs="Arial"/>
                <w:b w:val="0"/>
                <w:i w:val="0"/>
                <w:color w:val="000000"/>
                <w:sz w:val="18"/>
                <w:u w:val="none"/>
              </w:rPr>
              <w:t>$</w:t>
              <w:tab/>
              <w:t>2,041,906</w:t>
              <w:tab/>
            </w:r>
          </w:p>
        </w:tc>
        <w:tc>
          <w:tcPr>
            <w:tcW w:w="84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264"/>
                <w:tab w:val="left" w:pos="772"/>
              </w:tabs>
              <w:spacing w:before="0" w:after="0" w:line="240" w:lineRule="auto"/>
              <w:jc w:val="right"/>
            </w:pPr>
            <w:r>
              <w:rPr>
                <w:rFonts w:ascii="Arial" w:eastAsia="Arial" w:hAnsi="Arial" w:cs="Arial"/>
                <w:b w:val="0"/>
                <w:i w:val="0"/>
                <w:color w:val="000000"/>
                <w:sz w:val="18"/>
                <w:u w:val="none"/>
              </w:rPr>
              <w:tab/>
              <w:t>3,449</w:t>
              <w:tab/>
            </w:r>
          </w:p>
        </w:tc>
        <w:tc>
          <w:tcPr>
            <w:tcW w:w="37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vertAlign w:val="superscript"/>
              </w:rPr>
            </w:pPr>
            <w:r>
              <w:rPr>
                <w:rFonts w:ascii="Arial" w:eastAsia="Arial" w:hAnsi="Arial" w:cs="Arial"/>
                <w:b w:val="0"/>
                <w:i w:val="0"/>
                <w:sz w:val="18"/>
                <w:vertAlign w:val="superscript"/>
              </w:rPr>
              <w:t>(</w:t>
            </w:r>
            <w:r>
              <w:rPr>
                <w:rFonts w:ascii="Arial" w:eastAsia="Arial" w:hAnsi="Arial" w:cs="Arial"/>
                <w:b w:val="0"/>
                <w:i w:val="0"/>
                <w:sz w:val="18"/>
                <w:vertAlign w:val="superscript"/>
              </w:rPr>
              <w:t>4</w:t>
            </w:r>
            <w:r>
              <w:rPr>
                <w:rFonts w:ascii="Arial" w:eastAsia="Arial" w:hAnsi="Arial" w:cs="Arial"/>
                <w:b w:val="0"/>
                <w:i w:val="0"/>
                <w:sz w:val="18"/>
                <w:vertAlign w:val="superscript"/>
              </w:rPr>
              <w:t>)</w:t>
            </w:r>
          </w:p>
        </w:tc>
        <w:tc>
          <w:tcPr>
            <w:tcW w:w="135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424"/>
                <w:tab w:val="left" w:pos="1282"/>
              </w:tabs>
              <w:spacing w:before="0" w:after="0" w:line="240" w:lineRule="auto"/>
              <w:jc w:val="right"/>
            </w:pPr>
            <w:r>
              <w:rPr>
                <w:rFonts w:ascii="Arial" w:eastAsia="Arial" w:hAnsi="Arial" w:cs="Arial"/>
                <w:b w:val="0"/>
                <w:i w:val="0"/>
                <w:color w:val="000000"/>
                <w:sz w:val="18"/>
                <w:u w:val="none"/>
              </w:rPr>
              <w:t>$</w:t>
              <w:tab/>
              <w:t>1,015,213</w:t>
              <w:tab/>
            </w:r>
          </w:p>
        </w:tc>
      </w:tr>
      <w:tr>
        <w:tblPrEx>
          <w:tblW w:w="10170" w:type="dxa"/>
          <w:jc w:val="center"/>
          <w:tblLayout w:type="fixed"/>
          <w:tblCellMar>
            <w:left w:w="108" w:type="dxa"/>
            <w:right w:w="108" w:type="dxa"/>
          </w:tblCellMar>
        </w:tblPrEx>
        <w:trPr>
          <w:cantSplit/>
          <w:trHeight w:hRule="exact" w:val="345"/>
          <w:jc w:val="center"/>
        </w:trPr>
        <w:tc>
          <w:tcPr>
            <w:tcW w:w="178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i w:val="0"/>
                <w:color w:val="000000"/>
                <w:sz w:val="18"/>
                <w:u w:val="none"/>
              </w:rPr>
              <w:t>Orla Gregory</w:t>
            </w:r>
          </w:p>
        </w:tc>
        <w:tc>
          <w:tcPr>
            <w:tcW w:w="8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549"/>
                <w:tab w:val="left" w:pos="787"/>
              </w:tabs>
              <w:spacing w:before="0" w:after="0" w:line="240" w:lineRule="auto"/>
              <w:jc w:val="right"/>
            </w:pPr>
            <w:r>
              <w:rPr>
                <w:rFonts w:ascii="Arial" w:eastAsia="Arial" w:hAnsi="Arial" w:cs="Arial"/>
                <w:b w:val="0"/>
                <w:i w:val="0"/>
                <w:color w:val="000000"/>
                <w:sz w:val="18"/>
                <w:u w:val="none"/>
              </w:rPr>
              <w:tab/>
              <w:t>—</w:t>
              <w:tab/>
            </w:r>
          </w:p>
        </w:tc>
        <w:tc>
          <w:tcPr>
            <w:tcW w:w="25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vertAlign w:val="superscript"/>
              </w:rPr>
            </w:pPr>
          </w:p>
        </w:tc>
        <w:tc>
          <w:tcPr>
            <w:tcW w:w="1020"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714"/>
                <w:tab w:val="left" w:pos="952"/>
              </w:tabs>
              <w:spacing w:before="0" w:after="0" w:line="240" w:lineRule="auto"/>
              <w:jc w:val="right"/>
            </w:pPr>
            <w:r>
              <w:rPr>
                <w:rFonts w:ascii="Arial" w:eastAsia="Arial" w:hAnsi="Arial" w:cs="Arial"/>
                <w:b w:val="0"/>
                <w:i w:val="0"/>
                <w:color w:val="000000"/>
                <w:sz w:val="18"/>
                <w:u w:val="none"/>
              </w:rPr>
              <w:t>$</w:t>
              <w:tab/>
              <w:t>—</w:t>
              <w:tab/>
            </w:r>
          </w:p>
        </w:tc>
        <w:tc>
          <w:tcPr>
            <w:tcW w:w="10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789"/>
                <w:tab w:val="left" w:pos="1027"/>
              </w:tabs>
              <w:spacing w:before="0" w:after="0" w:line="240" w:lineRule="auto"/>
              <w:jc w:val="right"/>
            </w:pPr>
            <w:r>
              <w:rPr>
                <w:rFonts w:ascii="Arial" w:eastAsia="Arial" w:hAnsi="Arial" w:cs="Arial"/>
                <w:b w:val="0"/>
                <w:i w:val="0"/>
                <w:color w:val="000000"/>
                <w:sz w:val="18"/>
                <w:u w:val="none"/>
              </w:rPr>
              <w:tab/>
              <w:t>—</w:t>
              <w:tab/>
            </w:r>
          </w:p>
        </w:tc>
        <w:tc>
          <w:tcPr>
            <w:tcW w:w="25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840"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64"/>
                <w:tab w:val="left" w:pos="772"/>
              </w:tabs>
              <w:spacing w:before="0" w:after="0" w:line="240" w:lineRule="auto"/>
              <w:jc w:val="right"/>
            </w:pPr>
            <w:r>
              <w:rPr>
                <w:rFonts w:ascii="Arial" w:eastAsia="Arial" w:hAnsi="Arial" w:cs="Arial"/>
                <w:b w:val="0"/>
                <w:i w:val="0"/>
                <w:color w:val="000000"/>
                <w:sz w:val="18"/>
                <w:u w:val="none"/>
              </w:rPr>
              <w:tab/>
              <w:t>13,465</w:t>
              <w:tab/>
            </w:r>
          </w:p>
        </w:tc>
        <w:tc>
          <w:tcPr>
            <w:tcW w:w="34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vertAlign w:val="superscript"/>
              </w:rPr>
            </w:pPr>
            <w:r>
              <w:rPr>
                <w:rFonts w:ascii="Arial" w:eastAsia="Arial" w:hAnsi="Arial" w:cs="Arial"/>
                <w:b w:val="0"/>
                <w:i w:val="0"/>
                <w:sz w:val="18"/>
                <w:vertAlign w:val="superscript"/>
              </w:rPr>
              <w:t>(</w:t>
            </w:r>
            <w:r>
              <w:rPr>
                <w:rFonts w:ascii="Arial" w:eastAsia="Arial" w:hAnsi="Arial" w:cs="Arial"/>
                <w:b w:val="0"/>
                <w:i w:val="0"/>
                <w:sz w:val="18"/>
                <w:vertAlign w:val="superscript"/>
              </w:rPr>
              <w:t>5</w:t>
            </w:r>
            <w:r>
              <w:rPr>
                <w:rFonts w:ascii="Arial" w:eastAsia="Arial" w:hAnsi="Arial" w:cs="Arial"/>
                <w:b w:val="0"/>
                <w:i w:val="0"/>
                <w:sz w:val="18"/>
                <w:vertAlign w:val="superscript"/>
              </w:rPr>
              <w:t>)</w:t>
            </w:r>
          </w:p>
        </w:tc>
        <w:tc>
          <w:tcPr>
            <w:tcW w:w="11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229"/>
                <w:tab w:val="left" w:pos="1087"/>
              </w:tabs>
              <w:spacing w:before="0" w:after="0" w:line="240" w:lineRule="auto"/>
              <w:jc w:val="right"/>
            </w:pPr>
            <w:r>
              <w:rPr>
                <w:rFonts w:ascii="Arial" w:eastAsia="Arial" w:hAnsi="Arial" w:cs="Arial"/>
                <w:b w:val="0"/>
                <w:i w:val="0"/>
                <w:color w:val="000000"/>
                <w:sz w:val="18"/>
                <w:u w:val="none"/>
              </w:rPr>
              <w:t>$</w:t>
              <w:tab/>
              <w:t>3,963,423</w:t>
              <w:tab/>
            </w:r>
          </w:p>
        </w:tc>
        <w:tc>
          <w:tcPr>
            <w:tcW w:w="840"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64"/>
                <w:tab w:val="left" w:pos="772"/>
              </w:tabs>
              <w:spacing w:before="0" w:after="0" w:line="240" w:lineRule="auto"/>
              <w:jc w:val="right"/>
            </w:pPr>
            <w:r>
              <w:rPr>
                <w:rFonts w:ascii="Arial" w:eastAsia="Arial" w:hAnsi="Arial" w:cs="Arial"/>
                <w:b w:val="0"/>
                <w:i w:val="0"/>
                <w:color w:val="000000"/>
                <w:sz w:val="18"/>
                <w:u w:val="none"/>
              </w:rPr>
              <w:tab/>
              <w:t>80,790</w:t>
              <w:tab/>
            </w:r>
          </w:p>
        </w:tc>
        <w:tc>
          <w:tcPr>
            <w:tcW w:w="37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vertAlign w:val="superscript"/>
              </w:rPr>
            </w:pPr>
            <w:r>
              <w:rPr>
                <w:rFonts w:ascii="Arial" w:eastAsia="Arial" w:hAnsi="Arial" w:cs="Arial"/>
                <w:b w:val="0"/>
                <w:i w:val="0"/>
                <w:sz w:val="18"/>
                <w:vertAlign w:val="superscript"/>
              </w:rPr>
              <w:t>(</w:t>
            </w:r>
            <w:r>
              <w:rPr>
                <w:rFonts w:ascii="Arial" w:eastAsia="Arial" w:hAnsi="Arial" w:cs="Arial"/>
                <w:b w:val="0"/>
                <w:i w:val="0"/>
                <w:sz w:val="18"/>
                <w:vertAlign w:val="superscript"/>
              </w:rPr>
              <w:t>6</w:t>
            </w:r>
            <w:r>
              <w:rPr>
                <w:rFonts w:ascii="Arial" w:eastAsia="Arial" w:hAnsi="Arial" w:cs="Arial"/>
                <w:b w:val="0"/>
                <w:i w:val="0"/>
                <w:sz w:val="18"/>
                <w:vertAlign w:val="superscript"/>
              </w:rPr>
              <w:t>)</w:t>
            </w:r>
          </w:p>
        </w:tc>
        <w:tc>
          <w:tcPr>
            <w:tcW w:w="1350"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324"/>
                <w:tab w:val="left" w:pos="1282"/>
              </w:tabs>
              <w:spacing w:before="0" w:after="0" w:line="240" w:lineRule="auto"/>
              <w:jc w:val="right"/>
            </w:pPr>
            <w:r>
              <w:rPr>
                <w:rFonts w:ascii="Arial" w:eastAsia="Arial" w:hAnsi="Arial" w:cs="Arial"/>
                <w:b w:val="0"/>
                <w:i w:val="0"/>
                <w:color w:val="000000"/>
                <w:sz w:val="18"/>
                <w:u w:val="none"/>
              </w:rPr>
              <w:t>$</w:t>
              <w:tab/>
              <w:t>23,780,537</w:t>
              <w:tab/>
            </w:r>
          </w:p>
        </w:tc>
      </w:tr>
      <w:tr>
        <w:tblPrEx>
          <w:tblW w:w="10170" w:type="dxa"/>
          <w:jc w:val="center"/>
          <w:tblLayout w:type="fixed"/>
          <w:tblCellMar>
            <w:left w:w="108" w:type="dxa"/>
            <w:right w:w="108" w:type="dxa"/>
          </w:tblCellMar>
        </w:tblPrEx>
        <w:trPr>
          <w:cantSplit/>
          <w:trHeight w:hRule="exact" w:val="345"/>
          <w:jc w:val="center"/>
        </w:trPr>
        <w:tc>
          <w:tcPr>
            <w:tcW w:w="1785" w:type="dxa"/>
            <w:tcBorders>
              <w:top w:val="nil"/>
              <w:left w:val="nil"/>
              <w:bottom w:val="nil"/>
              <w:right w:val="nil"/>
            </w:tcBorders>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i w:val="0"/>
                <w:color w:val="000000"/>
                <w:sz w:val="18"/>
                <w:u w:val="none"/>
              </w:rPr>
              <w:t>David Ni</w:t>
            </w:r>
          </w:p>
        </w:tc>
        <w:tc>
          <w:tcPr>
            <w:tcW w:w="855" w:type="dxa"/>
            <w:tcBorders>
              <w:top w:val="nil"/>
              <w:left w:val="nil"/>
              <w:bottom w:val="nil"/>
              <w:right w:val="nil"/>
            </w:tcBorders>
            <w:tcMar>
              <w:top w:w="0" w:type="dxa"/>
              <w:left w:w="0" w:type="dxa"/>
              <w:bottom w:w="0" w:type="dxa"/>
              <w:right w:w="15" w:type="dxa"/>
            </w:tcMar>
            <w:vAlign w:val="center"/>
          </w:tcPr>
          <w:p>
            <w:pPr>
              <w:keepNext/>
              <w:pageBreakBefore w:val="0"/>
              <w:tabs>
                <w:tab w:val="left" w:pos="549"/>
                <w:tab w:val="left" w:pos="787"/>
              </w:tabs>
              <w:spacing w:before="0" w:after="0" w:line="240" w:lineRule="auto"/>
              <w:jc w:val="right"/>
            </w:pPr>
            <w:r>
              <w:rPr>
                <w:rFonts w:ascii="Arial" w:eastAsia="Arial" w:hAnsi="Arial" w:cs="Arial"/>
                <w:b w:val="0"/>
                <w:i w:val="0"/>
                <w:color w:val="000000"/>
                <w:sz w:val="18"/>
                <w:u w:val="none"/>
              </w:rPr>
              <w:tab/>
              <w:t>—</w:t>
              <w:tab/>
            </w:r>
          </w:p>
        </w:tc>
        <w:tc>
          <w:tcPr>
            <w:tcW w:w="2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20" w:type="dxa"/>
            <w:tcBorders>
              <w:top w:val="nil"/>
              <w:left w:val="nil"/>
              <w:bottom w:val="nil"/>
              <w:right w:val="nil"/>
            </w:tcBorders>
            <w:tcMar>
              <w:top w:w="0" w:type="dxa"/>
              <w:left w:w="0" w:type="dxa"/>
              <w:bottom w:w="0" w:type="dxa"/>
              <w:right w:w="15" w:type="dxa"/>
            </w:tcMar>
            <w:vAlign w:val="center"/>
          </w:tcPr>
          <w:p>
            <w:pPr>
              <w:keepNext/>
              <w:pageBreakBefore w:val="0"/>
              <w:tabs>
                <w:tab w:val="left" w:pos="714"/>
                <w:tab w:val="left" w:pos="952"/>
              </w:tabs>
              <w:spacing w:before="0" w:after="0" w:line="240" w:lineRule="auto"/>
              <w:jc w:val="right"/>
            </w:pPr>
            <w:r>
              <w:rPr>
                <w:rFonts w:ascii="Arial" w:eastAsia="Arial" w:hAnsi="Arial" w:cs="Arial"/>
                <w:b w:val="0"/>
                <w:i w:val="0"/>
                <w:color w:val="000000"/>
                <w:sz w:val="18"/>
                <w:u w:val="none"/>
              </w:rPr>
              <w:t>$</w:t>
              <w:tab/>
              <w:t>—</w:t>
              <w:tab/>
            </w:r>
          </w:p>
        </w:tc>
        <w:tc>
          <w:tcPr>
            <w:tcW w:w="1095" w:type="dxa"/>
            <w:tcBorders>
              <w:top w:val="nil"/>
              <w:left w:val="nil"/>
              <w:bottom w:val="nil"/>
              <w:right w:val="nil"/>
            </w:tcBorders>
            <w:tcMar>
              <w:top w:w="0" w:type="dxa"/>
              <w:left w:w="0" w:type="dxa"/>
              <w:bottom w:w="0" w:type="dxa"/>
              <w:right w:w="15" w:type="dxa"/>
            </w:tcMar>
            <w:vAlign w:val="center"/>
          </w:tcPr>
          <w:p>
            <w:pPr>
              <w:keepNext/>
              <w:pageBreakBefore w:val="0"/>
              <w:tabs>
                <w:tab w:val="left" w:pos="789"/>
                <w:tab w:val="left" w:pos="1027"/>
              </w:tabs>
              <w:spacing w:before="0" w:after="0" w:line="240" w:lineRule="auto"/>
              <w:jc w:val="right"/>
            </w:pPr>
            <w:r>
              <w:rPr>
                <w:rFonts w:ascii="Arial" w:eastAsia="Arial" w:hAnsi="Arial" w:cs="Arial"/>
                <w:b w:val="0"/>
                <w:i w:val="0"/>
                <w:color w:val="000000"/>
                <w:sz w:val="18"/>
                <w:u w:val="none"/>
              </w:rPr>
              <w:tab/>
              <w:t>—</w:t>
              <w:tab/>
            </w:r>
          </w:p>
        </w:tc>
        <w:tc>
          <w:tcPr>
            <w:tcW w:w="2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40" w:type="dxa"/>
            <w:tcBorders>
              <w:top w:val="nil"/>
              <w:left w:val="nil"/>
              <w:bottom w:val="nil"/>
              <w:right w:val="nil"/>
            </w:tcBorders>
            <w:tcMar>
              <w:top w:w="0" w:type="dxa"/>
              <w:left w:w="0" w:type="dxa"/>
              <w:bottom w:w="0" w:type="dxa"/>
              <w:right w:w="15" w:type="dxa"/>
            </w:tcMar>
            <w:vAlign w:val="center"/>
          </w:tcPr>
          <w:p>
            <w:pPr>
              <w:keepNext/>
              <w:pageBreakBefore w:val="0"/>
              <w:tabs>
                <w:tab w:val="left" w:pos="164"/>
                <w:tab w:val="left" w:pos="772"/>
              </w:tabs>
              <w:spacing w:before="0" w:after="0" w:line="240" w:lineRule="auto"/>
              <w:jc w:val="right"/>
            </w:pPr>
            <w:r>
              <w:rPr>
                <w:rFonts w:ascii="Arial" w:eastAsia="Arial" w:hAnsi="Arial" w:cs="Arial"/>
                <w:b w:val="0"/>
                <w:i w:val="0"/>
                <w:color w:val="000000"/>
                <w:sz w:val="18"/>
                <w:u w:val="none"/>
              </w:rPr>
              <w:tab/>
              <w:t>17,760</w:t>
              <w:tab/>
            </w:r>
          </w:p>
        </w:tc>
        <w:tc>
          <w:tcPr>
            <w:tcW w:w="34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vertAlign w:val="superscript"/>
              </w:rPr>
            </w:pPr>
            <w:r>
              <w:rPr>
                <w:rFonts w:ascii="Arial" w:eastAsia="Arial" w:hAnsi="Arial" w:cs="Arial"/>
                <w:b w:val="0"/>
                <w:i w:val="0"/>
                <w:sz w:val="18"/>
                <w:vertAlign w:val="superscript"/>
              </w:rPr>
              <w:t>(</w:t>
            </w:r>
            <w:r>
              <w:rPr>
                <w:rFonts w:ascii="Arial" w:eastAsia="Arial" w:hAnsi="Arial" w:cs="Arial"/>
                <w:b w:val="0"/>
                <w:i w:val="0"/>
                <w:sz w:val="18"/>
                <w:vertAlign w:val="superscript"/>
              </w:rPr>
              <w:t>7</w:t>
            </w:r>
            <w:r>
              <w:rPr>
                <w:rFonts w:ascii="Arial" w:eastAsia="Arial" w:hAnsi="Arial" w:cs="Arial"/>
                <w:b w:val="0"/>
                <w:i w:val="0"/>
                <w:sz w:val="18"/>
                <w:vertAlign w:val="superscript"/>
              </w:rPr>
              <w:t>)</w:t>
            </w:r>
          </w:p>
        </w:tc>
        <w:tc>
          <w:tcPr>
            <w:tcW w:w="1155" w:type="dxa"/>
            <w:tcBorders>
              <w:top w:val="nil"/>
              <w:left w:val="nil"/>
              <w:bottom w:val="nil"/>
              <w:right w:val="nil"/>
            </w:tcBorders>
            <w:tcMar>
              <w:top w:w="0" w:type="dxa"/>
              <w:left w:w="0" w:type="dxa"/>
              <w:bottom w:w="0" w:type="dxa"/>
              <w:right w:w="15" w:type="dxa"/>
            </w:tcMar>
            <w:vAlign w:val="center"/>
          </w:tcPr>
          <w:p>
            <w:pPr>
              <w:keepNext/>
              <w:pageBreakBefore w:val="0"/>
              <w:tabs>
                <w:tab w:val="left" w:pos="229"/>
                <w:tab w:val="left" w:pos="1087"/>
              </w:tabs>
              <w:spacing w:before="0" w:after="0" w:line="240" w:lineRule="auto"/>
              <w:jc w:val="right"/>
            </w:pPr>
            <w:r>
              <w:rPr>
                <w:rFonts w:ascii="Arial" w:eastAsia="Arial" w:hAnsi="Arial" w:cs="Arial"/>
                <w:b w:val="0"/>
                <w:i w:val="0"/>
                <w:color w:val="000000"/>
                <w:sz w:val="18"/>
                <w:u w:val="none"/>
              </w:rPr>
              <w:t>$</w:t>
              <w:tab/>
              <w:t>5,227,656</w:t>
              <w:tab/>
            </w:r>
          </w:p>
        </w:tc>
        <w:tc>
          <w:tcPr>
            <w:tcW w:w="840" w:type="dxa"/>
            <w:tcBorders>
              <w:top w:val="nil"/>
              <w:left w:val="nil"/>
              <w:bottom w:val="nil"/>
              <w:right w:val="nil"/>
            </w:tcBorders>
            <w:tcMar>
              <w:top w:w="0" w:type="dxa"/>
              <w:left w:w="0" w:type="dxa"/>
              <w:bottom w:w="0" w:type="dxa"/>
              <w:right w:w="15" w:type="dxa"/>
            </w:tcMar>
            <w:vAlign w:val="center"/>
          </w:tcPr>
          <w:p>
            <w:pPr>
              <w:keepNext/>
              <w:pageBreakBefore w:val="0"/>
              <w:tabs>
                <w:tab w:val="left" w:pos="264"/>
                <w:tab w:val="left" w:pos="772"/>
              </w:tabs>
              <w:spacing w:before="0" w:after="0" w:line="240" w:lineRule="auto"/>
              <w:jc w:val="right"/>
            </w:pPr>
            <w:r>
              <w:rPr>
                <w:rFonts w:ascii="Arial" w:eastAsia="Arial" w:hAnsi="Arial" w:cs="Arial"/>
                <w:b w:val="0"/>
                <w:i w:val="0"/>
                <w:color w:val="000000"/>
                <w:sz w:val="18"/>
                <w:u w:val="none"/>
              </w:rPr>
              <w:tab/>
              <w:t>5,568</w:t>
              <w:tab/>
            </w:r>
          </w:p>
        </w:tc>
        <w:tc>
          <w:tcPr>
            <w:tcW w:w="37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vertAlign w:val="superscript"/>
              </w:rPr>
            </w:pPr>
            <w:r>
              <w:rPr>
                <w:rFonts w:ascii="Arial" w:eastAsia="Arial" w:hAnsi="Arial" w:cs="Arial"/>
                <w:b w:val="0"/>
                <w:i w:val="0"/>
                <w:sz w:val="18"/>
                <w:vertAlign w:val="superscript"/>
              </w:rPr>
              <w:t>(</w:t>
            </w:r>
            <w:r>
              <w:rPr>
                <w:rFonts w:ascii="Arial" w:eastAsia="Arial" w:hAnsi="Arial" w:cs="Arial"/>
                <w:b w:val="0"/>
                <w:i w:val="0"/>
                <w:sz w:val="18"/>
                <w:vertAlign w:val="superscript"/>
              </w:rPr>
              <w:t>8</w:t>
            </w:r>
            <w:r>
              <w:rPr>
                <w:rFonts w:ascii="Arial" w:eastAsia="Arial" w:hAnsi="Arial" w:cs="Arial"/>
                <w:b w:val="0"/>
                <w:i w:val="0"/>
                <w:sz w:val="18"/>
                <w:vertAlign w:val="superscript"/>
              </w:rPr>
              <w:t>)</w:t>
            </w:r>
          </w:p>
        </w:tc>
        <w:tc>
          <w:tcPr>
            <w:tcW w:w="1350" w:type="dxa"/>
            <w:tcBorders>
              <w:top w:val="nil"/>
              <w:left w:val="nil"/>
              <w:bottom w:val="nil"/>
              <w:right w:val="nil"/>
            </w:tcBorders>
            <w:tcMar>
              <w:top w:w="0" w:type="dxa"/>
              <w:left w:w="0" w:type="dxa"/>
              <w:bottom w:w="0" w:type="dxa"/>
              <w:right w:w="15" w:type="dxa"/>
            </w:tcMar>
            <w:vAlign w:val="center"/>
          </w:tcPr>
          <w:p>
            <w:pPr>
              <w:keepNext/>
              <w:pageBreakBefore w:val="0"/>
              <w:tabs>
                <w:tab w:val="left" w:pos="424"/>
                <w:tab w:val="left" w:pos="1282"/>
              </w:tabs>
              <w:spacing w:before="0" w:after="0" w:line="240" w:lineRule="auto"/>
              <w:jc w:val="right"/>
            </w:pPr>
            <w:r>
              <w:rPr>
                <w:rFonts w:ascii="Arial" w:eastAsia="Arial" w:hAnsi="Arial" w:cs="Arial"/>
                <w:b w:val="0"/>
                <w:i w:val="0"/>
                <w:color w:val="000000"/>
                <w:sz w:val="18"/>
                <w:u w:val="none"/>
              </w:rPr>
              <w:t>$</w:t>
              <w:tab/>
              <w:t>1,638,941</w:t>
              <w:tab/>
            </w:r>
          </w:p>
        </w:tc>
      </w:tr>
      <w:tr>
        <w:tblPrEx>
          <w:tblW w:w="10170" w:type="dxa"/>
          <w:jc w:val="center"/>
          <w:tblLayout w:type="fixed"/>
          <w:tblCellMar>
            <w:left w:w="108" w:type="dxa"/>
            <w:right w:w="108" w:type="dxa"/>
          </w:tblCellMar>
        </w:tblPrEx>
        <w:trPr>
          <w:cantSplit/>
          <w:trHeight w:hRule="exact" w:val="345"/>
          <w:jc w:val="center"/>
        </w:trPr>
        <w:tc>
          <w:tcPr>
            <w:tcW w:w="178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i w:val="0"/>
                <w:color w:val="000000"/>
                <w:sz w:val="18"/>
                <w:u w:val="none"/>
              </w:rPr>
              <w:t>Paul Brockman</w:t>
            </w:r>
          </w:p>
        </w:tc>
        <w:tc>
          <w:tcPr>
            <w:tcW w:w="8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549"/>
                <w:tab w:val="left" w:pos="787"/>
              </w:tabs>
              <w:spacing w:before="0" w:after="0" w:line="240" w:lineRule="auto"/>
              <w:jc w:val="right"/>
            </w:pPr>
            <w:r>
              <w:rPr>
                <w:rFonts w:ascii="Arial" w:eastAsia="Arial" w:hAnsi="Arial" w:cs="Arial"/>
                <w:b w:val="0"/>
                <w:i w:val="0"/>
                <w:color w:val="000000"/>
                <w:sz w:val="18"/>
                <w:u w:val="none"/>
              </w:rPr>
              <w:tab/>
              <w:t>—</w:t>
              <w:tab/>
            </w:r>
          </w:p>
        </w:tc>
        <w:tc>
          <w:tcPr>
            <w:tcW w:w="25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020"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714"/>
                <w:tab w:val="left" w:pos="952"/>
              </w:tabs>
              <w:spacing w:before="0" w:after="0" w:line="240" w:lineRule="auto"/>
              <w:jc w:val="right"/>
            </w:pPr>
            <w:r>
              <w:rPr>
                <w:rFonts w:ascii="Arial" w:eastAsia="Arial" w:hAnsi="Arial" w:cs="Arial"/>
                <w:b w:val="0"/>
                <w:i w:val="0"/>
                <w:color w:val="000000"/>
                <w:sz w:val="18"/>
                <w:u w:val="none"/>
              </w:rPr>
              <w:t>$</w:t>
              <w:tab/>
              <w:t>—</w:t>
              <w:tab/>
            </w:r>
          </w:p>
        </w:tc>
        <w:tc>
          <w:tcPr>
            <w:tcW w:w="10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789"/>
                <w:tab w:val="left" w:pos="1027"/>
              </w:tabs>
              <w:spacing w:before="0" w:after="0" w:line="240" w:lineRule="auto"/>
              <w:jc w:val="right"/>
            </w:pPr>
            <w:r>
              <w:rPr>
                <w:rFonts w:ascii="Arial" w:eastAsia="Arial" w:hAnsi="Arial" w:cs="Arial"/>
                <w:b w:val="0"/>
                <w:i w:val="0"/>
                <w:color w:val="000000"/>
                <w:sz w:val="18"/>
                <w:u w:val="none"/>
              </w:rPr>
              <w:tab/>
              <w:t>—</w:t>
              <w:tab/>
            </w:r>
          </w:p>
        </w:tc>
        <w:tc>
          <w:tcPr>
            <w:tcW w:w="25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840"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64"/>
                <w:tab w:val="left" w:pos="772"/>
              </w:tabs>
              <w:spacing w:before="0" w:after="0" w:line="240" w:lineRule="auto"/>
              <w:jc w:val="right"/>
            </w:pPr>
            <w:r>
              <w:rPr>
                <w:rFonts w:ascii="Arial" w:eastAsia="Arial" w:hAnsi="Arial" w:cs="Arial"/>
                <w:b w:val="0"/>
                <w:i w:val="0"/>
                <w:color w:val="000000"/>
                <w:sz w:val="18"/>
                <w:u w:val="none"/>
              </w:rPr>
              <w:tab/>
              <w:t>15,022</w:t>
              <w:tab/>
            </w:r>
          </w:p>
        </w:tc>
        <w:tc>
          <w:tcPr>
            <w:tcW w:w="34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vertAlign w:val="superscript"/>
              </w:rPr>
            </w:pPr>
            <w:r>
              <w:rPr>
                <w:rFonts w:ascii="Arial" w:eastAsia="Arial" w:hAnsi="Arial" w:cs="Arial"/>
                <w:b w:val="0"/>
                <w:i w:val="0"/>
                <w:sz w:val="18"/>
                <w:vertAlign w:val="superscript"/>
              </w:rPr>
              <w:t>(</w:t>
            </w:r>
            <w:r>
              <w:rPr>
                <w:rFonts w:ascii="Arial" w:eastAsia="Arial" w:hAnsi="Arial" w:cs="Arial"/>
                <w:b w:val="0"/>
                <w:i w:val="0"/>
                <w:sz w:val="18"/>
                <w:vertAlign w:val="superscript"/>
              </w:rPr>
              <w:t>9</w:t>
            </w:r>
            <w:r>
              <w:rPr>
                <w:rFonts w:ascii="Arial" w:eastAsia="Arial" w:hAnsi="Arial" w:cs="Arial"/>
                <w:b w:val="0"/>
                <w:i w:val="0"/>
                <w:sz w:val="18"/>
                <w:vertAlign w:val="superscript"/>
              </w:rPr>
              <w:t>)</w:t>
            </w:r>
          </w:p>
        </w:tc>
        <w:tc>
          <w:tcPr>
            <w:tcW w:w="11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229"/>
                <w:tab w:val="left" w:pos="1087"/>
              </w:tabs>
              <w:spacing w:before="0" w:after="0" w:line="240" w:lineRule="auto"/>
              <w:jc w:val="right"/>
            </w:pPr>
            <w:r>
              <w:rPr>
                <w:rFonts w:ascii="Arial" w:eastAsia="Arial" w:hAnsi="Arial" w:cs="Arial"/>
                <w:b w:val="0"/>
                <w:i w:val="0"/>
                <w:color w:val="000000"/>
                <w:sz w:val="18"/>
                <w:u w:val="none"/>
              </w:rPr>
              <w:t>$</w:t>
              <w:tab/>
              <w:t>4,421,726</w:t>
              <w:tab/>
            </w:r>
          </w:p>
        </w:tc>
        <w:tc>
          <w:tcPr>
            <w:tcW w:w="840"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264"/>
                <w:tab w:val="left" w:pos="772"/>
              </w:tabs>
              <w:spacing w:before="0" w:after="0" w:line="240" w:lineRule="auto"/>
              <w:jc w:val="right"/>
            </w:pPr>
            <w:r>
              <w:rPr>
                <w:rFonts w:ascii="Arial" w:eastAsia="Arial" w:hAnsi="Arial" w:cs="Arial"/>
                <w:b w:val="0"/>
                <w:i w:val="0"/>
                <w:color w:val="000000"/>
                <w:sz w:val="18"/>
                <w:u w:val="none"/>
              </w:rPr>
              <w:tab/>
              <w:t>6,026</w:t>
              <w:tab/>
            </w:r>
          </w:p>
        </w:tc>
        <w:tc>
          <w:tcPr>
            <w:tcW w:w="37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vertAlign w:val="superscript"/>
              </w:rPr>
            </w:pPr>
            <w:r>
              <w:rPr>
                <w:rFonts w:ascii="Arial" w:eastAsia="Arial" w:hAnsi="Arial" w:cs="Arial"/>
                <w:b w:val="0"/>
                <w:i w:val="0"/>
                <w:sz w:val="18"/>
                <w:vertAlign w:val="superscript"/>
              </w:rPr>
              <w:t>(</w:t>
            </w:r>
            <w:r>
              <w:rPr>
                <w:rFonts w:ascii="Arial" w:eastAsia="Arial" w:hAnsi="Arial" w:cs="Arial"/>
                <w:b w:val="0"/>
                <w:i w:val="0"/>
                <w:sz w:val="18"/>
                <w:vertAlign w:val="superscript"/>
              </w:rPr>
              <w:t>10</w:t>
            </w:r>
            <w:r>
              <w:rPr>
                <w:rFonts w:ascii="Arial" w:eastAsia="Arial" w:hAnsi="Arial" w:cs="Arial"/>
                <w:b w:val="0"/>
                <w:i w:val="0"/>
                <w:sz w:val="18"/>
                <w:vertAlign w:val="superscript"/>
              </w:rPr>
              <w:t>)</w:t>
            </w:r>
          </w:p>
        </w:tc>
        <w:tc>
          <w:tcPr>
            <w:tcW w:w="1350"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424"/>
                <w:tab w:val="left" w:pos="1282"/>
              </w:tabs>
              <w:spacing w:before="0" w:after="0" w:line="240" w:lineRule="auto"/>
              <w:jc w:val="right"/>
            </w:pPr>
            <w:r>
              <w:rPr>
                <w:rFonts w:ascii="Arial" w:eastAsia="Arial" w:hAnsi="Arial" w:cs="Arial"/>
                <w:b w:val="0"/>
                <w:i w:val="0"/>
                <w:color w:val="000000"/>
                <w:sz w:val="18"/>
                <w:u w:val="none"/>
              </w:rPr>
              <w:t>$</w:t>
              <w:tab/>
              <w:t>1,773,753</w:t>
              <w:tab/>
            </w:r>
          </w:p>
        </w:tc>
      </w:tr>
      <w:tr>
        <w:tblPrEx>
          <w:tblW w:w="10170" w:type="dxa"/>
          <w:jc w:val="center"/>
          <w:tblLayout w:type="fixed"/>
          <w:tblCellMar>
            <w:left w:w="108" w:type="dxa"/>
            <w:right w:w="108" w:type="dxa"/>
          </w:tblCellMar>
        </w:tblPrEx>
        <w:trPr>
          <w:cantSplit/>
          <w:trHeight w:hRule="exact" w:val="345"/>
          <w:jc w:val="center"/>
        </w:trPr>
        <w:tc>
          <w:tcPr>
            <w:tcW w:w="1785" w:type="dxa"/>
            <w:tcBorders>
              <w:top w:val="nil"/>
              <w:left w:val="nil"/>
              <w:bottom w:val="nil"/>
              <w:right w:val="nil"/>
            </w:tcBorders>
            <w:tcMar>
              <w:top w:w="0" w:type="dxa"/>
              <w:left w:w="53" w:type="dxa"/>
              <w:bottom w:w="0" w:type="dxa"/>
              <w:right w:w="53" w:type="dxa"/>
            </w:tcMar>
            <w:vAlign w:val="center"/>
          </w:tcPr>
          <w:p>
            <w:pPr>
              <w:pageBreakBefore w:val="0"/>
              <w:spacing w:before="0" w:after="0" w:line="240" w:lineRule="auto"/>
              <w:jc w:val="left"/>
            </w:pPr>
            <w:r>
              <w:rPr>
                <w:rFonts w:ascii="Arial" w:eastAsia="Arial" w:hAnsi="Arial" w:cs="Arial"/>
                <w:b/>
                <w:i w:val="0"/>
                <w:color w:val="000000"/>
                <w:sz w:val="18"/>
                <w:u w:val="none"/>
              </w:rPr>
              <w:t>Nazar Alobaidat</w:t>
            </w:r>
          </w:p>
        </w:tc>
        <w:tc>
          <w:tcPr>
            <w:tcW w:w="855" w:type="dxa"/>
            <w:tcBorders>
              <w:top w:val="nil"/>
              <w:left w:val="nil"/>
              <w:bottom w:val="nil"/>
              <w:right w:val="nil"/>
            </w:tcBorders>
            <w:tcMar>
              <w:top w:w="0" w:type="dxa"/>
              <w:left w:w="0" w:type="dxa"/>
              <w:bottom w:w="0" w:type="dxa"/>
              <w:right w:w="15" w:type="dxa"/>
            </w:tcMar>
            <w:vAlign w:val="center"/>
          </w:tcPr>
          <w:p>
            <w:pPr>
              <w:pageBreakBefore w:val="0"/>
              <w:tabs>
                <w:tab w:val="left" w:pos="549"/>
                <w:tab w:val="left" w:pos="787"/>
              </w:tabs>
              <w:spacing w:before="0" w:after="0" w:line="240" w:lineRule="auto"/>
              <w:jc w:val="right"/>
            </w:pPr>
            <w:r>
              <w:rPr>
                <w:rFonts w:ascii="Arial" w:eastAsia="Arial" w:hAnsi="Arial" w:cs="Arial"/>
                <w:b w:val="0"/>
                <w:i w:val="0"/>
                <w:color w:val="000000"/>
                <w:sz w:val="18"/>
                <w:u w:val="none"/>
              </w:rPr>
              <w:tab/>
              <w:t>—</w:t>
              <w:tab/>
            </w:r>
          </w:p>
        </w:tc>
        <w:tc>
          <w:tcPr>
            <w:tcW w:w="25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020" w:type="dxa"/>
            <w:tcBorders>
              <w:top w:val="nil"/>
              <w:left w:val="nil"/>
              <w:bottom w:val="nil"/>
              <w:right w:val="nil"/>
            </w:tcBorders>
            <w:tcMar>
              <w:top w:w="0" w:type="dxa"/>
              <w:left w:w="0" w:type="dxa"/>
              <w:bottom w:w="0" w:type="dxa"/>
              <w:right w:w="15" w:type="dxa"/>
            </w:tcMar>
            <w:vAlign w:val="center"/>
          </w:tcPr>
          <w:p>
            <w:pPr>
              <w:pageBreakBefore w:val="0"/>
              <w:tabs>
                <w:tab w:val="left" w:pos="714"/>
                <w:tab w:val="left" w:pos="952"/>
              </w:tabs>
              <w:spacing w:before="0" w:after="0" w:line="240" w:lineRule="auto"/>
              <w:jc w:val="right"/>
            </w:pPr>
            <w:r>
              <w:rPr>
                <w:rFonts w:ascii="Arial" w:eastAsia="Arial" w:hAnsi="Arial" w:cs="Arial"/>
                <w:b w:val="0"/>
                <w:i w:val="0"/>
                <w:color w:val="000000"/>
                <w:sz w:val="18"/>
                <w:u w:val="none"/>
              </w:rPr>
              <w:t>$</w:t>
              <w:tab/>
              <w:t>—</w:t>
              <w:tab/>
            </w:r>
          </w:p>
        </w:tc>
        <w:tc>
          <w:tcPr>
            <w:tcW w:w="1095" w:type="dxa"/>
            <w:tcBorders>
              <w:top w:val="nil"/>
              <w:left w:val="nil"/>
              <w:bottom w:val="nil"/>
              <w:right w:val="nil"/>
            </w:tcBorders>
            <w:tcMar>
              <w:top w:w="0" w:type="dxa"/>
              <w:left w:w="0" w:type="dxa"/>
              <w:bottom w:w="0" w:type="dxa"/>
              <w:right w:w="15" w:type="dxa"/>
            </w:tcMar>
            <w:vAlign w:val="center"/>
          </w:tcPr>
          <w:p>
            <w:pPr>
              <w:pageBreakBefore w:val="0"/>
              <w:tabs>
                <w:tab w:val="left" w:pos="789"/>
                <w:tab w:val="left" w:pos="1027"/>
              </w:tabs>
              <w:spacing w:before="0" w:after="0" w:line="240" w:lineRule="auto"/>
              <w:jc w:val="right"/>
            </w:pPr>
            <w:r>
              <w:rPr>
                <w:rFonts w:ascii="Arial" w:eastAsia="Arial" w:hAnsi="Arial" w:cs="Arial"/>
                <w:b w:val="0"/>
                <w:i w:val="0"/>
                <w:color w:val="000000"/>
                <w:sz w:val="18"/>
                <w:u w:val="none"/>
              </w:rPr>
              <w:tab/>
              <w:t>—</w:t>
              <w:tab/>
            </w:r>
          </w:p>
        </w:tc>
        <w:tc>
          <w:tcPr>
            <w:tcW w:w="25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840" w:type="dxa"/>
            <w:tcBorders>
              <w:top w:val="nil"/>
              <w:left w:val="nil"/>
              <w:bottom w:val="nil"/>
              <w:right w:val="nil"/>
            </w:tcBorders>
            <w:tcMar>
              <w:top w:w="0" w:type="dxa"/>
              <w:left w:w="0" w:type="dxa"/>
              <w:bottom w:w="0" w:type="dxa"/>
              <w:right w:w="15" w:type="dxa"/>
            </w:tcMar>
            <w:vAlign w:val="center"/>
          </w:tcPr>
          <w:p>
            <w:pPr>
              <w:pageBreakBefore w:val="0"/>
              <w:tabs>
                <w:tab w:val="left" w:pos="164"/>
                <w:tab w:val="left" w:pos="772"/>
              </w:tabs>
              <w:spacing w:before="0" w:after="0" w:line="240" w:lineRule="auto"/>
              <w:jc w:val="right"/>
            </w:pPr>
            <w:r>
              <w:rPr>
                <w:rFonts w:ascii="Arial" w:eastAsia="Arial" w:hAnsi="Arial" w:cs="Arial"/>
                <w:b w:val="0"/>
                <w:i w:val="0"/>
                <w:color w:val="000000"/>
                <w:sz w:val="18"/>
                <w:u w:val="none"/>
              </w:rPr>
              <w:tab/>
              <w:t>10,471</w:t>
              <w:tab/>
            </w:r>
          </w:p>
        </w:tc>
        <w:tc>
          <w:tcPr>
            <w:tcW w:w="345" w:type="dxa"/>
            <w:tcBorders>
              <w:top w:val="nil"/>
              <w:left w:val="nil"/>
              <w:bottom w:val="nil"/>
              <w:right w:val="nil"/>
            </w:tcBorders>
            <w:shd w:val="clear" w:color="auto" w:fill="FFFFFF"/>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Arial" w:eastAsia="Arial" w:hAnsi="Arial" w:cs="Arial"/>
                <w:b w:val="0"/>
                <w:i w:val="0"/>
                <w:sz w:val="18"/>
                <w:vertAlign w:val="superscript"/>
              </w:rPr>
            </w:pPr>
            <w:r>
              <w:rPr>
                <w:rFonts w:ascii="Arial" w:eastAsia="Arial" w:hAnsi="Arial" w:cs="Arial"/>
                <w:b w:val="0"/>
                <w:i w:val="0"/>
                <w:sz w:val="18"/>
                <w:vertAlign w:val="superscript"/>
              </w:rPr>
              <w:t>(</w:t>
            </w:r>
            <w:r>
              <w:rPr>
                <w:rFonts w:ascii="Arial" w:eastAsia="Arial" w:hAnsi="Arial" w:cs="Arial"/>
                <w:b w:val="0"/>
                <w:i w:val="0"/>
                <w:sz w:val="18"/>
                <w:vertAlign w:val="superscript"/>
              </w:rPr>
              <w:t>1</w:t>
            </w:r>
            <w:r>
              <w:rPr>
                <w:rFonts w:ascii="Arial" w:eastAsia="Arial" w:hAnsi="Arial" w:cs="Arial"/>
                <w:b w:val="0"/>
                <w:i w:val="0"/>
                <w:sz w:val="18"/>
                <w:vertAlign w:val="superscript"/>
              </w:rPr>
              <w:t>1</w:t>
            </w:r>
            <w:r>
              <w:rPr>
                <w:rFonts w:ascii="Arial" w:eastAsia="Arial" w:hAnsi="Arial" w:cs="Arial"/>
                <w:b w:val="0"/>
                <w:i w:val="0"/>
                <w:sz w:val="18"/>
                <w:vertAlign w:val="superscript"/>
              </w:rPr>
              <w:t>)</w:t>
            </w:r>
          </w:p>
        </w:tc>
        <w:tc>
          <w:tcPr>
            <w:tcW w:w="1155" w:type="dxa"/>
            <w:tcBorders>
              <w:top w:val="nil"/>
              <w:left w:val="nil"/>
              <w:bottom w:val="nil"/>
              <w:right w:val="nil"/>
            </w:tcBorders>
            <w:tcMar>
              <w:top w:w="0" w:type="dxa"/>
              <w:left w:w="0" w:type="dxa"/>
              <w:bottom w:w="0" w:type="dxa"/>
              <w:right w:w="15" w:type="dxa"/>
            </w:tcMar>
            <w:vAlign w:val="center"/>
          </w:tcPr>
          <w:p>
            <w:pPr>
              <w:pageBreakBefore w:val="0"/>
              <w:tabs>
                <w:tab w:val="left" w:pos="229"/>
                <w:tab w:val="left" w:pos="1087"/>
              </w:tabs>
              <w:spacing w:before="0" w:after="0" w:line="240" w:lineRule="auto"/>
              <w:jc w:val="right"/>
            </w:pPr>
            <w:r>
              <w:rPr>
                <w:rFonts w:ascii="Arial" w:eastAsia="Arial" w:hAnsi="Arial" w:cs="Arial"/>
                <w:b w:val="0"/>
                <w:i w:val="0"/>
                <w:color w:val="000000"/>
                <w:sz w:val="18"/>
                <w:u w:val="none"/>
              </w:rPr>
              <w:t>$</w:t>
              <w:tab/>
              <w:t>3,082,139</w:t>
              <w:tab/>
            </w:r>
          </w:p>
        </w:tc>
        <w:tc>
          <w:tcPr>
            <w:tcW w:w="840" w:type="dxa"/>
            <w:tcBorders>
              <w:top w:val="nil"/>
              <w:left w:val="nil"/>
              <w:bottom w:val="nil"/>
              <w:right w:val="nil"/>
            </w:tcBorders>
            <w:tcMar>
              <w:top w:w="0" w:type="dxa"/>
              <w:left w:w="0" w:type="dxa"/>
              <w:bottom w:w="0" w:type="dxa"/>
              <w:right w:w="15" w:type="dxa"/>
            </w:tcMar>
            <w:vAlign w:val="center"/>
          </w:tcPr>
          <w:p>
            <w:pPr>
              <w:pageBreakBefore w:val="0"/>
              <w:tabs>
                <w:tab w:val="left" w:pos="264"/>
                <w:tab w:val="left" w:pos="772"/>
              </w:tabs>
              <w:spacing w:before="0" w:after="0" w:line="240" w:lineRule="auto"/>
              <w:jc w:val="right"/>
            </w:pPr>
            <w:r>
              <w:rPr>
                <w:rFonts w:ascii="Arial" w:eastAsia="Arial" w:hAnsi="Arial" w:cs="Arial"/>
                <w:b w:val="0"/>
                <w:i w:val="0"/>
                <w:color w:val="000000"/>
                <w:sz w:val="18"/>
                <w:u w:val="none"/>
              </w:rPr>
              <w:tab/>
              <w:t>5,016</w:t>
              <w:tab/>
            </w:r>
          </w:p>
        </w:tc>
        <w:tc>
          <w:tcPr>
            <w:tcW w:w="375" w:type="dxa"/>
            <w:tcBorders>
              <w:top w:val="nil"/>
              <w:left w:val="nil"/>
              <w:bottom w:val="nil"/>
              <w:right w:val="nil"/>
            </w:tcBorders>
            <w:shd w:val="clear" w:color="auto" w:fill="FFFFFF"/>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Arial" w:eastAsia="Arial" w:hAnsi="Arial" w:cs="Arial"/>
                <w:b w:val="0"/>
                <w:i w:val="0"/>
                <w:sz w:val="18"/>
                <w:vertAlign w:val="superscript"/>
              </w:rPr>
            </w:pPr>
            <w:r>
              <w:rPr>
                <w:rFonts w:ascii="Arial" w:eastAsia="Arial" w:hAnsi="Arial" w:cs="Arial"/>
                <w:b w:val="0"/>
                <w:i w:val="0"/>
                <w:sz w:val="18"/>
                <w:vertAlign w:val="superscript"/>
              </w:rPr>
              <w:t>(</w:t>
            </w:r>
            <w:r>
              <w:rPr>
                <w:rFonts w:ascii="Arial" w:eastAsia="Arial" w:hAnsi="Arial" w:cs="Arial"/>
                <w:b w:val="0"/>
                <w:i w:val="0"/>
                <w:sz w:val="18"/>
                <w:vertAlign w:val="superscript"/>
              </w:rPr>
              <w:t>1</w:t>
            </w:r>
            <w:r>
              <w:rPr>
                <w:rFonts w:ascii="Arial" w:eastAsia="Arial" w:hAnsi="Arial" w:cs="Arial"/>
                <w:b w:val="0"/>
                <w:i w:val="0"/>
                <w:sz w:val="18"/>
                <w:vertAlign w:val="superscript"/>
              </w:rPr>
              <w:t>2</w:t>
            </w:r>
            <w:r>
              <w:rPr>
                <w:rFonts w:ascii="Arial" w:eastAsia="Arial" w:hAnsi="Arial" w:cs="Arial"/>
                <w:b w:val="0"/>
                <w:i w:val="0"/>
                <w:sz w:val="18"/>
                <w:vertAlign w:val="superscript"/>
              </w:rPr>
              <w:t>)</w:t>
            </w:r>
          </w:p>
        </w:tc>
        <w:tc>
          <w:tcPr>
            <w:tcW w:w="1350" w:type="dxa"/>
            <w:tcBorders>
              <w:top w:val="nil"/>
              <w:left w:val="nil"/>
              <w:bottom w:val="nil"/>
              <w:right w:val="nil"/>
            </w:tcBorders>
            <w:tcMar>
              <w:top w:w="0" w:type="dxa"/>
              <w:left w:w="0" w:type="dxa"/>
              <w:bottom w:w="0" w:type="dxa"/>
              <w:right w:w="15" w:type="dxa"/>
            </w:tcMar>
            <w:vAlign w:val="center"/>
          </w:tcPr>
          <w:p>
            <w:pPr>
              <w:pageBreakBefore w:val="0"/>
              <w:tabs>
                <w:tab w:val="left" w:pos="424"/>
                <w:tab w:val="left" w:pos="1282"/>
              </w:tabs>
              <w:spacing w:before="0" w:after="0" w:line="240" w:lineRule="auto"/>
              <w:jc w:val="right"/>
            </w:pPr>
            <w:r>
              <w:rPr>
                <w:rFonts w:ascii="Arial" w:eastAsia="Arial" w:hAnsi="Arial" w:cs="Arial"/>
                <w:b w:val="0"/>
                <w:i w:val="0"/>
                <w:color w:val="000000"/>
                <w:sz w:val="18"/>
                <w:u w:val="none"/>
              </w:rPr>
              <w:t>$</w:t>
              <w:tab/>
              <w:t>1,476,460</w:t>
              <w:tab/>
            </w:r>
          </w:p>
        </w:tc>
      </w:tr>
    </w:tbl>
    <w:p>
      <w:pPr>
        <w:keepNext w:val="0"/>
        <w:keepLines w:val="0"/>
        <w:pageBreakBefore w:val="0"/>
        <w:widowControl/>
        <w:numPr>
          <w:ilvl w:val="0"/>
          <w:numId w:val="315"/>
        </w:numPr>
        <w:spacing w:before="120" w:after="60" w:line="288" w:lineRule="auto"/>
        <w:ind w:left="360" w:right="0" w:hanging="360"/>
        <w:jc w:val="both"/>
        <w:outlineLvl w:val="9"/>
        <w:rPr>
          <w:rFonts w:ascii="Arial" w:eastAsia="Arial" w:hAnsi="Arial" w:cs="Arial"/>
          <w:b w:val="0"/>
          <w:i w:val="0"/>
          <w:color w:val="929292"/>
          <w:sz w:val="16"/>
          <w:u w:val="none"/>
        </w:rPr>
      </w:pPr>
      <w:r>
        <w:rPr>
          <w:rFonts w:ascii="Arial" w:eastAsia="Arial" w:hAnsi="Arial" w:cs="Arial"/>
          <w:b w:val="0"/>
          <w:i w:val="0"/>
          <w:color w:val="929292"/>
          <w:sz w:val="16"/>
          <w:u w:val="none"/>
        </w:rPr>
        <w:t xml:space="preserve">Market value of stock awards based on </w:t>
      </w:r>
      <w:r>
        <w:rPr>
          <w:rFonts w:ascii="Arial" w:eastAsia="Arial" w:hAnsi="Arial" w:cs="Arial"/>
          <w:b w:val="0"/>
          <w:i w:val="0"/>
          <w:color w:val="929292"/>
          <w:sz w:val="16"/>
          <w:u w:val="none"/>
        </w:rPr>
        <w:t>$294.35</w:t>
      </w:r>
      <w:r>
        <w:rPr>
          <w:rFonts w:ascii="Arial" w:eastAsia="Arial" w:hAnsi="Arial" w:cs="Arial"/>
          <w:b w:val="0"/>
          <w:i w:val="0"/>
          <w:color w:val="929292"/>
          <w:sz w:val="16"/>
          <w:u w:val="none"/>
        </w:rPr>
        <w:t xml:space="preserve"> per share, the closing price of our ordinary shares on </w:t>
      </w:r>
      <w:r>
        <w:rPr>
          <w:rFonts w:ascii="Arial" w:eastAsia="Arial" w:hAnsi="Arial" w:cs="Arial"/>
          <w:b w:val="0"/>
          <w:i w:val="0"/>
          <w:color w:val="929292"/>
          <w:sz w:val="16"/>
          <w:u w:val="none"/>
        </w:rPr>
        <w:t>December 31, 2023</w:t>
      </w:r>
      <w:r>
        <w:rPr>
          <w:rFonts w:ascii="Arial" w:eastAsia="Arial" w:hAnsi="Arial" w:cs="Arial"/>
          <w:b w:val="0"/>
          <w:i w:val="0"/>
          <w:color w:val="929292"/>
          <w:sz w:val="16"/>
          <w:u w:val="none"/>
        </w:rPr>
        <w:t>.</w:t>
      </w:r>
    </w:p>
    <w:p>
      <w:pPr>
        <w:keepNext w:val="0"/>
        <w:keepLines w:val="0"/>
        <w:pageBreakBefore w:val="0"/>
        <w:widowControl/>
        <w:numPr>
          <w:ilvl w:val="0"/>
          <w:numId w:val="315"/>
        </w:numPr>
        <w:spacing w:before="0" w:after="60" w:line="288" w:lineRule="auto"/>
        <w:ind w:left="360" w:right="0" w:hanging="360"/>
        <w:jc w:val="both"/>
        <w:outlineLvl w:val="9"/>
        <w:rPr>
          <w:rFonts w:ascii="Arial" w:eastAsia="Arial" w:hAnsi="Arial" w:cs="Arial"/>
          <w:b w:val="0"/>
          <w:i w:val="0"/>
          <w:color w:val="929292"/>
          <w:sz w:val="16"/>
          <w:u w:val="none"/>
        </w:rPr>
      </w:pPr>
      <w:r>
        <w:rPr>
          <w:rFonts w:ascii="Arial" w:eastAsia="Arial" w:hAnsi="Arial" w:cs="Arial"/>
          <w:b w:val="0"/>
          <w:i w:val="0"/>
          <w:color w:val="929292"/>
          <w:sz w:val="16"/>
          <w:u w:val="none"/>
        </w:rPr>
        <w:t>Represents Mr. Silvester's Joint Share Ownership Interest in 565,630 ordinary shares relating to an equity award granted to him under our Joint Share Ownership Plan, a sub-plan of our Equity Plan. Under the terms of a joint share ownership agreement between Enstar, Mr. Silvester and the trustee of the Enstar Group Limited Employee Benefit Trust (the "Trustee"), as amended on July 1, 2022, Mr. Silvester holds a shared ownership interest with the Trustee in the ordi</w:t>
      </w:r>
      <w:r>
        <w:rPr>
          <w:rFonts w:ascii="Arial" w:eastAsia="Arial" w:hAnsi="Arial" w:cs="Arial"/>
          <w:b w:val="0"/>
          <w:i w:val="0"/>
          <w:color w:val="929292"/>
          <w:sz w:val="16"/>
          <w:u w:val="none"/>
        </w:rPr>
        <w:t>nary shares underlying the award, subject to certain vesting and other conditions (the "Executive Interest"). Except in certain instances of change of control, as defined in the joint share ownership agreement, or the lapse of his interest, 80% of Mr. Silvester's interest will vest on January 21, 2025 (the "Vesting Date") and 20% of Mr. Silvester's interest will vest on that date only if the growth of Enstar's</w:t>
      </w:r>
      <w:r>
        <w:rPr>
          <w:rFonts w:ascii="Arial" w:eastAsia="Arial" w:hAnsi="Arial" w:cs="Arial"/>
          <w:b w:val="0"/>
          <w:i w:val="0"/>
          <w:color w:val="929292"/>
          <w:sz w:val="16"/>
          <w:u w:val="none"/>
        </w:rPr>
        <w:t xml:space="preserve"> FDBVPS</w:t>
      </w:r>
      <w:r>
        <w:rPr>
          <w:rFonts w:ascii="Arial" w:eastAsia="Arial" w:hAnsi="Arial" w:cs="Arial"/>
          <w:b w:val="0"/>
          <w:i w:val="0"/>
          <w:color w:val="929292"/>
          <w:sz w:val="16"/>
          <w:u w:val="none"/>
        </w:rPr>
        <w:t xml:space="preserve"> between January 1, 2020 and December 31, 2024 meets or exceeds a compound annual growth rate of 10%. For a period of three months beginning on the Vesting Date, Mr. Silvester may realize the value, if any, of the Executive Interest. Upon expiration of the three-month period, the value, if any, of the Executive Interest will be realized automatically. Where the market prices of an ordinary share on both the Vesting Date and the date on which the value of Mr. Silvester's interest is realized are equal to or greater than $315.53, Mr. Silvester will be entitled to 100% of any value in the ordinary shares held by the Trust above $205.89 per share.</w:t>
      </w:r>
    </w:p>
    <w:p>
      <w:pPr>
        <w:keepNext w:val="0"/>
        <w:keepLines w:val="0"/>
        <w:pageBreakBefore w:val="0"/>
        <w:widowControl/>
        <w:numPr>
          <w:ilvl w:val="0"/>
          <w:numId w:val="315"/>
        </w:numPr>
        <w:spacing w:before="0" w:after="60" w:line="288" w:lineRule="auto"/>
        <w:ind w:left="360" w:right="0" w:hanging="360"/>
        <w:jc w:val="both"/>
        <w:outlineLvl w:val="9"/>
        <w:rPr>
          <w:rFonts w:ascii="Arial" w:eastAsia="Arial" w:hAnsi="Arial" w:cs="Arial"/>
          <w:b w:val="0"/>
          <w:i w:val="0"/>
          <w:color w:val="929292"/>
          <w:sz w:val="16"/>
          <w:u w:val="none"/>
        </w:rPr>
      </w:pPr>
      <w:r>
        <w:rPr>
          <w:rFonts w:ascii="Arial" w:eastAsia="Arial" w:hAnsi="Arial" w:cs="Arial"/>
          <w:b w:val="0"/>
          <w:i w:val="0"/>
          <w:color w:val="929292"/>
          <w:sz w:val="16"/>
          <w:u w:val="none"/>
        </w:rPr>
        <w:t xml:space="preserve">Reflects (a) </w:t>
      </w:r>
      <w:r>
        <w:rPr>
          <w:rFonts w:ascii="Arial" w:eastAsia="Arial" w:hAnsi="Arial" w:cs="Arial"/>
          <w:b w:val="0"/>
          <w:i w:val="0"/>
          <w:color w:val="929292"/>
          <w:sz w:val="16"/>
          <w:u w:val="none"/>
        </w:rPr>
        <w:t>159</w:t>
      </w:r>
      <w:r>
        <w:rPr>
          <w:rFonts w:ascii="Arial" w:eastAsia="Arial" w:hAnsi="Arial" w:cs="Arial"/>
          <w:b w:val="0"/>
          <w:i w:val="0"/>
          <w:color w:val="929292"/>
          <w:sz w:val="16"/>
          <w:u w:val="none"/>
        </w:rPr>
        <w:t xml:space="preserve"> PSUs that cliff vested on March 1, 2024 following a three-year performance period that ended on December 31, 2023 upon the Company's ach</w:t>
      </w:r>
      <w:r>
        <w:rPr>
          <w:rFonts w:ascii="Arial" w:eastAsia="Arial" w:hAnsi="Arial" w:cs="Arial"/>
          <w:b w:val="0"/>
          <w:i w:val="0"/>
          <w:color w:val="929292"/>
          <w:sz w:val="16"/>
          <w:u w:val="none"/>
        </w:rPr>
        <w:t>ievement of certain levels of Operati</w:t>
      </w:r>
      <w:r>
        <w:rPr>
          <w:rFonts w:ascii="Arial" w:eastAsia="Arial" w:hAnsi="Arial" w:cs="Arial"/>
          <w:b w:val="0"/>
          <w:i w:val="0"/>
          <w:color w:val="929292"/>
          <w:sz w:val="16"/>
          <w:u w:val="none"/>
        </w:rPr>
        <w:t xml:space="preserve">ng Income ROE; </w:t>
      </w:r>
      <w:r>
        <w:rPr>
          <w:rFonts w:ascii="Arial" w:eastAsia="Arial" w:hAnsi="Arial" w:cs="Arial"/>
          <w:b w:val="0"/>
          <w:i w:val="0"/>
          <w:color w:val="929292"/>
          <w:sz w:val="16"/>
          <w:u w:val="none"/>
        </w:rPr>
        <w:t xml:space="preserve">(b) </w:t>
      </w:r>
      <w:r>
        <w:rPr>
          <w:rFonts w:ascii="Arial" w:eastAsia="Arial" w:hAnsi="Arial" w:cs="Arial"/>
          <w:b w:val="0"/>
          <w:i w:val="0"/>
          <w:color w:val="929292"/>
          <w:sz w:val="16"/>
          <w:u w:val="none"/>
        </w:rPr>
        <w:t>290</w:t>
      </w:r>
      <w:r>
        <w:rPr>
          <w:rFonts w:ascii="Arial" w:eastAsia="Arial" w:hAnsi="Arial" w:cs="Arial"/>
          <w:b w:val="0"/>
          <w:i w:val="0"/>
          <w:color w:val="929292"/>
          <w:sz w:val="16"/>
          <w:u w:val="none"/>
        </w:rPr>
        <w:t xml:space="preserve"> RSUs scheduled to vest in two approximately equal </w:t>
      </w:r>
      <w:r>
        <w:rPr>
          <w:rFonts w:ascii="Arial" w:eastAsia="Arial" w:hAnsi="Arial" w:cs="Arial"/>
          <w:b w:val="0"/>
          <w:i w:val="0"/>
          <w:color w:val="929292"/>
          <w:sz w:val="16"/>
          <w:u w:val="none"/>
        </w:rPr>
        <w:t xml:space="preserve">annual </w:t>
      </w:r>
      <w:r>
        <w:rPr>
          <w:rFonts w:ascii="Arial" w:eastAsia="Arial" w:hAnsi="Arial" w:cs="Arial"/>
          <w:b w:val="0"/>
          <w:i w:val="0"/>
          <w:color w:val="929292"/>
          <w:sz w:val="16"/>
          <w:u w:val="none"/>
        </w:rPr>
        <w:t xml:space="preserve">installments beginning on March 20, 2024; </w:t>
      </w:r>
      <w:r>
        <w:rPr>
          <w:rFonts w:ascii="Arial" w:eastAsia="Arial" w:hAnsi="Arial" w:cs="Arial"/>
          <w:b w:val="0"/>
          <w:i w:val="0"/>
          <w:color w:val="929292"/>
          <w:sz w:val="16"/>
          <w:u w:val="none"/>
        </w:rPr>
        <w:t>(</w:t>
      </w:r>
      <w:r>
        <w:rPr>
          <w:rFonts w:ascii="Arial" w:eastAsia="Arial" w:hAnsi="Arial" w:cs="Arial"/>
          <w:b w:val="0"/>
          <w:i w:val="0"/>
          <w:color w:val="929292"/>
          <w:sz w:val="16"/>
          <w:u w:val="none"/>
        </w:rPr>
        <w:t>c</w:t>
      </w:r>
      <w:r>
        <w:rPr>
          <w:rFonts w:ascii="Arial" w:eastAsia="Arial" w:hAnsi="Arial" w:cs="Arial"/>
          <w:b w:val="0"/>
          <w:i w:val="0"/>
          <w:color w:val="929292"/>
          <w:sz w:val="16"/>
          <w:u w:val="none"/>
        </w:rPr>
        <w:t xml:space="preserve">) </w:t>
      </w:r>
      <w:r>
        <w:rPr>
          <w:rFonts w:ascii="Arial" w:eastAsia="Arial" w:hAnsi="Arial" w:cs="Arial"/>
          <w:b w:val="0"/>
          <w:i w:val="0"/>
          <w:color w:val="929292"/>
          <w:sz w:val="16"/>
          <w:u w:val="none"/>
        </w:rPr>
        <w:t>2,089</w:t>
      </w:r>
      <w:r>
        <w:rPr>
          <w:rFonts w:ascii="Arial" w:eastAsia="Arial" w:hAnsi="Arial" w:cs="Arial"/>
          <w:b w:val="0"/>
          <w:i w:val="0"/>
          <w:color w:val="929292"/>
          <w:sz w:val="16"/>
          <w:u w:val="none"/>
        </w:rPr>
        <w:t xml:space="preserve"> RSUs scheduled to vest on March 30, 2024</w:t>
      </w:r>
      <w:r>
        <w:rPr>
          <w:rFonts w:ascii="Arial" w:eastAsia="Arial" w:hAnsi="Arial" w:cs="Arial"/>
          <w:b w:val="0"/>
          <w:i w:val="0"/>
          <w:color w:val="929292"/>
          <w:sz w:val="16"/>
          <w:u w:val="none"/>
        </w:rPr>
        <w:t xml:space="preserve">; </w:t>
      </w:r>
      <w:r>
        <w:rPr>
          <w:rFonts w:ascii="Arial" w:eastAsia="Arial" w:hAnsi="Arial" w:cs="Arial"/>
          <w:b w:val="0"/>
          <w:i w:val="0"/>
          <w:color w:val="929292"/>
          <w:sz w:val="16"/>
          <w:u w:val="none"/>
        </w:rPr>
        <w:t>(</w:t>
      </w:r>
      <w:r>
        <w:rPr>
          <w:rFonts w:ascii="Arial" w:eastAsia="Arial" w:hAnsi="Arial" w:cs="Arial"/>
          <w:b w:val="0"/>
          <w:i w:val="0"/>
          <w:color w:val="929292"/>
          <w:sz w:val="16"/>
          <w:u w:val="none"/>
        </w:rPr>
        <w:t>d</w:t>
      </w:r>
      <w:r>
        <w:rPr>
          <w:rFonts w:ascii="Arial" w:eastAsia="Arial" w:hAnsi="Arial" w:cs="Arial"/>
          <w:b w:val="0"/>
          <w:i w:val="0"/>
          <w:color w:val="929292"/>
          <w:sz w:val="16"/>
          <w:u w:val="none"/>
        </w:rPr>
        <w:t>)</w:t>
      </w:r>
      <w:r>
        <w:rPr>
          <w:rFonts w:ascii="Arial" w:eastAsia="Arial" w:hAnsi="Arial" w:cs="Arial"/>
          <w:b w:val="0"/>
          <w:i w:val="0"/>
          <w:color w:val="929292"/>
          <w:sz w:val="16"/>
          <w:u w:val="none"/>
        </w:rPr>
        <w:t xml:space="preserve"> </w:t>
      </w:r>
      <w:r>
        <w:rPr>
          <w:rFonts w:ascii="Arial" w:eastAsia="Arial" w:hAnsi="Arial" w:cs="Arial"/>
          <w:b w:val="0"/>
          <w:i w:val="0"/>
          <w:color w:val="929292"/>
          <w:sz w:val="16"/>
          <w:u w:val="none"/>
        </w:rPr>
        <w:t>566</w:t>
      </w:r>
      <w:r>
        <w:rPr>
          <w:rFonts w:ascii="Arial" w:eastAsia="Arial" w:hAnsi="Arial" w:cs="Arial"/>
          <w:b w:val="0"/>
          <w:i w:val="0"/>
          <w:color w:val="929292"/>
          <w:sz w:val="16"/>
          <w:u w:val="none"/>
        </w:rPr>
        <w:t xml:space="preserve"> RSUs s</w:t>
      </w:r>
      <w:r>
        <w:rPr>
          <w:rFonts w:ascii="Arial" w:eastAsia="Arial" w:hAnsi="Arial" w:cs="Arial"/>
          <w:b w:val="0"/>
          <w:i w:val="0"/>
          <w:color w:val="929292"/>
          <w:sz w:val="16"/>
          <w:u w:val="none"/>
        </w:rPr>
        <w:t>cheduled to vest</w:t>
      </w:r>
      <w:r>
        <w:rPr>
          <w:rFonts w:ascii="Arial" w:eastAsia="Arial" w:hAnsi="Arial" w:cs="Arial"/>
          <w:b w:val="0"/>
          <w:i w:val="0"/>
          <w:color w:val="929292"/>
          <w:sz w:val="16"/>
          <w:u w:val="none"/>
        </w:rPr>
        <w:t xml:space="preserve"> in three approximately equal </w:t>
      </w:r>
      <w:r>
        <w:rPr>
          <w:rFonts w:ascii="Arial" w:eastAsia="Arial" w:hAnsi="Arial" w:cs="Arial"/>
          <w:b w:val="0"/>
          <w:i w:val="0"/>
          <w:color w:val="929292"/>
          <w:sz w:val="16"/>
          <w:u w:val="none"/>
        </w:rPr>
        <w:t xml:space="preserve">annual </w:t>
      </w:r>
      <w:r>
        <w:rPr>
          <w:rFonts w:ascii="Arial" w:eastAsia="Arial" w:hAnsi="Arial" w:cs="Arial"/>
          <w:b w:val="0"/>
          <w:i w:val="0"/>
          <w:color w:val="929292"/>
          <w:sz w:val="16"/>
          <w:u w:val="none"/>
        </w:rPr>
        <w:t>installments beginning on March 20, 2024; and</w:t>
      </w:r>
      <w:r>
        <w:rPr>
          <w:rFonts w:ascii="Arial" w:eastAsia="Arial" w:hAnsi="Arial" w:cs="Arial"/>
          <w:b w:val="0"/>
          <w:i w:val="0"/>
          <w:color w:val="929292"/>
          <w:sz w:val="16"/>
          <w:u w:val="none"/>
        </w:rPr>
        <w:t xml:space="preserve"> </w:t>
      </w:r>
      <w:r>
        <w:rPr>
          <w:rFonts w:ascii="Arial" w:eastAsia="Arial" w:hAnsi="Arial" w:cs="Arial"/>
          <w:b w:val="0"/>
          <w:i w:val="0"/>
          <w:color w:val="929292"/>
          <w:sz w:val="16"/>
          <w:u w:val="none"/>
        </w:rPr>
        <w:t>(</w:t>
      </w:r>
      <w:r>
        <w:rPr>
          <w:rFonts w:ascii="Arial" w:eastAsia="Arial" w:hAnsi="Arial" w:cs="Arial"/>
          <w:b w:val="0"/>
          <w:i w:val="0"/>
          <w:color w:val="929292"/>
          <w:sz w:val="16"/>
          <w:u w:val="none"/>
        </w:rPr>
        <w:t>e</w:t>
      </w:r>
      <w:r>
        <w:rPr>
          <w:rFonts w:ascii="Arial" w:eastAsia="Arial" w:hAnsi="Arial" w:cs="Arial"/>
          <w:b w:val="0"/>
          <w:i w:val="0"/>
          <w:color w:val="929292"/>
          <w:sz w:val="16"/>
          <w:u w:val="none"/>
        </w:rPr>
        <w:t>)</w:t>
      </w:r>
      <w:r>
        <w:rPr>
          <w:rFonts w:ascii="Arial" w:eastAsia="Arial" w:hAnsi="Arial" w:cs="Arial"/>
          <w:b w:val="0"/>
          <w:i w:val="0"/>
          <w:color w:val="929292"/>
          <w:sz w:val="16"/>
          <w:u w:val="none"/>
        </w:rPr>
        <w:t xml:space="preserve"> </w:t>
      </w:r>
      <w:r>
        <w:rPr>
          <w:rFonts w:ascii="Arial" w:eastAsia="Arial" w:hAnsi="Arial" w:cs="Arial"/>
          <w:b w:val="0"/>
          <w:i w:val="0"/>
          <w:color w:val="929292"/>
          <w:sz w:val="16"/>
          <w:u w:val="none"/>
        </w:rPr>
        <w:t>3,833</w:t>
      </w:r>
      <w:r>
        <w:rPr>
          <w:rFonts w:ascii="Arial" w:eastAsia="Arial" w:hAnsi="Arial" w:cs="Arial"/>
          <w:b w:val="0"/>
          <w:i w:val="0"/>
          <w:color w:val="929292"/>
          <w:sz w:val="16"/>
          <w:u w:val="none"/>
        </w:rPr>
        <w:t xml:space="preserve"> R</w:t>
      </w:r>
      <w:r>
        <w:rPr>
          <w:rFonts w:ascii="Arial" w:eastAsia="Arial" w:hAnsi="Arial" w:cs="Arial"/>
          <w:b w:val="0"/>
          <w:i w:val="0"/>
          <w:color w:val="929292"/>
          <w:sz w:val="16"/>
          <w:u w:val="none"/>
        </w:rPr>
        <w:t>SUs scheduled to vest on March 20, 2025</w:t>
      </w:r>
      <w:r>
        <w:rPr>
          <w:rFonts w:ascii="Arial" w:eastAsia="Arial" w:hAnsi="Arial" w:cs="Arial"/>
          <w:b w:val="0"/>
          <w:i w:val="0"/>
          <w:color w:val="929292"/>
          <w:sz w:val="16"/>
          <w:u w:val="none"/>
        </w:rPr>
        <w:t xml:space="preserve">. </w:t>
      </w:r>
      <w:r>
        <w:rPr>
          <w:rFonts w:ascii="Arial" w:eastAsia="Arial" w:hAnsi="Arial" w:cs="Arial"/>
          <w:b w:val="0"/>
          <w:i w:val="0"/>
          <w:color w:val="929292"/>
          <w:sz w:val="16"/>
          <w:u w:val="none"/>
        </w:rPr>
        <w:t>In addition, on March 1, 202</w:t>
      </w:r>
      <w:r>
        <w:rPr>
          <w:rFonts w:ascii="Arial" w:eastAsia="Arial" w:hAnsi="Arial" w:cs="Arial"/>
          <w:b w:val="0"/>
          <w:i w:val="0"/>
          <w:color w:val="929292"/>
          <w:sz w:val="16"/>
          <w:u w:val="none"/>
        </w:rPr>
        <w:t>1</w:t>
      </w:r>
      <w:r>
        <w:rPr>
          <w:rFonts w:ascii="Arial" w:eastAsia="Arial" w:hAnsi="Arial" w:cs="Arial"/>
          <w:b w:val="0"/>
          <w:i w:val="0"/>
          <w:color w:val="929292"/>
          <w:sz w:val="16"/>
          <w:u w:val="none"/>
        </w:rPr>
        <w:t>,</w:t>
      </w:r>
      <w:r>
        <w:rPr>
          <w:rFonts w:ascii="Arial" w:eastAsia="Arial" w:hAnsi="Arial" w:cs="Arial"/>
          <w:b w:val="0"/>
          <w:i w:val="0"/>
          <w:color w:val="929292"/>
          <w:sz w:val="16"/>
          <w:u w:val="none"/>
        </w:rPr>
        <w:t xml:space="preserve"> the Compensation Committee awarded Mr. </w:t>
      </w:r>
      <w:r>
        <w:rPr>
          <w:rFonts w:ascii="Arial" w:eastAsia="Arial" w:hAnsi="Arial" w:cs="Arial"/>
          <w:b w:val="0"/>
          <w:i w:val="0"/>
          <w:color w:val="929292"/>
          <w:sz w:val="16"/>
          <w:u w:val="none"/>
        </w:rPr>
        <w:t>Kirk</w:t>
      </w:r>
      <w:r>
        <w:rPr>
          <w:rFonts w:ascii="Arial" w:eastAsia="Arial" w:hAnsi="Arial" w:cs="Arial"/>
          <w:b w:val="0"/>
          <w:i w:val="0"/>
          <w:color w:val="929292"/>
          <w:sz w:val="16"/>
          <w:u w:val="none"/>
        </w:rPr>
        <w:t xml:space="preserve"> </w:t>
      </w:r>
      <w:r>
        <w:rPr>
          <w:rFonts w:ascii="Arial" w:eastAsia="Arial" w:hAnsi="Arial" w:cs="Arial"/>
          <w:b w:val="0"/>
          <w:i w:val="0"/>
          <w:color w:val="929292"/>
          <w:sz w:val="16"/>
          <w:u w:val="none"/>
        </w:rPr>
        <w:t>241</w:t>
      </w:r>
      <w:r>
        <w:rPr>
          <w:rFonts w:ascii="Arial" w:eastAsia="Arial" w:hAnsi="Arial" w:cs="Arial"/>
          <w:b w:val="0"/>
          <w:i w:val="0"/>
          <w:color w:val="929292"/>
          <w:sz w:val="16"/>
          <w:u w:val="none"/>
        </w:rPr>
        <w:t xml:space="preserve"> PSUs (target level) that were scheduled to vest following a performance period that ended on December 31, 202</w:t>
      </w:r>
      <w:r>
        <w:rPr>
          <w:rFonts w:ascii="Arial" w:eastAsia="Arial" w:hAnsi="Arial" w:cs="Arial"/>
          <w:b w:val="0"/>
          <w:i w:val="0"/>
          <w:color w:val="929292"/>
          <w:sz w:val="16"/>
          <w:u w:val="none"/>
        </w:rPr>
        <w:t>3</w:t>
      </w:r>
      <w:r>
        <w:rPr>
          <w:rFonts w:ascii="Arial" w:eastAsia="Arial" w:hAnsi="Arial" w:cs="Arial"/>
          <w:b w:val="0"/>
          <w:i w:val="0"/>
          <w:color w:val="929292"/>
          <w:sz w:val="16"/>
          <w:u w:val="none"/>
        </w:rPr>
        <w:t xml:space="preserve"> only if and to the extent the Company achieved certain levels of growth in </w:t>
      </w:r>
      <w:r>
        <w:rPr>
          <w:rFonts w:ascii="Arial" w:eastAsia="Arial" w:hAnsi="Arial" w:cs="Arial"/>
          <w:b w:val="0"/>
          <w:i w:val="0"/>
          <w:color w:val="929292"/>
          <w:sz w:val="16"/>
          <w:u w:val="none"/>
        </w:rPr>
        <w:t>FDBVPS</w:t>
      </w:r>
      <w:r>
        <w:rPr>
          <w:rFonts w:ascii="Arial" w:eastAsia="Arial" w:hAnsi="Arial" w:cs="Arial"/>
          <w:b w:val="0"/>
          <w:i w:val="0"/>
          <w:color w:val="929292"/>
          <w:sz w:val="16"/>
          <w:u w:val="none"/>
        </w:rPr>
        <w:t xml:space="preserve"> during such period. The performance objectives relating to book value per share did not meet threshold, and no PSUs vested in respect of that portion of the award. </w:t>
      </w:r>
    </w:p>
    <w:p>
      <w:pPr>
        <w:keepNext w:val="0"/>
        <w:keepLines w:val="0"/>
        <w:pageBreakBefore w:val="0"/>
        <w:widowControl/>
        <w:numPr>
          <w:ilvl w:val="0"/>
          <w:numId w:val="316"/>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Reflects (a) </w:t>
      </w:r>
      <w:r>
        <w:rPr>
          <w:rFonts w:ascii="Arial" w:eastAsia="Arial" w:hAnsi="Arial" w:cs="Arial"/>
          <w:b w:val="0"/>
          <w:i w:val="0"/>
          <w:color w:val="969698"/>
          <w:sz w:val="16"/>
          <w:u w:val="none"/>
        </w:rPr>
        <w:t>304</w:t>
      </w:r>
      <w:r>
        <w:rPr>
          <w:rFonts w:ascii="Arial" w:eastAsia="Arial" w:hAnsi="Arial" w:cs="Arial"/>
          <w:b w:val="0"/>
          <w:i w:val="0"/>
          <w:color w:val="969698"/>
          <w:sz w:val="16"/>
          <w:u w:val="none"/>
        </w:rPr>
        <w:t xml:space="preserve"> PSUs (</w:t>
      </w:r>
      <w:r>
        <w:rPr>
          <w:rFonts w:ascii="Arial" w:eastAsia="Arial" w:hAnsi="Arial" w:cs="Arial"/>
          <w:b w:val="0"/>
          <w:i w:val="0"/>
          <w:color w:val="969698"/>
          <w:sz w:val="16"/>
          <w:u w:val="none"/>
        </w:rPr>
        <w:t>60%</w:t>
      </w:r>
      <w:r>
        <w:rPr>
          <w:rFonts w:ascii="Arial" w:eastAsia="Arial" w:hAnsi="Arial" w:cs="Arial"/>
          <w:b w:val="0"/>
          <w:i w:val="0"/>
          <w:color w:val="969698"/>
          <w:sz w:val="16"/>
          <w:u w:val="none"/>
        </w:rPr>
        <w:t xml:space="preserve"> of target) that cliff vest following a three-year performance period that began on January 1, 2022 subject to the Company's achievement of certain levels of growth in </w:t>
      </w:r>
      <w:r>
        <w:rPr>
          <w:rFonts w:ascii="Arial" w:eastAsia="Arial" w:hAnsi="Arial" w:cs="Arial"/>
          <w:b w:val="0"/>
          <w:i w:val="0"/>
          <w:color w:val="969698"/>
          <w:sz w:val="16"/>
          <w:u w:val="none"/>
        </w:rPr>
        <w:t>FDBVPS</w:t>
      </w:r>
      <w:r>
        <w:rPr>
          <w:rFonts w:ascii="Arial" w:eastAsia="Arial" w:hAnsi="Arial" w:cs="Arial"/>
          <w:b w:val="0"/>
          <w:i w:val="0"/>
          <w:color w:val="969698"/>
          <w:sz w:val="16"/>
          <w:u w:val="none"/>
        </w:rPr>
        <w:t xml:space="preserve">; (b) </w:t>
      </w:r>
      <w:r>
        <w:rPr>
          <w:rFonts w:ascii="Arial" w:eastAsia="Arial" w:hAnsi="Arial" w:cs="Arial"/>
          <w:b w:val="0"/>
          <w:i w:val="0"/>
          <w:color w:val="969698"/>
          <w:sz w:val="16"/>
          <w:u w:val="none"/>
        </w:rPr>
        <w:t>507</w:t>
      </w:r>
      <w:r>
        <w:rPr>
          <w:rFonts w:ascii="Arial" w:eastAsia="Arial" w:hAnsi="Arial" w:cs="Arial"/>
          <w:b w:val="0"/>
          <w:i w:val="0"/>
          <w:color w:val="969698"/>
          <w:sz w:val="16"/>
          <w:u w:val="none"/>
        </w:rPr>
        <w:t xml:space="preserve"> PSUs (</w:t>
      </w:r>
      <w:r>
        <w:rPr>
          <w:rFonts w:ascii="Arial" w:eastAsia="Arial" w:hAnsi="Arial" w:cs="Arial"/>
          <w:b w:val="0"/>
          <w:i w:val="0"/>
          <w:color w:val="969698"/>
          <w:sz w:val="16"/>
          <w:u w:val="none"/>
        </w:rPr>
        <w:t>100%</w:t>
      </w:r>
      <w:r>
        <w:rPr>
          <w:rFonts w:ascii="Arial" w:eastAsia="Arial" w:hAnsi="Arial" w:cs="Arial"/>
          <w:b w:val="0"/>
          <w:i w:val="0"/>
          <w:color w:val="969698"/>
          <w:sz w:val="16"/>
          <w:u w:val="none"/>
        </w:rPr>
        <w:t xml:space="preserve"> of target) that cliff vest following a three-year performance period that began on January 1, 2022 subject to the Company's achievement of certain levels of </w:t>
      </w:r>
      <w:r>
        <w:rPr>
          <w:rFonts w:ascii="Arial" w:eastAsia="Arial" w:hAnsi="Arial" w:cs="Arial"/>
          <w:b w:val="0"/>
          <w:i w:val="0"/>
          <w:color w:val="969698"/>
          <w:sz w:val="16"/>
          <w:u w:val="none"/>
        </w:rPr>
        <w:t xml:space="preserve">Adjusted </w:t>
      </w:r>
      <w:r>
        <w:rPr>
          <w:rFonts w:ascii="Arial" w:eastAsia="Arial" w:hAnsi="Arial" w:cs="Arial"/>
          <w:b w:val="0"/>
          <w:i w:val="0"/>
          <w:color w:val="969698"/>
          <w:sz w:val="16"/>
          <w:u w:val="none"/>
        </w:rPr>
        <w:t xml:space="preserve">ROE; (c) </w:t>
      </w:r>
      <w:r>
        <w:rPr>
          <w:rFonts w:ascii="Arial" w:eastAsia="Arial" w:hAnsi="Arial" w:cs="Arial"/>
          <w:b w:val="0"/>
          <w:i w:val="0"/>
          <w:color w:val="969698"/>
          <w:sz w:val="16"/>
          <w:u w:val="none"/>
        </w:rPr>
        <w:t>1,318</w:t>
      </w:r>
      <w:r>
        <w:rPr>
          <w:rFonts w:ascii="Arial" w:eastAsia="Arial" w:hAnsi="Arial" w:cs="Arial"/>
          <w:b w:val="0"/>
          <w:i w:val="0"/>
          <w:color w:val="969698"/>
          <w:sz w:val="16"/>
          <w:u w:val="none"/>
        </w:rPr>
        <w:t xml:space="preserve"> PSUs (</w:t>
      </w:r>
      <w:r>
        <w:rPr>
          <w:rFonts w:ascii="Arial" w:eastAsia="Arial" w:hAnsi="Arial" w:cs="Arial"/>
          <w:b w:val="0"/>
          <w:i w:val="0"/>
          <w:color w:val="969698"/>
          <w:sz w:val="16"/>
          <w:u w:val="none"/>
        </w:rPr>
        <w:t>200%</w:t>
      </w:r>
      <w:r>
        <w:rPr>
          <w:rFonts w:ascii="Arial" w:eastAsia="Arial" w:hAnsi="Arial" w:cs="Arial"/>
          <w:b w:val="0"/>
          <w:i w:val="0"/>
          <w:color w:val="969698"/>
          <w:sz w:val="16"/>
          <w:u w:val="none"/>
        </w:rPr>
        <w:t xml:space="preserve"> of target) that cliff vest following a three-year performance period that began on January 1, 2023 subject to the Company's achievement of certain levels of growth in FDBVPS; and (d) </w:t>
      </w:r>
      <w:r>
        <w:rPr>
          <w:rFonts w:ascii="Arial" w:eastAsia="Arial" w:hAnsi="Arial" w:cs="Arial"/>
          <w:b w:val="0"/>
          <w:i w:val="0"/>
          <w:color w:val="969698"/>
          <w:sz w:val="16"/>
          <w:u w:val="none"/>
        </w:rPr>
        <w:t>1,320</w:t>
      </w:r>
      <w:r>
        <w:rPr>
          <w:rFonts w:ascii="Arial" w:eastAsia="Arial" w:hAnsi="Arial" w:cs="Arial"/>
          <w:b w:val="0"/>
          <w:i w:val="0"/>
          <w:color w:val="969698"/>
          <w:sz w:val="16"/>
          <w:u w:val="none"/>
        </w:rPr>
        <w:t xml:space="preserve"> PSUs (</w:t>
      </w:r>
      <w:r>
        <w:rPr>
          <w:rFonts w:ascii="Arial" w:eastAsia="Arial" w:hAnsi="Arial" w:cs="Arial"/>
          <w:b w:val="0"/>
          <w:i w:val="0"/>
          <w:color w:val="969698"/>
          <w:sz w:val="16"/>
          <w:u w:val="none"/>
        </w:rPr>
        <w:t>200%</w:t>
      </w:r>
      <w:r>
        <w:rPr>
          <w:rFonts w:ascii="Arial" w:eastAsia="Arial" w:hAnsi="Arial" w:cs="Arial"/>
          <w:b w:val="0"/>
          <w:i w:val="0"/>
          <w:color w:val="969698"/>
          <w:sz w:val="16"/>
          <w:u w:val="none"/>
        </w:rPr>
        <w:t xml:space="preserve"> of target) that cliff vest following a three-year performance period that began on January 1, 2023 subject to the Company's achievement of certain levels of Operating Income ROE. </w:t>
      </w:r>
    </w:p>
    <w:p>
      <w:pPr>
        <w:keepNext w:val="0"/>
        <w:keepLines w:val="0"/>
        <w:pageBreakBefore w:val="0"/>
        <w:widowControl/>
        <w:numPr>
          <w:ilvl w:val="0"/>
          <w:numId w:val="317"/>
        </w:numPr>
        <w:spacing w:before="0" w:after="60" w:line="288" w:lineRule="auto"/>
        <w:ind w:left="360" w:right="0" w:hanging="360"/>
        <w:jc w:val="both"/>
        <w:outlineLvl w:val="9"/>
        <w:rPr>
          <w:rFonts w:ascii="Arial" w:eastAsia="Arial" w:hAnsi="Arial" w:cs="Arial"/>
          <w:b w:val="0"/>
          <w:i w:val="0"/>
          <w:color w:val="929292"/>
          <w:sz w:val="16"/>
          <w:u w:val="none"/>
        </w:rPr>
      </w:pPr>
      <w:r>
        <w:rPr>
          <w:rFonts w:ascii="Arial" w:eastAsia="Arial" w:hAnsi="Arial" w:cs="Arial"/>
          <w:b w:val="0"/>
          <w:i w:val="0"/>
          <w:color w:val="929292"/>
          <w:sz w:val="16"/>
          <w:u w:val="none"/>
        </w:rPr>
        <w:t xml:space="preserve">Reflects </w:t>
      </w:r>
      <w:r>
        <w:rPr>
          <w:rFonts w:ascii="Arial" w:eastAsia="Arial" w:hAnsi="Arial" w:cs="Arial"/>
          <w:b w:val="0"/>
          <w:i w:val="0"/>
          <w:color w:val="929292"/>
          <w:sz w:val="16"/>
          <w:u w:val="none"/>
        </w:rPr>
        <w:t>13,465</w:t>
      </w:r>
      <w:r>
        <w:rPr>
          <w:rFonts w:ascii="Arial" w:eastAsia="Arial" w:hAnsi="Arial" w:cs="Arial"/>
          <w:b w:val="0"/>
          <w:i w:val="0"/>
          <w:color w:val="929292"/>
          <w:sz w:val="16"/>
          <w:u w:val="none"/>
        </w:rPr>
        <w:t xml:space="preserve"> RSUs scheduled to vest </w:t>
      </w:r>
      <w:r>
        <w:rPr>
          <w:rFonts w:ascii="Arial" w:eastAsia="Arial" w:hAnsi="Arial" w:cs="Arial"/>
          <w:b w:val="0"/>
          <w:i w:val="0"/>
          <w:color w:val="929292"/>
          <w:sz w:val="16"/>
          <w:u w:val="none"/>
        </w:rPr>
        <w:t xml:space="preserve">in three approximately equal </w:t>
      </w:r>
      <w:r>
        <w:rPr>
          <w:rFonts w:ascii="Arial" w:eastAsia="Arial" w:hAnsi="Arial" w:cs="Arial"/>
          <w:b w:val="0"/>
          <w:i w:val="0"/>
          <w:color w:val="929292"/>
          <w:sz w:val="16"/>
          <w:u w:val="none"/>
        </w:rPr>
        <w:t xml:space="preserve">annual </w:t>
      </w:r>
      <w:r>
        <w:rPr>
          <w:rFonts w:ascii="Arial" w:eastAsia="Arial" w:hAnsi="Arial" w:cs="Arial"/>
          <w:b w:val="0"/>
          <w:i w:val="0"/>
          <w:color w:val="929292"/>
          <w:sz w:val="16"/>
          <w:u w:val="none"/>
        </w:rPr>
        <w:t>installments be</w:t>
      </w:r>
      <w:r>
        <w:rPr>
          <w:rFonts w:ascii="Arial" w:eastAsia="Arial" w:hAnsi="Arial" w:cs="Arial"/>
          <w:b w:val="0"/>
          <w:i w:val="0"/>
          <w:color w:val="929292"/>
          <w:sz w:val="16"/>
          <w:u w:val="none"/>
        </w:rPr>
        <w:t>ginning on</w:t>
      </w:r>
      <w:r>
        <w:rPr>
          <w:rFonts w:ascii="Arial" w:eastAsia="Arial" w:hAnsi="Arial" w:cs="Arial"/>
          <w:b w:val="0"/>
          <w:i w:val="0"/>
          <w:color w:val="929292"/>
          <w:sz w:val="16"/>
          <w:u w:val="none"/>
        </w:rPr>
        <w:t xml:space="preserve"> </w:t>
      </w:r>
      <w:r>
        <w:rPr>
          <w:rFonts w:ascii="Arial" w:eastAsia="Arial" w:hAnsi="Arial" w:cs="Arial"/>
          <w:b w:val="0"/>
          <w:i w:val="0"/>
          <w:color w:val="929292"/>
          <w:sz w:val="16"/>
          <w:u w:val="none"/>
        </w:rPr>
        <w:t xml:space="preserve">March 20, 2024. </w:t>
      </w:r>
    </w:p>
    <w:p>
      <w:pPr>
        <w:keepNext w:val="0"/>
        <w:keepLines w:val="0"/>
        <w:pageBreakBefore w:val="0"/>
        <w:widowControl/>
        <w:numPr>
          <w:ilvl w:val="0"/>
          <w:numId w:val="317"/>
        </w:numPr>
        <w:spacing w:before="0" w:after="60" w:line="288" w:lineRule="auto"/>
        <w:ind w:left="360" w:right="0" w:hanging="360"/>
        <w:jc w:val="both"/>
        <w:outlineLvl w:val="9"/>
        <w:rPr>
          <w:rFonts w:ascii="Arial" w:eastAsia="Arial" w:hAnsi="Arial" w:cs="Arial"/>
          <w:b w:val="0"/>
          <w:i w:val="0"/>
          <w:color w:val="929292"/>
          <w:sz w:val="16"/>
          <w:u w:val="none"/>
        </w:rPr>
      </w:pPr>
      <w:r>
        <w:rPr>
          <w:rFonts w:ascii="Arial" w:eastAsia="Arial" w:hAnsi="Arial" w:cs="Arial"/>
          <w:b w:val="0"/>
          <w:i w:val="0"/>
          <w:color w:val="929292"/>
          <w:sz w:val="16"/>
          <w:u w:val="none"/>
        </w:rPr>
        <w:t xml:space="preserve">Reflects (a) </w:t>
      </w:r>
      <w:r>
        <w:rPr>
          <w:rFonts w:ascii="Arial" w:eastAsia="Arial" w:hAnsi="Arial" w:cs="Arial"/>
          <w:b w:val="0"/>
          <w:i w:val="0"/>
          <w:color w:val="929292"/>
          <w:sz w:val="16"/>
          <w:u w:val="none"/>
        </w:rPr>
        <w:t>40,394</w:t>
      </w:r>
      <w:r>
        <w:rPr>
          <w:rFonts w:ascii="Arial" w:eastAsia="Arial" w:hAnsi="Arial" w:cs="Arial"/>
          <w:b w:val="0"/>
          <w:i w:val="0"/>
          <w:color w:val="929292"/>
          <w:sz w:val="16"/>
          <w:u w:val="none"/>
        </w:rPr>
        <w:t xml:space="preserve"> PSUs (</w:t>
      </w:r>
      <w:r>
        <w:rPr>
          <w:rFonts w:ascii="Arial" w:eastAsia="Arial" w:hAnsi="Arial" w:cs="Arial"/>
          <w:b w:val="0"/>
          <w:i w:val="0"/>
          <w:color w:val="929292"/>
          <w:sz w:val="16"/>
          <w:u w:val="none"/>
        </w:rPr>
        <w:t>200%</w:t>
      </w:r>
      <w:r>
        <w:rPr>
          <w:rFonts w:ascii="Arial" w:eastAsia="Arial" w:hAnsi="Arial" w:cs="Arial"/>
          <w:b w:val="0"/>
          <w:i w:val="0"/>
          <w:color w:val="929292"/>
          <w:sz w:val="16"/>
          <w:u w:val="none"/>
        </w:rPr>
        <w:t xml:space="preserve"> of target) that cliff vest following a three-year performance period that began on January 1, 202</w:t>
      </w:r>
      <w:r>
        <w:rPr>
          <w:rFonts w:ascii="Arial" w:eastAsia="Arial" w:hAnsi="Arial" w:cs="Arial"/>
          <w:b w:val="0"/>
          <w:i w:val="0"/>
          <w:color w:val="929292"/>
          <w:sz w:val="16"/>
          <w:u w:val="none"/>
        </w:rPr>
        <w:t>3</w:t>
      </w:r>
      <w:r>
        <w:rPr>
          <w:rFonts w:ascii="Arial" w:eastAsia="Arial" w:hAnsi="Arial" w:cs="Arial"/>
          <w:b w:val="0"/>
          <w:i w:val="0"/>
          <w:color w:val="929292"/>
          <w:sz w:val="16"/>
          <w:u w:val="none"/>
        </w:rPr>
        <w:t xml:space="preserve"> subject to the Company's achievement of certain levels of growth in </w:t>
      </w:r>
      <w:r>
        <w:rPr>
          <w:rFonts w:ascii="Arial" w:eastAsia="Arial" w:hAnsi="Arial" w:cs="Arial"/>
          <w:b w:val="0"/>
          <w:i w:val="0"/>
          <w:color w:val="929292"/>
          <w:sz w:val="16"/>
          <w:u w:val="none"/>
        </w:rPr>
        <w:t>FDBVPS</w:t>
      </w:r>
      <w:r>
        <w:rPr>
          <w:rFonts w:ascii="Arial" w:eastAsia="Arial" w:hAnsi="Arial" w:cs="Arial"/>
          <w:b w:val="0"/>
          <w:i w:val="0"/>
          <w:color w:val="929292"/>
          <w:sz w:val="16"/>
          <w:u w:val="none"/>
        </w:rPr>
        <w:t xml:space="preserve">; </w:t>
      </w:r>
      <w:r>
        <w:rPr>
          <w:rFonts w:ascii="Arial" w:eastAsia="Arial" w:hAnsi="Arial" w:cs="Arial"/>
          <w:b w:val="0"/>
          <w:i w:val="0"/>
          <w:color w:val="929292"/>
          <w:sz w:val="16"/>
          <w:u w:val="none"/>
        </w:rPr>
        <w:t xml:space="preserve">and </w:t>
      </w:r>
      <w:r>
        <w:rPr>
          <w:rFonts w:ascii="Arial" w:eastAsia="Arial" w:hAnsi="Arial" w:cs="Arial"/>
          <w:b w:val="0"/>
          <w:i w:val="0"/>
          <w:color w:val="929292"/>
          <w:sz w:val="16"/>
          <w:u w:val="none"/>
        </w:rPr>
        <w:t xml:space="preserve">(b) </w:t>
      </w:r>
      <w:r>
        <w:rPr>
          <w:rFonts w:ascii="Arial" w:eastAsia="Arial" w:hAnsi="Arial" w:cs="Arial"/>
          <w:b w:val="0"/>
          <w:i w:val="0"/>
          <w:color w:val="929292"/>
          <w:sz w:val="16"/>
          <w:u w:val="none"/>
        </w:rPr>
        <w:t>40,396</w:t>
      </w:r>
      <w:r>
        <w:rPr>
          <w:rFonts w:ascii="Arial" w:eastAsia="Arial" w:hAnsi="Arial" w:cs="Arial"/>
          <w:b w:val="0"/>
          <w:i w:val="0"/>
          <w:color w:val="929292"/>
          <w:sz w:val="16"/>
          <w:u w:val="none"/>
        </w:rPr>
        <w:t xml:space="preserve"> PSUs (</w:t>
      </w:r>
      <w:r>
        <w:rPr>
          <w:rFonts w:ascii="Arial" w:eastAsia="Arial" w:hAnsi="Arial" w:cs="Arial"/>
          <w:b w:val="0"/>
          <w:i w:val="0"/>
          <w:color w:val="929292"/>
          <w:sz w:val="16"/>
          <w:u w:val="none"/>
        </w:rPr>
        <w:t>200%</w:t>
      </w:r>
      <w:r>
        <w:rPr>
          <w:rFonts w:ascii="Arial" w:eastAsia="Arial" w:hAnsi="Arial" w:cs="Arial"/>
          <w:b w:val="0"/>
          <w:i w:val="0"/>
          <w:color w:val="929292"/>
          <w:sz w:val="16"/>
          <w:u w:val="none"/>
        </w:rPr>
        <w:t xml:space="preserve"> of target) that cliff vest following a three-year performance period that began on January 1, 202</w:t>
      </w:r>
      <w:r>
        <w:rPr>
          <w:rFonts w:ascii="Arial" w:eastAsia="Arial" w:hAnsi="Arial" w:cs="Arial"/>
          <w:b w:val="0"/>
          <w:i w:val="0"/>
          <w:color w:val="929292"/>
          <w:sz w:val="16"/>
          <w:u w:val="none"/>
        </w:rPr>
        <w:t>3</w:t>
      </w:r>
      <w:r>
        <w:rPr>
          <w:rFonts w:ascii="Arial" w:eastAsia="Arial" w:hAnsi="Arial" w:cs="Arial"/>
          <w:b w:val="0"/>
          <w:i w:val="0"/>
          <w:color w:val="929292"/>
          <w:sz w:val="16"/>
          <w:u w:val="none"/>
        </w:rPr>
        <w:t xml:space="preserve"> subject to the Company's achievement of certain levels of </w:t>
      </w:r>
      <w:r>
        <w:rPr>
          <w:rFonts w:ascii="Arial" w:eastAsia="Arial" w:hAnsi="Arial" w:cs="Arial"/>
          <w:b w:val="0"/>
          <w:i w:val="0"/>
          <w:color w:val="929292"/>
          <w:sz w:val="16"/>
          <w:u w:val="none"/>
        </w:rPr>
        <w:t>Adjusted</w:t>
      </w:r>
      <w:r>
        <w:rPr>
          <w:rFonts w:ascii="Arial" w:eastAsia="Arial" w:hAnsi="Arial" w:cs="Arial"/>
          <w:b w:val="0"/>
          <w:i w:val="0"/>
          <w:color w:val="929292"/>
          <w:sz w:val="16"/>
          <w:u w:val="none"/>
        </w:rPr>
        <w:t xml:space="preserve"> ROE</w:t>
      </w:r>
      <w:r>
        <w:rPr>
          <w:rFonts w:ascii="Arial" w:eastAsia="Arial" w:hAnsi="Arial" w:cs="Arial"/>
          <w:b w:val="0"/>
          <w:i w:val="0"/>
          <w:color w:val="929292"/>
          <w:sz w:val="16"/>
          <w:u w:val="none"/>
        </w:rPr>
        <w:t xml:space="preserve">. </w:t>
      </w:r>
    </w:p>
    <w:p>
      <w:pPr>
        <w:keepNext w:val="0"/>
        <w:keepLines w:val="0"/>
        <w:pageBreakBefore w:val="0"/>
        <w:widowControl/>
        <w:numPr>
          <w:ilvl w:val="0"/>
          <w:numId w:val="317"/>
        </w:numPr>
        <w:spacing w:before="0" w:after="60" w:line="288" w:lineRule="auto"/>
        <w:ind w:left="360" w:right="0" w:hanging="360"/>
        <w:jc w:val="both"/>
        <w:outlineLvl w:val="9"/>
        <w:rPr>
          <w:rFonts w:ascii="Arial" w:eastAsia="Arial" w:hAnsi="Arial" w:cs="Arial"/>
          <w:b w:val="0"/>
          <w:i w:val="0"/>
          <w:color w:val="929292"/>
          <w:sz w:val="16"/>
          <w:u w:val="none"/>
        </w:rPr>
      </w:pPr>
      <w:r>
        <w:rPr>
          <w:rFonts w:ascii="Arial" w:eastAsia="Arial" w:hAnsi="Arial" w:cs="Arial"/>
          <w:b w:val="0"/>
          <w:i w:val="0"/>
          <w:color w:val="929292"/>
          <w:sz w:val="16"/>
          <w:u w:val="none"/>
        </w:rPr>
        <w:t xml:space="preserve">Reflects (a) </w:t>
      </w:r>
      <w:r>
        <w:rPr>
          <w:rFonts w:ascii="Arial" w:eastAsia="Arial" w:hAnsi="Arial" w:cs="Arial"/>
          <w:b w:val="0"/>
          <w:i w:val="0"/>
          <w:color w:val="929292"/>
          <w:sz w:val="16"/>
          <w:u w:val="none"/>
        </w:rPr>
        <w:t>303</w:t>
      </w:r>
      <w:r>
        <w:rPr>
          <w:rFonts w:ascii="Arial" w:eastAsia="Arial" w:hAnsi="Arial" w:cs="Arial"/>
          <w:b w:val="0"/>
          <w:i w:val="0"/>
          <w:color w:val="929292"/>
          <w:sz w:val="16"/>
          <w:u w:val="none"/>
        </w:rPr>
        <w:t xml:space="preserve"> </w:t>
      </w:r>
      <w:r>
        <w:rPr>
          <w:rFonts w:ascii="Arial" w:eastAsia="Arial" w:hAnsi="Arial" w:cs="Arial"/>
          <w:b w:val="0"/>
          <w:i w:val="0"/>
          <w:color w:val="929292"/>
          <w:sz w:val="16"/>
          <w:u w:val="none"/>
        </w:rPr>
        <w:t>PSUs that cliff vested on March 1, 2023 following a three-year performance period that ended on December 31, 202</w:t>
      </w:r>
      <w:r>
        <w:rPr>
          <w:rFonts w:ascii="Arial" w:eastAsia="Arial" w:hAnsi="Arial" w:cs="Arial"/>
          <w:b w:val="0"/>
          <w:i w:val="0"/>
          <w:color w:val="929292"/>
          <w:sz w:val="16"/>
          <w:u w:val="none"/>
        </w:rPr>
        <w:t>3</w:t>
      </w:r>
      <w:r>
        <w:rPr>
          <w:rFonts w:ascii="Arial" w:eastAsia="Arial" w:hAnsi="Arial" w:cs="Arial"/>
          <w:b w:val="0"/>
          <w:i w:val="0"/>
          <w:color w:val="929292"/>
          <w:sz w:val="16"/>
          <w:u w:val="none"/>
        </w:rPr>
        <w:t xml:space="preserve"> upon the Company's achievement of certain levels of Operating Income ROE; (b)</w:t>
      </w:r>
      <w:r>
        <w:rPr>
          <w:rFonts w:ascii="Arial" w:eastAsia="Arial" w:hAnsi="Arial" w:cs="Arial"/>
          <w:b w:val="0"/>
          <w:i w:val="0"/>
          <w:color w:val="929292"/>
          <w:sz w:val="16"/>
          <w:u w:val="none"/>
        </w:rPr>
        <w:t xml:space="preserve"> </w:t>
      </w:r>
      <w:r>
        <w:rPr>
          <w:rFonts w:ascii="Arial" w:eastAsia="Arial" w:hAnsi="Arial" w:cs="Arial"/>
          <w:b w:val="0"/>
          <w:i w:val="0"/>
          <w:color w:val="929292"/>
          <w:sz w:val="16"/>
          <w:u w:val="none"/>
        </w:rPr>
        <w:t>418</w:t>
      </w:r>
      <w:r>
        <w:rPr>
          <w:rFonts w:ascii="Arial" w:eastAsia="Arial" w:hAnsi="Arial" w:cs="Arial"/>
          <w:b w:val="0"/>
          <w:i w:val="0"/>
          <w:color w:val="929292"/>
          <w:sz w:val="16"/>
          <w:u w:val="none"/>
        </w:rPr>
        <w:t xml:space="preserve"> RSU</w:t>
      </w:r>
      <w:r>
        <w:rPr>
          <w:rFonts w:ascii="Arial" w:eastAsia="Arial" w:hAnsi="Arial" w:cs="Arial"/>
          <w:b w:val="0"/>
          <w:i w:val="0"/>
          <w:color w:val="929292"/>
          <w:sz w:val="16"/>
          <w:u w:val="none"/>
        </w:rPr>
        <w:t>s sc</w:t>
      </w:r>
      <w:r>
        <w:rPr>
          <w:rFonts w:ascii="Arial" w:eastAsia="Arial" w:hAnsi="Arial" w:cs="Arial"/>
          <w:b w:val="0"/>
          <w:i w:val="0"/>
          <w:color w:val="929292"/>
          <w:sz w:val="16"/>
          <w:u w:val="none"/>
        </w:rPr>
        <w:t>heduled to vest in</w:t>
      </w:r>
      <w:r>
        <w:rPr>
          <w:rFonts w:ascii="Arial" w:eastAsia="Arial" w:hAnsi="Arial" w:cs="Arial"/>
          <w:b w:val="0"/>
          <w:i w:val="0"/>
          <w:color w:val="929292"/>
          <w:sz w:val="16"/>
          <w:u w:val="none"/>
        </w:rPr>
        <w:t xml:space="preserve"> two approximately equal annual installments beginning on March 20, 2024</w:t>
      </w:r>
      <w:r>
        <w:rPr>
          <w:rFonts w:ascii="Arial" w:eastAsia="Arial" w:hAnsi="Arial" w:cs="Arial"/>
          <w:b w:val="0"/>
          <w:i w:val="0"/>
          <w:color w:val="929292"/>
          <w:sz w:val="16"/>
          <w:u w:val="none"/>
        </w:rPr>
        <w:t xml:space="preserve">; </w:t>
      </w:r>
      <w:r>
        <w:rPr>
          <w:rFonts w:ascii="Arial" w:eastAsia="Arial" w:hAnsi="Arial" w:cs="Arial"/>
          <w:b w:val="0"/>
          <w:i w:val="0"/>
          <w:color w:val="929292"/>
          <w:sz w:val="16"/>
          <w:u w:val="none"/>
        </w:rPr>
        <w:t>(c)</w:t>
      </w:r>
      <w:r>
        <w:rPr>
          <w:rFonts w:ascii="Arial" w:eastAsia="Arial" w:hAnsi="Arial" w:cs="Arial"/>
          <w:b w:val="0"/>
          <w:i w:val="0"/>
          <w:color w:val="929292"/>
          <w:sz w:val="16"/>
          <w:u w:val="none"/>
        </w:rPr>
        <w:t xml:space="preserve"> </w:t>
      </w:r>
      <w:r>
        <w:rPr>
          <w:rFonts w:ascii="Arial" w:eastAsia="Arial" w:hAnsi="Arial" w:cs="Arial"/>
          <w:b w:val="0"/>
          <w:i w:val="0"/>
          <w:color w:val="929292"/>
          <w:sz w:val="16"/>
          <w:u w:val="none"/>
        </w:rPr>
        <w:t>943</w:t>
      </w:r>
      <w:r>
        <w:rPr>
          <w:rFonts w:ascii="Arial" w:eastAsia="Arial" w:hAnsi="Arial" w:cs="Arial"/>
          <w:b w:val="0"/>
          <w:i w:val="0"/>
          <w:color w:val="929292"/>
          <w:sz w:val="16"/>
          <w:u w:val="none"/>
        </w:rPr>
        <w:t xml:space="preserve"> </w:t>
      </w:r>
      <w:r>
        <w:rPr>
          <w:rFonts w:ascii="Arial" w:eastAsia="Arial" w:hAnsi="Arial" w:cs="Arial"/>
          <w:b w:val="0"/>
          <w:i w:val="0"/>
          <w:color w:val="929292"/>
          <w:sz w:val="16"/>
          <w:u w:val="none"/>
        </w:rPr>
        <w:t>RSUs scheduled to vest in t</w:t>
      </w:r>
      <w:r>
        <w:rPr>
          <w:rFonts w:ascii="Arial" w:eastAsia="Arial" w:hAnsi="Arial" w:cs="Arial"/>
          <w:b w:val="0"/>
          <w:i w:val="0"/>
          <w:color w:val="929292"/>
          <w:sz w:val="16"/>
          <w:u w:val="none"/>
        </w:rPr>
        <w:t>hree</w:t>
      </w:r>
      <w:r>
        <w:rPr>
          <w:rFonts w:ascii="Arial" w:eastAsia="Arial" w:hAnsi="Arial" w:cs="Arial"/>
          <w:b w:val="0"/>
          <w:i w:val="0"/>
          <w:color w:val="929292"/>
          <w:sz w:val="16"/>
          <w:u w:val="none"/>
        </w:rPr>
        <w:t xml:space="preserve"> approximately equal annual installments beginning on March 20, 2024</w:t>
      </w:r>
      <w:r>
        <w:rPr>
          <w:rFonts w:ascii="Arial" w:eastAsia="Arial" w:hAnsi="Arial" w:cs="Arial"/>
          <w:b w:val="0"/>
          <w:i w:val="0"/>
          <w:color w:val="929292"/>
          <w:sz w:val="16"/>
          <w:u w:val="none"/>
        </w:rPr>
        <w:t>;</w:t>
      </w:r>
      <w:r>
        <w:rPr>
          <w:rFonts w:ascii="Arial" w:eastAsia="Arial" w:hAnsi="Arial" w:cs="Arial"/>
          <w:b w:val="0"/>
          <w:i w:val="0"/>
          <w:color w:val="929292"/>
          <w:sz w:val="16"/>
          <w:u w:val="none"/>
        </w:rPr>
        <w:t xml:space="preserve"> </w:t>
      </w:r>
      <w:r>
        <w:rPr>
          <w:rFonts w:ascii="Arial" w:eastAsia="Arial" w:hAnsi="Arial" w:cs="Arial"/>
          <w:b w:val="0"/>
          <w:i w:val="0"/>
          <w:color w:val="929292"/>
          <w:sz w:val="16"/>
          <w:u w:val="none"/>
        </w:rPr>
        <w:t xml:space="preserve">(d) </w:t>
      </w:r>
      <w:r>
        <w:rPr>
          <w:rFonts w:ascii="Arial" w:eastAsia="Arial" w:hAnsi="Arial" w:cs="Arial"/>
          <w:b w:val="0"/>
          <w:i w:val="0"/>
          <w:color w:val="929292"/>
          <w:sz w:val="16"/>
          <w:u w:val="none"/>
        </w:rPr>
        <w:t>167</w:t>
      </w:r>
      <w:r>
        <w:rPr>
          <w:rFonts w:ascii="Arial" w:eastAsia="Arial" w:hAnsi="Arial" w:cs="Arial"/>
          <w:b w:val="0"/>
          <w:i w:val="0"/>
          <w:color w:val="929292"/>
          <w:sz w:val="16"/>
          <w:u w:val="none"/>
        </w:rPr>
        <w:t xml:space="preserve"> RSUs s</w:t>
      </w:r>
      <w:r>
        <w:rPr>
          <w:rFonts w:ascii="Arial" w:eastAsia="Arial" w:hAnsi="Arial" w:cs="Arial"/>
          <w:b w:val="0"/>
          <w:i w:val="0"/>
          <w:color w:val="929292"/>
          <w:sz w:val="16"/>
          <w:u w:val="none"/>
        </w:rPr>
        <w:t xml:space="preserve">cheduled to vest on March </w:t>
      </w:r>
      <w:r>
        <w:rPr>
          <w:rFonts w:ascii="Arial" w:eastAsia="Arial" w:hAnsi="Arial" w:cs="Arial"/>
          <w:b w:val="0"/>
          <w:i w:val="0"/>
          <w:color w:val="929292"/>
          <w:sz w:val="16"/>
          <w:u w:val="none"/>
        </w:rPr>
        <w:t>3</w:t>
      </w:r>
      <w:r>
        <w:rPr>
          <w:rFonts w:ascii="Arial" w:eastAsia="Arial" w:hAnsi="Arial" w:cs="Arial"/>
          <w:b w:val="0"/>
          <w:i w:val="0"/>
          <w:color w:val="929292"/>
          <w:sz w:val="16"/>
          <w:u w:val="none"/>
        </w:rPr>
        <w:t xml:space="preserve">0, 2024; </w:t>
      </w:r>
      <w:r>
        <w:rPr>
          <w:rFonts w:ascii="Arial" w:eastAsia="Arial" w:hAnsi="Arial" w:cs="Arial"/>
          <w:b w:val="0"/>
          <w:i w:val="0"/>
          <w:color w:val="929292"/>
          <w:sz w:val="16"/>
          <w:u w:val="none"/>
        </w:rPr>
        <w:t xml:space="preserve">and (e) </w:t>
      </w:r>
      <w:r>
        <w:rPr>
          <w:rFonts w:ascii="Arial" w:eastAsia="Arial" w:hAnsi="Arial" w:cs="Arial"/>
          <w:b w:val="0"/>
          <w:i w:val="0"/>
          <w:color w:val="929292"/>
          <w:sz w:val="16"/>
          <w:u w:val="none"/>
        </w:rPr>
        <w:t>15,929</w:t>
      </w:r>
      <w:r>
        <w:rPr>
          <w:rFonts w:ascii="Arial" w:eastAsia="Arial" w:hAnsi="Arial" w:cs="Arial"/>
          <w:b w:val="0"/>
          <w:i w:val="0"/>
          <w:color w:val="929292"/>
          <w:sz w:val="16"/>
          <w:u w:val="none"/>
        </w:rPr>
        <w:t xml:space="preserve"> RSUs scheduled to vest on Februar</w:t>
      </w:r>
      <w:r>
        <w:rPr>
          <w:rFonts w:ascii="Arial" w:eastAsia="Arial" w:hAnsi="Arial" w:cs="Arial"/>
          <w:b w:val="0"/>
          <w:i w:val="0"/>
          <w:color w:val="929292"/>
          <w:sz w:val="16"/>
          <w:u w:val="none"/>
        </w:rPr>
        <w:t xml:space="preserve">y 4, 2026. </w:t>
      </w:r>
      <w:r>
        <w:rPr>
          <w:rFonts w:ascii="Arial" w:eastAsia="Arial" w:hAnsi="Arial" w:cs="Arial"/>
          <w:b w:val="0"/>
          <w:i w:val="0"/>
          <w:color w:val="929292"/>
          <w:sz w:val="16"/>
          <w:u w:val="none"/>
        </w:rPr>
        <w:t>In addition, on March 1, 202</w:t>
      </w:r>
      <w:r>
        <w:rPr>
          <w:rFonts w:ascii="Arial" w:eastAsia="Arial" w:hAnsi="Arial" w:cs="Arial"/>
          <w:b w:val="0"/>
          <w:i w:val="0"/>
          <w:color w:val="929292"/>
          <w:sz w:val="16"/>
          <w:u w:val="none"/>
        </w:rPr>
        <w:t>1</w:t>
      </w:r>
      <w:r>
        <w:rPr>
          <w:rFonts w:ascii="Arial" w:eastAsia="Arial" w:hAnsi="Arial" w:cs="Arial"/>
          <w:b w:val="0"/>
          <w:i w:val="0"/>
          <w:color w:val="929292"/>
          <w:sz w:val="16"/>
          <w:u w:val="none"/>
        </w:rPr>
        <w:t>,</w:t>
      </w:r>
      <w:r>
        <w:rPr>
          <w:rFonts w:ascii="Arial" w:eastAsia="Arial" w:hAnsi="Arial" w:cs="Arial"/>
          <w:b w:val="0"/>
          <w:i w:val="0"/>
          <w:color w:val="929292"/>
          <w:sz w:val="16"/>
          <w:u w:val="none"/>
        </w:rPr>
        <w:t xml:space="preserve"> the Compensation Committee awarded Mr. Ni </w:t>
      </w:r>
      <w:r>
        <w:rPr>
          <w:rFonts w:ascii="Arial" w:eastAsia="Arial" w:hAnsi="Arial" w:cs="Arial"/>
          <w:b w:val="0"/>
          <w:i w:val="0"/>
          <w:color w:val="929292"/>
          <w:sz w:val="16"/>
          <w:u w:val="none"/>
        </w:rPr>
        <w:t>461</w:t>
      </w:r>
      <w:r>
        <w:rPr>
          <w:rFonts w:ascii="Arial" w:eastAsia="Arial" w:hAnsi="Arial" w:cs="Arial"/>
          <w:b w:val="0"/>
          <w:i w:val="0"/>
          <w:color w:val="929292"/>
          <w:sz w:val="16"/>
          <w:u w:val="none"/>
        </w:rPr>
        <w:t xml:space="preserve"> PSUs (target level) that were scheduled to vest following a performance period that ended on December 31, 202</w:t>
      </w:r>
      <w:r>
        <w:rPr>
          <w:rFonts w:ascii="Arial" w:eastAsia="Arial" w:hAnsi="Arial" w:cs="Arial"/>
          <w:b w:val="0"/>
          <w:i w:val="0"/>
          <w:color w:val="929292"/>
          <w:sz w:val="16"/>
          <w:u w:val="none"/>
        </w:rPr>
        <w:t>3</w:t>
      </w:r>
      <w:r>
        <w:rPr>
          <w:rFonts w:ascii="Arial" w:eastAsia="Arial" w:hAnsi="Arial" w:cs="Arial"/>
          <w:b w:val="0"/>
          <w:i w:val="0"/>
          <w:color w:val="929292"/>
          <w:sz w:val="16"/>
          <w:u w:val="none"/>
        </w:rPr>
        <w:t xml:space="preserve"> only if and to the extent the Company achieved certain levels of growth in </w:t>
      </w:r>
      <w:r>
        <w:rPr>
          <w:rFonts w:ascii="Arial" w:eastAsia="Arial" w:hAnsi="Arial" w:cs="Arial"/>
          <w:b w:val="0"/>
          <w:i w:val="0"/>
          <w:color w:val="929292"/>
          <w:sz w:val="16"/>
          <w:u w:val="none"/>
        </w:rPr>
        <w:t>FDBVPS</w:t>
      </w:r>
      <w:r>
        <w:rPr>
          <w:rFonts w:ascii="Arial" w:eastAsia="Arial" w:hAnsi="Arial" w:cs="Arial"/>
          <w:b w:val="0"/>
          <w:i w:val="0"/>
          <w:color w:val="929292"/>
          <w:sz w:val="16"/>
          <w:u w:val="none"/>
        </w:rPr>
        <w:t xml:space="preserve"> during such period. The performance objectives relating to book value per share did not meet threshold, and no PSUs vested in respect of that portion of the award.</w:t>
      </w:r>
    </w:p>
    <w:p>
      <w:pPr>
        <w:keepNext w:val="0"/>
        <w:keepLines w:val="0"/>
        <w:pageBreakBefore w:val="0"/>
        <w:widowControl/>
        <w:numPr>
          <w:ilvl w:val="0"/>
          <w:numId w:val="318"/>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Reflects (a) </w:t>
      </w:r>
      <w:r>
        <w:rPr>
          <w:rFonts w:ascii="Arial" w:eastAsia="Arial" w:hAnsi="Arial" w:cs="Arial"/>
          <w:b w:val="0"/>
          <w:i w:val="0"/>
          <w:color w:val="969698"/>
          <w:sz w:val="16"/>
          <w:u w:val="none"/>
        </w:rPr>
        <w:t>439</w:t>
      </w:r>
      <w:r>
        <w:rPr>
          <w:rFonts w:ascii="Arial" w:eastAsia="Arial" w:hAnsi="Arial" w:cs="Arial"/>
          <w:b w:val="0"/>
          <w:i w:val="0"/>
          <w:color w:val="969698"/>
          <w:sz w:val="16"/>
          <w:u w:val="none"/>
        </w:rPr>
        <w:t xml:space="preserve"> PSUs (</w:t>
      </w:r>
      <w:r>
        <w:rPr>
          <w:rFonts w:ascii="Arial" w:eastAsia="Arial" w:hAnsi="Arial" w:cs="Arial"/>
          <w:b w:val="0"/>
          <w:i w:val="0"/>
          <w:color w:val="969698"/>
          <w:sz w:val="16"/>
          <w:u w:val="none"/>
        </w:rPr>
        <w:t>60%</w:t>
      </w:r>
      <w:r>
        <w:rPr>
          <w:rFonts w:ascii="Arial" w:eastAsia="Arial" w:hAnsi="Arial" w:cs="Arial"/>
          <w:b w:val="0"/>
          <w:i w:val="0"/>
          <w:color w:val="969698"/>
          <w:sz w:val="16"/>
          <w:u w:val="none"/>
        </w:rPr>
        <w:t xml:space="preserve"> of target) that cliff vest following a three-year performance period that began on January 1, 202</w:t>
      </w:r>
      <w:r>
        <w:rPr>
          <w:rFonts w:ascii="Arial" w:eastAsia="Arial" w:hAnsi="Arial" w:cs="Arial"/>
          <w:b w:val="0"/>
          <w:i w:val="0"/>
          <w:color w:val="969698"/>
          <w:sz w:val="16"/>
          <w:u w:val="none"/>
        </w:rPr>
        <w:t>2</w:t>
      </w:r>
      <w:r>
        <w:rPr>
          <w:rFonts w:ascii="Arial" w:eastAsia="Arial" w:hAnsi="Arial" w:cs="Arial"/>
          <w:b w:val="0"/>
          <w:i w:val="0"/>
          <w:color w:val="969698"/>
          <w:sz w:val="16"/>
          <w:u w:val="none"/>
        </w:rPr>
        <w:t xml:space="preserve"> subject to the Company's achievement of certain levels of growth in </w:t>
      </w:r>
      <w:r>
        <w:rPr>
          <w:rFonts w:ascii="Arial" w:eastAsia="Arial" w:hAnsi="Arial" w:cs="Arial"/>
          <w:b w:val="0"/>
          <w:i w:val="0"/>
          <w:color w:val="969698"/>
          <w:sz w:val="16"/>
          <w:u w:val="none"/>
        </w:rPr>
        <w:t>FDBVPS</w:t>
      </w:r>
      <w:r>
        <w:rPr>
          <w:rFonts w:ascii="Arial" w:eastAsia="Arial" w:hAnsi="Arial" w:cs="Arial"/>
          <w:b w:val="0"/>
          <w:i w:val="0"/>
          <w:color w:val="969698"/>
          <w:sz w:val="16"/>
          <w:u w:val="none"/>
        </w:rPr>
        <w:t xml:space="preserve">; (b) </w:t>
      </w:r>
      <w:r>
        <w:rPr>
          <w:rFonts w:ascii="Arial" w:eastAsia="Arial" w:hAnsi="Arial" w:cs="Arial"/>
          <w:b w:val="0"/>
          <w:i w:val="0"/>
          <w:color w:val="969698"/>
          <w:sz w:val="16"/>
          <w:u w:val="none"/>
        </w:rPr>
        <w:t>731</w:t>
      </w:r>
      <w:r>
        <w:rPr>
          <w:rFonts w:ascii="Arial" w:eastAsia="Arial" w:hAnsi="Arial" w:cs="Arial"/>
          <w:b w:val="0"/>
          <w:i w:val="0"/>
          <w:color w:val="969698"/>
          <w:sz w:val="16"/>
          <w:u w:val="none"/>
        </w:rPr>
        <w:t xml:space="preserve"> PSUs (</w:t>
      </w:r>
      <w:r>
        <w:rPr>
          <w:rFonts w:ascii="Arial" w:eastAsia="Arial" w:hAnsi="Arial" w:cs="Arial"/>
          <w:b w:val="0"/>
          <w:i w:val="0"/>
          <w:color w:val="969698"/>
          <w:sz w:val="16"/>
          <w:u w:val="none"/>
        </w:rPr>
        <w:t>100%</w:t>
      </w:r>
      <w:r>
        <w:rPr>
          <w:rFonts w:ascii="Arial" w:eastAsia="Arial" w:hAnsi="Arial" w:cs="Arial"/>
          <w:b w:val="0"/>
          <w:i w:val="0"/>
          <w:color w:val="969698"/>
          <w:sz w:val="16"/>
          <w:u w:val="none"/>
        </w:rPr>
        <w:t xml:space="preserve"> of target) that cliff vest following a three-year performance period that began on January 1, 202</w:t>
      </w:r>
      <w:r>
        <w:rPr>
          <w:rFonts w:ascii="Arial" w:eastAsia="Arial" w:hAnsi="Arial" w:cs="Arial"/>
          <w:b w:val="0"/>
          <w:i w:val="0"/>
          <w:color w:val="969698"/>
          <w:sz w:val="16"/>
          <w:u w:val="none"/>
        </w:rPr>
        <w:t>2</w:t>
      </w:r>
      <w:r>
        <w:rPr>
          <w:rFonts w:ascii="Arial" w:eastAsia="Arial" w:hAnsi="Arial" w:cs="Arial"/>
          <w:b w:val="0"/>
          <w:i w:val="0"/>
          <w:color w:val="969698"/>
          <w:sz w:val="16"/>
          <w:u w:val="none"/>
        </w:rPr>
        <w:t xml:space="preserve"> subject to the Company's achievement of certain levels of </w:t>
      </w:r>
      <w:r>
        <w:rPr>
          <w:rFonts w:ascii="Arial" w:eastAsia="Arial" w:hAnsi="Arial" w:cs="Arial"/>
          <w:b w:val="0"/>
          <w:i w:val="0"/>
          <w:color w:val="969698"/>
          <w:sz w:val="16"/>
          <w:u w:val="none"/>
        </w:rPr>
        <w:t xml:space="preserve">Adjusted </w:t>
      </w:r>
      <w:r>
        <w:rPr>
          <w:rFonts w:ascii="Arial" w:eastAsia="Arial" w:hAnsi="Arial" w:cs="Arial"/>
          <w:b w:val="0"/>
          <w:i w:val="0"/>
          <w:color w:val="969698"/>
          <w:sz w:val="16"/>
          <w:u w:val="none"/>
        </w:rPr>
        <w:t xml:space="preserve">ROE; (c) </w:t>
      </w:r>
      <w:r>
        <w:rPr>
          <w:rFonts w:ascii="Arial" w:eastAsia="Arial" w:hAnsi="Arial" w:cs="Arial"/>
          <w:b w:val="0"/>
          <w:i w:val="0"/>
          <w:color w:val="969698"/>
          <w:sz w:val="16"/>
          <w:u w:val="none"/>
        </w:rPr>
        <w:t>2,198</w:t>
      </w:r>
      <w:r>
        <w:rPr>
          <w:rFonts w:ascii="Arial" w:eastAsia="Arial" w:hAnsi="Arial" w:cs="Arial"/>
          <w:b w:val="0"/>
          <w:i w:val="0"/>
          <w:color w:val="969698"/>
          <w:sz w:val="16"/>
          <w:u w:val="none"/>
        </w:rPr>
        <w:t xml:space="preserve"> PSUs (</w:t>
      </w:r>
      <w:r>
        <w:rPr>
          <w:rFonts w:ascii="Arial" w:eastAsia="Arial" w:hAnsi="Arial" w:cs="Arial"/>
          <w:b w:val="0"/>
          <w:i w:val="0"/>
          <w:color w:val="969698"/>
          <w:sz w:val="16"/>
          <w:u w:val="none"/>
        </w:rPr>
        <w:t>200%</w:t>
      </w:r>
      <w:r>
        <w:rPr>
          <w:rFonts w:ascii="Arial" w:eastAsia="Arial" w:hAnsi="Arial" w:cs="Arial"/>
          <w:b w:val="0"/>
          <w:i w:val="0"/>
          <w:color w:val="969698"/>
          <w:sz w:val="16"/>
          <w:u w:val="none"/>
        </w:rPr>
        <w:t xml:space="preserve"> of target) that cliff vest following a three-year performance period that began on January 1, 202</w:t>
      </w:r>
      <w:r>
        <w:rPr>
          <w:rFonts w:ascii="Arial" w:eastAsia="Arial" w:hAnsi="Arial" w:cs="Arial"/>
          <w:b w:val="0"/>
          <w:i w:val="0"/>
          <w:color w:val="969698"/>
          <w:sz w:val="16"/>
          <w:u w:val="none"/>
        </w:rPr>
        <w:t>3</w:t>
      </w:r>
      <w:r>
        <w:rPr>
          <w:rFonts w:ascii="Arial" w:eastAsia="Arial" w:hAnsi="Arial" w:cs="Arial"/>
          <w:b w:val="0"/>
          <w:i w:val="0"/>
          <w:color w:val="969698"/>
          <w:sz w:val="16"/>
          <w:u w:val="none"/>
        </w:rPr>
        <w:t xml:space="preserve"> subject to the Company's achievement of certain levels of growth in </w:t>
      </w:r>
      <w:r>
        <w:rPr>
          <w:rFonts w:ascii="Arial" w:eastAsia="Arial" w:hAnsi="Arial" w:cs="Arial"/>
          <w:b w:val="0"/>
          <w:i w:val="0"/>
          <w:color w:val="969698"/>
          <w:sz w:val="16"/>
          <w:u w:val="none"/>
        </w:rPr>
        <w:t>FDBVPS</w:t>
      </w:r>
      <w:r>
        <w:rPr>
          <w:rFonts w:ascii="Arial" w:eastAsia="Arial" w:hAnsi="Arial" w:cs="Arial"/>
          <w:b w:val="0"/>
          <w:i w:val="0"/>
          <w:color w:val="969698"/>
          <w:sz w:val="16"/>
          <w:u w:val="none"/>
        </w:rPr>
        <w:t xml:space="preserve">; and (d) </w:t>
      </w:r>
      <w:r>
        <w:rPr>
          <w:rFonts w:ascii="Arial" w:eastAsia="Arial" w:hAnsi="Arial" w:cs="Arial"/>
          <w:b w:val="0"/>
          <w:i w:val="0"/>
          <w:color w:val="969698"/>
          <w:sz w:val="16"/>
          <w:u w:val="none"/>
        </w:rPr>
        <w:t>2,200</w:t>
      </w:r>
      <w:r>
        <w:rPr>
          <w:rFonts w:ascii="Arial" w:eastAsia="Arial" w:hAnsi="Arial" w:cs="Arial"/>
          <w:b w:val="0"/>
          <w:i w:val="0"/>
          <w:color w:val="969698"/>
          <w:sz w:val="16"/>
          <w:u w:val="none"/>
        </w:rPr>
        <w:t xml:space="preserve"> PSUs (</w:t>
      </w:r>
      <w:r>
        <w:rPr>
          <w:rFonts w:ascii="Arial" w:eastAsia="Arial" w:hAnsi="Arial" w:cs="Arial"/>
          <w:b w:val="0"/>
          <w:i w:val="0"/>
          <w:color w:val="969698"/>
          <w:sz w:val="16"/>
          <w:u w:val="none"/>
        </w:rPr>
        <w:t>200%</w:t>
      </w:r>
      <w:r>
        <w:rPr>
          <w:rFonts w:ascii="Arial" w:eastAsia="Arial" w:hAnsi="Arial" w:cs="Arial"/>
          <w:b w:val="0"/>
          <w:i w:val="0"/>
          <w:color w:val="969698"/>
          <w:sz w:val="16"/>
          <w:u w:val="none"/>
        </w:rPr>
        <w:t xml:space="preserve"> of target) that cliff vest following a three-year performance period that began on January 1, 202</w:t>
      </w:r>
      <w:r>
        <w:rPr>
          <w:rFonts w:ascii="Arial" w:eastAsia="Arial" w:hAnsi="Arial" w:cs="Arial"/>
          <w:b w:val="0"/>
          <w:i w:val="0"/>
          <w:color w:val="969698"/>
          <w:sz w:val="16"/>
          <w:u w:val="none"/>
        </w:rPr>
        <w:t>3</w:t>
      </w:r>
      <w:r>
        <w:rPr>
          <w:rFonts w:ascii="Arial" w:eastAsia="Arial" w:hAnsi="Arial" w:cs="Arial"/>
          <w:b w:val="0"/>
          <w:i w:val="0"/>
          <w:color w:val="969698"/>
          <w:sz w:val="16"/>
          <w:u w:val="none"/>
        </w:rPr>
        <w:t xml:space="preserve"> subject to the Company's achievement of certain levels of </w:t>
      </w:r>
      <w:r>
        <w:rPr>
          <w:rFonts w:ascii="Arial" w:eastAsia="Arial" w:hAnsi="Arial" w:cs="Arial"/>
          <w:b w:val="0"/>
          <w:i w:val="0"/>
          <w:color w:val="969698"/>
          <w:sz w:val="16"/>
          <w:u w:val="none"/>
        </w:rPr>
        <w:t>Adjusted</w:t>
      </w:r>
      <w:r>
        <w:rPr>
          <w:rFonts w:ascii="Arial" w:eastAsia="Arial" w:hAnsi="Arial" w:cs="Arial"/>
          <w:b w:val="0"/>
          <w:i w:val="0"/>
          <w:color w:val="969698"/>
          <w:sz w:val="16"/>
          <w:u w:val="none"/>
        </w:rPr>
        <w:t xml:space="preserve"> ROE. </w:t>
      </w:r>
    </w:p>
    <w:p>
      <w:pPr>
        <w:keepNext w:val="0"/>
        <w:keepLines w:val="0"/>
        <w:pageBreakBefore w:val="0"/>
        <w:widowControl/>
        <w:numPr>
          <w:ilvl w:val="0"/>
          <w:numId w:val="319"/>
        </w:numPr>
        <w:spacing w:before="0" w:after="60" w:line="288" w:lineRule="auto"/>
        <w:ind w:left="360" w:right="0" w:hanging="360"/>
        <w:jc w:val="both"/>
        <w:outlineLvl w:val="9"/>
        <w:rPr>
          <w:rFonts w:ascii="Arial" w:eastAsia="Arial" w:hAnsi="Arial" w:cs="Arial"/>
          <w:b w:val="0"/>
          <w:i w:val="0"/>
          <w:color w:val="929292"/>
          <w:sz w:val="16"/>
          <w:u w:val="none"/>
        </w:rPr>
      </w:pPr>
      <w:r>
        <w:rPr>
          <w:rFonts w:ascii="Arial" w:eastAsia="Arial" w:hAnsi="Arial" w:cs="Arial"/>
          <w:b w:val="0"/>
          <w:i w:val="0"/>
          <w:color w:val="929292"/>
          <w:sz w:val="16"/>
          <w:u w:val="none"/>
        </w:rPr>
        <w:t xml:space="preserve">Reflects (a) </w:t>
      </w:r>
      <w:r>
        <w:rPr>
          <w:rFonts w:ascii="Arial" w:eastAsia="Arial" w:hAnsi="Arial" w:cs="Arial"/>
          <w:b w:val="0"/>
          <w:i w:val="0"/>
          <w:color w:val="929292"/>
          <w:sz w:val="16"/>
          <w:u w:val="none"/>
        </w:rPr>
        <w:t>479</w:t>
      </w:r>
      <w:r>
        <w:rPr>
          <w:rFonts w:ascii="Arial" w:eastAsia="Arial" w:hAnsi="Arial" w:cs="Arial"/>
          <w:b w:val="0"/>
          <w:i w:val="0"/>
          <w:color w:val="929292"/>
          <w:sz w:val="16"/>
          <w:u w:val="none"/>
        </w:rPr>
        <w:t xml:space="preserve"> PSUs that cliff vested on March 1, 202</w:t>
      </w:r>
      <w:r>
        <w:rPr>
          <w:rFonts w:ascii="Arial" w:eastAsia="Arial" w:hAnsi="Arial" w:cs="Arial"/>
          <w:b w:val="0"/>
          <w:i w:val="0"/>
          <w:color w:val="929292"/>
          <w:sz w:val="16"/>
          <w:u w:val="none"/>
        </w:rPr>
        <w:t>4</w:t>
      </w:r>
      <w:r>
        <w:rPr>
          <w:rFonts w:ascii="Arial" w:eastAsia="Arial" w:hAnsi="Arial" w:cs="Arial"/>
          <w:b w:val="0"/>
          <w:i w:val="0"/>
          <w:color w:val="929292"/>
          <w:sz w:val="16"/>
          <w:u w:val="none"/>
        </w:rPr>
        <w:t xml:space="preserve"> following a three-year performance period that ended on December 31, 202</w:t>
      </w:r>
      <w:r>
        <w:rPr>
          <w:rFonts w:ascii="Arial" w:eastAsia="Arial" w:hAnsi="Arial" w:cs="Arial"/>
          <w:b w:val="0"/>
          <w:i w:val="0"/>
          <w:color w:val="929292"/>
          <w:sz w:val="16"/>
          <w:u w:val="none"/>
        </w:rPr>
        <w:t>3</w:t>
      </w:r>
      <w:r>
        <w:rPr>
          <w:rFonts w:ascii="Arial" w:eastAsia="Arial" w:hAnsi="Arial" w:cs="Arial"/>
          <w:b w:val="0"/>
          <w:i w:val="0"/>
          <w:color w:val="929292"/>
          <w:sz w:val="16"/>
          <w:u w:val="none"/>
        </w:rPr>
        <w:t xml:space="preserve"> upon the Company's achievement of certain levels of Operating Income ROE; (b) </w:t>
      </w:r>
      <w:r>
        <w:rPr>
          <w:rFonts w:ascii="Arial" w:eastAsia="Arial" w:hAnsi="Arial" w:cs="Arial"/>
          <w:b w:val="0"/>
          <w:i w:val="0"/>
          <w:color w:val="929292"/>
          <w:sz w:val="16"/>
          <w:u w:val="none"/>
        </w:rPr>
        <w:t>537</w:t>
      </w:r>
      <w:r>
        <w:rPr>
          <w:rFonts w:ascii="Arial" w:eastAsia="Arial" w:hAnsi="Arial" w:cs="Arial"/>
          <w:b w:val="0"/>
          <w:i w:val="0"/>
          <w:color w:val="929292"/>
          <w:sz w:val="16"/>
          <w:u w:val="none"/>
        </w:rPr>
        <w:t xml:space="preserve"> RSUs scheduled to vest </w:t>
      </w:r>
      <w:r>
        <w:rPr>
          <w:rFonts w:ascii="Arial" w:eastAsia="Arial" w:hAnsi="Arial" w:cs="Arial"/>
          <w:b w:val="0"/>
          <w:i w:val="0"/>
          <w:color w:val="929292"/>
          <w:sz w:val="16"/>
          <w:u w:val="none"/>
        </w:rPr>
        <w:t xml:space="preserve">in two approximately equal installments </w:t>
      </w:r>
      <w:r>
        <w:rPr>
          <w:rFonts w:ascii="Arial" w:eastAsia="Arial" w:hAnsi="Arial" w:cs="Arial"/>
          <w:b w:val="0"/>
          <w:i w:val="0"/>
          <w:color w:val="929292"/>
          <w:sz w:val="16"/>
          <w:u w:val="none"/>
        </w:rPr>
        <w:t xml:space="preserve">beginning </w:t>
      </w:r>
      <w:r>
        <w:rPr>
          <w:rFonts w:ascii="Arial" w:eastAsia="Arial" w:hAnsi="Arial" w:cs="Arial"/>
          <w:b w:val="0"/>
          <w:i w:val="0"/>
          <w:color w:val="929292"/>
          <w:sz w:val="16"/>
          <w:u w:val="none"/>
        </w:rPr>
        <w:t>on March 20, 202</w:t>
      </w:r>
      <w:r>
        <w:rPr>
          <w:rFonts w:ascii="Arial" w:eastAsia="Arial" w:hAnsi="Arial" w:cs="Arial"/>
          <w:b w:val="0"/>
          <w:i w:val="0"/>
          <w:color w:val="929292"/>
          <w:sz w:val="16"/>
          <w:u w:val="none"/>
        </w:rPr>
        <w:t>4</w:t>
      </w:r>
      <w:r>
        <w:rPr>
          <w:rFonts w:ascii="Arial" w:eastAsia="Arial" w:hAnsi="Arial" w:cs="Arial"/>
          <w:b w:val="0"/>
          <w:i w:val="0"/>
          <w:color w:val="929292"/>
          <w:sz w:val="16"/>
          <w:u w:val="none"/>
        </w:rPr>
        <w:t xml:space="preserve">; (c) </w:t>
      </w:r>
      <w:r>
        <w:rPr>
          <w:rFonts w:ascii="Arial" w:eastAsia="Arial" w:hAnsi="Arial" w:cs="Arial"/>
          <w:b w:val="0"/>
          <w:i w:val="0"/>
          <w:color w:val="929292"/>
          <w:sz w:val="16"/>
          <w:u w:val="none"/>
        </w:rPr>
        <w:t>970</w:t>
      </w:r>
      <w:r>
        <w:rPr>
          <w:rFonts w:ascii="Arial" w:eastAsia="Arial" w:hAnsi="Arial" w:cs="Arial"/>
          <w:b w:val="0"/>
          <w:i w:val="0"/>
          <w:color w:val="929292"/>
          <w:sz w:val="16"/>
          <w:u w:val="none"/>
        </w:rPr>
        <w:t xml:space="preserve"> RSUs scheduled to vest in three approximately equal annual installments beginning on March 20, 202</w:t>
      </w:r>
      <w:r>
        <w:rPr>
          <w:rFonts w:ascii="Arial" w:eastAsia="Arial" w:hAnsi="Arial" w:cs="Arial"/>
          <w:b w:val="0"/>
          <w:i w:val="0"/>
          <w:color w:val="929292"/>
          <w:sz w:val="16"/>
          <w:u w:val="none"/>
        </w:rPr>
        <w:t>4</w:t>
      </w:r>
      <w:r>
        <w:rPr>
          <w:rFonts w:ascii="Arial" w:eastAsia="Arial" w:hAnsi="Arial" w:cs="Arial"/>
          <w:b w:val="0"/>
          <w:i w:val="0"/>
          <w:color w:val="929292"/>
          <w:sz w:val="16"/>
          <w:u w:val="none"/>
        </w:rPr>
        <w:t xml:space="preserve">; (d) </w:t>
      </w:r>
      <w:r>
        <w:rPr>
          <w:rFonts w:ascii="Arial" w:eastAsia="Arial" w:hAnsi="Arial" w:cs="Arial"/>
          <w:b w:val="0"/>
          <w:i w:val="0"/>
          <w:color w:val="929292"/>
          <w:sz w:val="16"/>
          <w:u w:val="none"/>
        </w:rPr>
        <w:t>208</w:t>
      </w:r>
      <w:r>
        <w:rPr>
          <w:rFonts w:ascii="Arial" w:eastAsia="Arial" w:hAnsi="Arial" w:cs="Arial"/>
          <w:b w:val="0"/>
          <w:i w:val="0"/>
          <w:color w:val="929292"/>
          <w:sz w:val="16"/>
          <w:u w:val="none"/>
        </w:rPr>
        <w:t xml:space="preserve"> RSUs scheduled </w:t>
      </w:r>
      <w:r>
        <w:rPr>
          <w:rFonts w:ascii="Arial" w:eastAsia="Arial" w:hAnsi="Arial" w:cs="Arial"/>
          <w:b w:val="0"/>
          <w:i w:val="0"/>
          <w:color w:val="929292"/>
          <w:sz w:val="16"/>
          <w:u w:val="none"/>
        </w:rPr>
        <w:t>that</w:t>
      </w:r>
      <w:r>
        <w:rPr>
          <w:rFonts w:ascii="Arial" w:eastAsia="Arial" w:hAnsi="Arial" w:cs="Arial"/>
          <w:b w:val="0"/>
          <w:i w:val="0"/>
          <w:color w:val="929292"/>
          <w:sz w:val="16"/>
          <w:u w:val="none"/>
        </w:rPr>
        <w:t xml:space="preserve"> vest</w:t>
      </w:r>
      <w:r>
        <w:rPr>
          <w:rFonts w:ascii="Arial" w:eastAsia="Arial" w:hAnsi="Arial" w:cs="Arial"/>
          <w:b w:val="0"/>
          <w:i w:val="0"/>
          <w:color w:val="929292"/>
          <w:sz w:val="16"/>
          <w:u w:val="none"/>
        </w:rPr>
        <w:t xml:space="preserve"> on March 30, 202</w:t>
      </w:r>
      <w:r>
        <w:rPr>
          <w:rFonts w:ascii="Arial" w:eastAsia="Arial" w:hAnsi="Arial" w:cs="Arial"/>
          <w:b w:val="0"/>
          <w:i w:val="0"/>
          <w:color w:val="929292"/>
          <w:sz w:val="16"/>
          <w:u w:val="none"/>
        </w:rPr>
        <w:t>4</w:t>
      </w:r>
      <w:r>
        <w:rPr>
          <w:rFonts w:ascii="Arial" w:eastAsia="Arial" w:hAnsi="Arial" w:cs="Arial"/>
          <w:b w:val="0"/>
          <w:i w:val="0"/>
          <w:color w:val="929292"/>
          <w:sz w:val="16"/>
          <w:u w:val="none"/>
        </w:rPr>
        <w:t xml:space="preserve">; and (e) and </w:t>
      </w:r>
      <w:r>
        <w:rPr>
          <w:rFonts w:ascii="Arial" w:eastAsia="Arial" w:hAnsi="Arial" w:cs="Arial"/>
          <w:b w:val="0"/>
          <w:i w:val="0"/>
          <w:color w:val="929292"/>
          <w:sz w:val="16"/>
          <w:u w:val="none"/>
        </w:rPr>
        <w:t>12,828</w:t>
      </w:r>
      <w:r>
        <w:rPr>
          <w:rFonts w:ascii="Arial" w:eastAsia="Arial" w:hAnsi="Arial" w:cs="Arial"/>
          <w:b w:val="0"/>
          <w:i w:val="0"/>
          <w:color w:val="929292"/>
          <w:sz w:val="16"/>
          <w:u w:val="none"/>
        </w:rPr>
        <w:t xml:space="preserve"> RSUs scheduled to vest on </w:t>
      </w:r>
      <w:r>
        <w:rPr>
          <w:rFonts w:ascii="Arial" w:eastAsia="Arial" w:hAnsi="Arial" w:cs="Arial"/>
          <w:b w:val="0"/>
          <w:i w:val="0"/>
          <w:color w:val="929292"/>
          <w:sz w:val="16"/>
          <w:u w:val="none"/>
        </w:rPr>
        <w:t>July 1</w:t>
      </w:r>
      <w:r>
        <w:rPr>
          <w:rFonts w:ascii="Arial" w:eastAsia="Arial" w:hAnsi="Arial" w:cs="Arial"/>
          <w:b w:val="0"/>
          <w:i w:val="0"/>
          <w:color w:val="929292"/>
          <w:sz w:val="16"/>
          <w:u w:val="none"/>
        </w:rPr>
        <w:t>, 2025. In addition, on March 1, 202</w:t>
      </w:r>
      <w:r>
        <w:rPr>
          <w:rFonts w:ascii="Arial" w:eastAsia="Arial" w:hAnsi="Arial" w:cs="Arial"/>
          <w:b w:val="0"/>
          <w:i w:val="0"/>
          <w:color w:val="929292"/>
          <w:sz w:val="16"/>
          <w:u w:val="none"/>
        </w:rPr>
        <w:t>1</w:t>
      </w:r>
      <w:r>
        <w:rPr>
          <w:rFonts w:ascii="Arial" w:eastAsia="Arial" w:hAnsi="Arial" w:cs="Arial"/>
          <w:b w:val="0"/>
          <w:i w:val="0"/>
          <w:color w:val="929292"/>
          <w:sz w:val="16"/>
          <w:u w:val="none"/>
        </w:rPr>
        <w:t xml:space="preserve">,  the Compensation Committee awarded Mr. </w:t>
      </w:r>
      <w:r>
        <w:rPr>
          <w:rFonts w:ascii="Arial" w:eastAsia="Arial" w:hAnsi="Arial" w:cs="Arial"/>
          <w:b w:val="0"/>
          <w:i w:val="0"/>
          <w:color w:val="929292"/>
          <w:sz w:val="16"/>
          <w:u w:val="none"/>
        </w:rPr>
        <w:t>B</w:t>
      </w:r>
      <w:r>
        <w:rPr>
          <w:rFonts w:ascii="Arial" w:eastAsia="Arial" w:hAnsi="Arial" w:cs="Arial"/>
          <w:b w:val="0"/>
          <w:i w:val="0"/>
          <w:color w:val="929292"/>
          <w:sz w:val="16"/>
          <w:u w:val="none"/>
        </w:rPr>
        <w:t>rockman</w:t>
      </w:r>
      <w:r>
        <w:rPr>
          <w:rFonts w:ascii="Arial" w:eastAsia="Arial" w:hAnsi="Arial" w:cs="Arial"/>
          <w:b w:val="0"/>
          <w:i w:val="0"/>
          <w:color w:val="929292"/>
          <w:sz w:val="16"/>
          <w:u w:val="none"/>
        </w:rPr>
        <w:t xml:space="preserve"> </w:t>
      </w:r>
      <w:r>
        <w:rPr>
          <w:rFonts w:ascii="Arial" w:eastAsia="Arial" w:hAnsi="Arial" w:cs="Arial"/>
          <w:b w:val="0"/>
          <w:i w:val="0"/>
          <w:color w:val="929292"/>
          <w:sz w:val="16"/>
          <w:u w:val="none"/>
        </w:rPr>
        <w:t>729</w:t>
      </w:r>
      <w:r>
        <w:rPr>
          <w:rFonts w:ascii="Arial" w:eastAsia="Arial" w:hAnsi="Arial" w:cs="Arial"/>
          <w:b w:val="0"/>
          <w:i w:val="0"/>
          <w:color w:val="929292"/>
          <w:sz w:val="16"/>
          <w:u w:val="none"/>
        </w:rPr>
        <w:t xml:space="preserve"> PSUs (target level) that were scheduled to vest following a performance period that ended on December 31, 202</w:t>
      </w:r>
      <w:r>
        <w:rPr>
          <w:rFonts w:ascii="Arial" w:eastAsia="Arial" w:hAnsi="Arial" w:cs="Arial"/>
          <w:b w:val="0"/>
          <w:i w:val="0"/>
          <w:color w:val="929292"/>
          <w:sz w:val="16"/>
          <w:u w:val="none"/>
        </w:rPr>
        <w:t>3</w:t>
      </w:r>
      <w:r>
        <w:rPr>
          <w:rFonts w:ascii="Arial" w:eastAsia="Arial" w:hAnsi="Arial" w:cs="Arial"/>
          <w:b w:val="0"/>
          <w:i w:val="0"/>
          <w:color w:val="929292"/>
          <w:sz w:val="16"/>
          <w:u w:val="none"/>
        </w:rPr>
        <w:t xml:space="preserve"> only if and to the extent the Company achieved certain levels of growth in </w:t>
      </w:r>
      <w:r>
        <w:rPr>
          <w:rFonts w:ascii="Arial" w:eastAsia="Arial" w:hAnsi="Arial" w:cs="Arial"/>
          <w:b w:val="0"/>
          <w:i w:val="0"/>
          <w:color w:val="929292"/>
          <w:sz w:val="16"/>
          <w:u w:val="none"/>
        </w:rPr>
        <w:t>FDBVPS</w:t>
      </w:r>
      <w:r>
        <w:rPr>
          <w:rFonts w:ascii="Arial" w:eastAsia="Arial" w:hAnsi="Arial" w:cs="Arial"/>
          <w:b w:val="0"/>
          <w:i w:val="0"/>
          <w:color w:val="929292"/>
          <w:sz w:val="16"/>
          <w:u w:val="none"/>
        </w:rPr>
        <w:t xml:space="preserve"> during such period. The performance objectives relating to</w:t>
      </w:r>
      <w:r>
        <w:rPr>
          <w:rFonts w:ascii="Arial" w:eastAsia="Arial" w:hAnsi="Arial" w:cs="Arial"/>
          <w:b w:val="0"/>
          <w:i w:val="0"/>
          <w:color w:val="929292"/>
          <w:sz w:val="16"/>
          <w:u w:val="none"/>
        </w:rPr>
        <w:t xml:space="preserve"> FDBVPS</w:t>
      </w:r>
      <w:r>
        <w:rPr>
          <w:rFonts w:ascii="Arial" w:eastAsia="Arial" w:hAnsi="Arial" w:cs="Arial"/>
          <w:b w:val="0"/>
          <w:i w:val="0"/>
          <w:color w:val="929292"/>
          <w:sz w:val="16"/>
          <w:u w:val="none"/>
        </w:rPr>
        <w:t xml:space="preserve"> did not meet threshold, and no PSUs vested in respect of that portion of the award. </w:t>
      </w:r>
    </w:p>
    <w:p>
      <w:pPr>
        <w:keepNext w:val="0"/>
        <w:keepLines w:val="0"/>
        <w:pageBreakBefore w:val="0"/>
        <w:widowControl/>
        <w:numPr>
          <w:ilvl w:val="0"/>
          <w:numId w:val="319"/>
        </w:numPr>
        <w:spacing w:before="0" w:after="60" w:line="288" w:lineRule="auto"/>
        <w:ind w:left="360" w:right="0" w:hanging="360"/>
        <w:jc w:val="both"/>
        <w:outlineLvl w:val="9"/>
        <w:rPr>
          <w:rFonts w:ascii="Arial" w:eastAsia="Arial" w:hAnsi="Arial" w:cs="Arial"/>
          <w:b w:val="0"/>
          <w:i w:val="0"/>
          <w:color w:val="929292"/>
          <w:sz w:val="16"/>
          <w:u w:val="none"/>
        </w:rPr>
      </w:pPr>
      <w:r>
        <w:rPr>
          <w:rFonts w:ascii="Arial" w:eastAsia="Arial" w:hAnsi="Arial" w:cs="Arial"/>
          <w:b w:val="0"/>
          <w:i w:val="0"/>
          <w:color w:val="929292"/>
          <w:sz w:val="16"/>
          <w:u w:val="none"/>
        </w:rPr>
        <w:t xml:space="preserve">Reflects (a) </w:t>
      </w:r>
      <w:r>
        <w:rPr>
          <w:rFonts w:ascii="Arial" w:eastAsia="Arial" w:hAnsi="Arial" w:cs="Arial"/>
          <w:b w:val="0"/>
          <w:i w:val="0"/>
          <w:color w:val="929292"/>
          <w:sz w:val="16"/>
          <w:u w:val="none"/>
        </w:rPr>
        <w:t>563</w:t>
      </w:r>
      <w:r>
        <w:rPr>
          <w:rFonts w:ascii="Arial" w:eastAsia="Arial" w:hAnsi="Arial" w:cs="Arial"/>
          <w:b w:val="0"/>
          <w:i w:val="0"/>
          <w:color w:val="929292"/>
          <w:sz w:val="16"/>
          <w:u w:val="none"/>
        </w:rPr>
        <w:t xml:space="preserve"> PSUs (</w:t>
      </w:r>
      <w:r>
        <w:rPr>
          <w:rFonts w:ascii="Arial" w:eastAsia="Arial" w:hAnsi="Arial" w:cs="Arial"/>
          <w:b w:val="0"/>
          <w:i w:val="0"/>
          <w:color w:val="929292"/>
          <w:sz w:val="16"/>
          <w:u w:val="none"/>
        </w:rPr>
        <w:t>60%</w:t>
      </w:r>
      <w:r>
        <w:rPr>
          <w:rFonts w:ascii="Arial" w:eastAsia="Arial" w:hAnsi="Arial" w:cs="Arial"/>
          <w:b w:val="0"/>
          <w:i w:val="0"/>
          <w:color w:val="929292"/>
          <w:sz w:val="16"/>
          <w:u w:val="none"/>
        </w:rPr>
        <w:t xml:space="preserve"> of target) that cliff vest following a three-year performance period that began on January 1, 202</w:t>
      </w:r>
      <w:r>
        <w:rPr>
          <w:rFonts w:ascii="Arial" w:eastAsia="Arial" w:hAnsi="Arial" w:cs="Arial"/>
          <w:b w:val="0"/>
          <w:i w:val="0"/>
          <w:color w:val="929292"/>
          <w:sz w:val="16"/>
          <w:u w:val="none"/>
        </w:rPr>
        <w:t>2</w:t>
      </w:r>
      <w:r>
        <w:rPr>
          <w:rFonts w:ascii="Arial" w:eastAsia="Arial" w:hAnsi="Arial" w:cs="Arial"/>
          <w:b w:val="0"/>
          <w:i w:val="0"/>
          <w:color w:val="929292"/>
          <w:sz w:val="16"/>
          <w:u w:val="none"/>
        </w:rPr>
        <w:t xml:space="preserve"> subject to the Company's achievement of certain levels of growth in </w:t>
      </w:r>
      <w:r>
        <w:rPr>
          <w:rFonts w:ascii="Arial" w:eastAsia="Arial" w:hAnsi="Arial" w:cs="Arial"/>
          <w:b w:val="0"/>
          <w:i w:val="0"/>
          <w:color w:val="929292"/>
          <w:sz w:val="16"/>
          <w:u w:val="none"/>
        </w:rPr>
        <w:t>FDBVPS</w:t>
      </w:r>
      <w:r>
        <w:rPr>
          <w:rFonts w:ascii="Arial" w:eastAsia="Arial" w:hAnsi="Arial" w:cs="Arial"/>
          <w:b w:val="0"/>
          <w:i w:val="0"/>
          <w:color w:val="929292"/>
          <w:sz w:val="16"/>
          <w:u w:val="none"/>
        </w:rPr>
        <w:t xml:space="preserve">; (b) </w:t>
      </w:r>
      <w:r>
        <w:rPr>
          <w:rFonts w:ascii="Arial" w:eastAsia="Arial" w:hAnsi="Arial" w:cs="Arial"/>
          <w:b w:val="0"/>
          <w:i w:val="0"/>
          <w:color w:val="929292"/>
          <w:sz w:val="16"/>
          <w:u w:val="none"/>
        </w:rPr>
        <w:t>939</w:t>
      </w:r>
      <w:r>
        <w:rPr>
          <w:rFonts w:ascii="Arial" w:eastAsia="Arial" w:hAnsi="Arial" w:cs="Arial"/>
          <w:b w:val="0"/>
          <w:i w:val="0"/>
          <w:color w:val="929292"/>
          <w:sz w:val="16"/>
          <w:u w:val="none"/>
        </w:rPr>
        <w:t xml:space="preserve"> PSUs (</w:t>
      </w:r>
      <w:r>
        <w:rPr>
          <w:rFonts w:ascii="Arial" w:eastAsia="Arial" w:hAnsi="Arial" w:cs="Arial"/>
          <w:b w:val="0"/>
          <w:i w:val="0"/>
          <w:color w:val="929292"/>
          <w:sz w:val="16"/>
          <w:u w:val="none"/>
        </w:rPr>
        <w:t>100%</w:t>
      </w:r>
      <w:r>
        <w:rPr>
          <w:rFonts w:ascii="Arial" w:eastAsia="Arial" w:hAnsi="Arial" w:cs="Arial"/>
          <w:b w:val="0"/>
          <w:i w:val="0"/>
          <w:color w:val="929292"/>
          <w:sz w:val="16"/>
          <w:u w:val="none"/>
        </w:rPr>
        <w:t xml:space="preserve"> of target) that cliff vest following a three-year performance period that began on January 1, 202</w:t>
      </w:r>
      <w:r>
        <w:rPr>
          <w:rFonts w:ascii="Arial" w:eastAsia="Arial" w:hAnsi="Arial" w:cs="Arial"/>
          <w:b w:val="0"/>
          <w:i w:val="0"/>
          <w:color w:val="929292"/>
          <w:sz w:val="16"/>
          <w:u w:val="none"/>
        </w:rPr>
        <w:t>2</w:t>
      </w:r>
      <w:r>
        <w:rPr>
          <w:rFonts w:ascii="Arial" w:eastAsia="Arial" w:hAnsi="Arial" w:cs="Arial"/>
          <w:b w:val="0"/>
          <w:i w:val="0"/>
          <w:color w:val="929292"/>
          <w:sz w:val="16"/>
          <w:u w:val="none"/>
        </w:rPr>
        <w:t xml:space="preserve"> subject to the Company's achievement of certain levels of </w:t>
      </w:r>
      <w:r>
        <w:rPr>
          <w:rFonts w:ascii="Arial" w:eastAsia="Arial" w:hAnsi="Arial" w:cs="Arial"/>
          <w:b w:val="0"/>
          <w:i w:val="0"/>
          <w:color w:val="929292"/>
          <w:sz w:val="16"/>
          <w:u w:val="none"/>
        </w:rPr>
        <w:t>Adjusted</w:t>
      </w:r>
      <w:r>
        <w:rPr>
          <w:rFonts w:ascii="Arial" w:eastAsia="Arial" w:hAnsi="Arial" w:cs="Arial"/>
          <w:b w:val="0"/>
          <w:i w:val="0"/>
          <w:color w:val="929292"/>
          <w:sz w:val="16"/>
          <w:u w:val="none"/>
        </w:rPr>
        <w:t xml:space="preserve"> ROE; (c) </w:t>
      </w:r>
      <w:r>
        <w:rPr>
          <w:rFonts w:ascii="Arial" w:eastAsia="Arial" w:hAnsi="Arial" w:cs="Arial"/>
          <w:b w:val="0"/>
          <w:i w:val="0"/>
          <w:color w:val="929292"/>
          <w:sz w:val="16"/>
          <w:u w:val="none"/>
        </w:rPr>
        <w:t>2,262</w:t>
      </w:r>
      <w:r>
        <w:rPr>
          <w:rFonts w:ascii="Arial" w:eastAsia="Arial" w:hAnsi="Arial" w:cs="Arial"/>
          <w:b w:val="0"/>
          <w:i w:val="0"/>
          <w:color w:val="929292"/>
          <w:sz w:val="16"/>
          <w:u w:val="none"/>
        </w:rPr>
        <w:t xml:space="preserve"> PSUs (</w:t>
      </w:r>
      <w:r>
        <w:rPr>
          <w:rFonts w:ascii="Arial" w:eastAsia="Arial" w:hAnsi="Arial" w:cs="Arial"/>
          <w:b w:val="0"/>
          <w:i w:val="0"/>
          <w:color w:val="929292"/>
          <w:sz w:val="16"/>
          <w:u w:val="none"/>
        </w:rPr>
        <w:t>200%</w:t>
      </w:r>
      <w:r>
        <w:rPr>
          <w:rFonts w:ascii="Arial" w:eastAsia="Arial" w:hAnsi="Arial" w:cs="Arial"/>
          <w:b w:val="0"/>
          <w:i w:val="0"/>
          <w:color w:val="929292"/>
          <w:sz w:val="16"/>
          <w:u w:val="none"/>
        </w:rPr>
        <w:t xml:space="preserve"> of target) that cliff vest following a three-year performance period that began on January 1, 202</w:t>
      </w:r>
      <w:r>
        <w:rPr>
          <w:rFonts w:ascii="Arial" w:eastAsia="Arial" w:hAnsi="Arial" w:cs="Arial"/>
          <w:b w:val="0"/>
          <w:i w:val="0"/>
          <w:color w:val="929292"/>
          <w:sz w:val="16"/>
          <w:u w:val="none"/>
        </w:rPr>
        <w:t>3</w:t>
      </w:r>
      <w:r>
        <w:rPr>
          <w:rFonts w:ascii="Arial" w:eastAsia="Arial" w:hAnsi="Arial" w:cs="Arial"/>
          <w:b w:val="0"/>
          <w:i w:val="0"/>
          <w:color w:val="929292"/>
          <w:sz w:val="16"/>
          <w:u w:val="none"/>
        </w:rPr>
        <w:t xml:space="preserve"> subject to the Company's achievement of certain levels of growth in </w:t>
      </w:r>
      <w:r>
        <w:rPr>
          <w:rFonts w:ascii="Arial" w:eastAsia="Arial" w:hAnsi="Arial" w:cs="Arial"/>
          <w:b w:val="0"/>
          <w:i w:val="0"/>
          <w:color w:val="929292"/>
          <w:sz w:val="16"/>
          <w:u w:val="none"/>
        </w:rPr>
        <w:t>FDBVPS</w:t>
      </w:r>
      <w:r>
        <w:rPr>
          <w:rFonts w:ascii="Arial" w:eastAsia="Arial" w:hAnsi="Arial" w:cs="Arial"/>
          <w:b w:val="0"/>
          <w:i w:val="0"/>
          <w:color w:val="929292"/>
          <w:sz w:val="16"/>
          <w:u w:val="none"/>
        </w:rPr>
        <w:t xml:space="preserve">; and (d) </w:t>
      </w:r>
      <w:r>
        <w:rPr>
          <w:rFonts w:ascii="Arial" w:eastAsia="Arial" w:hAnsi="Arial" w:cs="Arial"/>
          <w:b w:val="0"/>
          <w:i w:val="0"/>
          <w:color w:val="929292"/>
          <w:sz w:val="16"/>
          <w:u w:val="none"/>
        </w:rPr>
        <w:t>2,262</w:t>
      </w:r>
      <w:r>
        <w:rPr>
          <w:rFonts w:ascii="Arial" w:eastAsia="Arial" w:hAnsi="Arial" w:cs="Arial"/>
          <w:b w:val="0"/>
          <w:i w:val="0"/>
          <w:color w:val="929292"/>
          <w:sz w:val="16"/>
          <w:u w:val="none"/>
        </w:rPr>
        <w:t xml:space="preserve"> PSUs (</w:t>
      </w:r>
      <w:r>
        <w:rPr>
          <w:rFonts w:ascii="Arial" w:eastAsia="Arial" w:hAnsi="Arial" w:cs="Arial"/>
          <w:b w:val="0"/>
          <w:i w:val="0"/>
          <w:color w:val="929292"/>
          <w:sz w:val="16"/>
          <w:u w:val="none"/>
        </w:rPr>
        <w:t>200%</w:t>
      </w:r>
      <w:r>
        <w:rPr>
          <w:rFonts w:ascii="Arial" w:eastAsia="Arial" w:hAnsi="Arial" w:cs="Arial"/>
          <w:b w:val="0"/>
          <w:i w:val="0"/>
          <w:color w:val="929292"/>
          <w:sz w:val="16"/>
          <w:u w:val="none"/>
        </w:rPr>
        <w:t xml:space="preserve"> of target) that cliff vest following a three-year performance period that began on January 1, 202</w:t>
      </w:r>
      <w:r>
        <w:rPr>
          <w:rFonts w:ascii="Arial" w:eastAsia="Arial" w:hAnsi="Arial" w:cs="Arial"/>
          <w:b w:val="0"/>
          <w:i w:val="0"/>
          <w:color w:val="929292"/>
          <w:sz w:val="16"/>
          <w:u w:val="none"/>
        </w:rPr>
        <w:t>3</w:t>
      </w:r>
      <w:r>
        <w:rPr>
          <w:rFonts w:ascii="Arial" w:eastAsia="Arial" w:hAnsi="Arial" w:cs="Arial"/>
          <w:b w:val="0"/>
          <w:i w:val="0"/>
          <w:color w:val="929292"/>
          <w:sz w:val="16"/>
          <w:u w:val="none"/>
        </w:rPr>
        <w:t xml:space="preserve"> subject to the Company's achievement of </w:t>
      </w:r>
      <w:r>
        <w:rPr>
          <w:rFonts w:ascii="Arial" w:eastAsia="Arial" w:hAnsi="Arial" w:cs="Arial"/>
          <w:b w:val="0"/>
          <w:i w:val="0"/>
          <w:color w:val="929292"/>
          <w:sz w:val="16"/>
          <w:u w:val="none"/>
        </w:rPr>
        <w:t xml:space="preserve">certain levels of </w:t>
      </w:r>
      <w:r>
        <w:rPr>
          <w:rFonts w:ascii="Arial" w:eastAsia="Arial" w:hAnsi="Arial" w:cs="Arial"/>
          <w:b w:val="0"/>
          <w:i w:val="0"/>
          <w:color w:val="929292"/>
          <w:sz w:val="16"/>
          <w:u w:val="none"/>
        </w:rPr>
        <w:t>Adjusted</w:t>
      </w:r>
      <w:r>
        <w:rPr>
          <w:rFonts w:ascii="Arial" w:eastAsia="Arial" w:hAnsi="Arial" w:cs="Arial"/>
          <w:b w:val="0"/>
          <w:i w:val="0"/>
          <w:color w:val="929292"/>
          <w:sz w:val="16"/>
          <w:u w:val="none"/>
        </w:rPr>
        <w:t xml:space="preserve"> ROE. </w:t>
      </w:r>
    </w:p>
    <w:p>
      <w:pPr>
        <w:keepNext w:val="0"/>
        <w:keepLines w:val="0"/>
        <w:pageBreakBefore w:val="0"/>
        <w:widowControl/>
        <w:numPr>
          <w:ilvl w:val="0"/>
          <w:numId w:val="319"/>
        </w:numPr>
        <w:spacing w:before="0" w:after="60" w:line="288" w:lineRule="auto"/>
        <w:ind w:left="360" w:right="0" w:hanging="360"/>
        <w:jc w:val="both"/>
        <w:outlineLvl w:val="9"/>
        <w:rPr>
          <w:rFonts w:ascii="Arial" w:eastAsia="Arial" w:hAnsi="Arial" w:cs="Arial"/>
          <w:b w:val="0"/>
          <w:i w:val="0"/>
          <w:color w:val="929292"/>
          <w:sz w:val="16"/>
          <w:u w:val="none"/>
        </w:rPr>
      </w:pPr>
      <w:r>
        <w:rPr>
          <w:rFonts w:ascii="Arial" w:eastAsia="Arial" w:hAnsi="Arial" w:cs="Arial"/>
          <w:b w:val="0"/>
          <w:i w:val="0"/>
          <w:color w:val="929292"/>
          <w:sz w:val="16"/>
          <w:u w:val="none"/>
        </w:rPr>
        <w:t xml:space="preserve">Reflects (a) </w:t>
      </w:r>
      <w:r>
        <w:rPr>
          <w:rFonts w:ascii="Arial" w:eastAsia="Arial" w:hAnsi="Arial" w:cs="Arial"/>
          <w:b w:val="0"/>
          <w:i w:val="0"/>
          <w:color w:val="929292"/>
          <w:sz w:val="16"/>
          <w:u w:val="none"/>
        </w:rPr>
        <w:t>506</w:t>
      </w:r>
      <w:r>
        <w:rPr>
          <w:rFonts w:ascii="Arial" w:eastAsia="Arial" w:hAnsi="Arial" w:cs="Arial"/>
          <w:b w:val="0"/>
          <w:i w:val="0"/>
          <w:color w:val="929292"/>
          <w:sz w:val="16"/>
          <w:u w:val="none"/>
        </w:rPr>
        <w:t xml:space="preserve"> PSUs that cliff vested on March 1, 202</w:t>
      </w:r>
      <w:r>
        <w:rPr>
          <w:rFonts w:ascii="Arial" w:eastAsia="Arial" w:hAnsi="Arial" w:cs="Arial"/>
          <w:b w:val="0"/>
          <w:i w:val="0"/>
          <w:color w:val="929292"/>
          <w:sz w:val="16"/>
          <w:u w:val="none"/>
        </w:rPr>
        <w:t>4</w:t>
      </w:r>
      <w:r>
        <w:rPr>
          <w:rFonts w:ascii="Arial" w:eastAsia="Arial" w:hAnsi="Arial" w:cs="Arial"/>
          <w:b w:val="0"/>
          <w:i w:val="0"/>
          <w:color w:val="929292"/>
          <w:sz w:val="16"/>
          <w:u w:val="none"/>
        </w:rPr>
        <w:t xml:space="preserve"> following a three-year performance period that ended on December 31, 202</w:t>
      </w:r>
      <w:r>
        <w:rPr>
          <w:rFonts w:ascii="Arial" w:eastAsia="Arial" w:hAnsi="Arial" w:cs="Arial"/>
          <w:b w:val="0"/>
          <w:i w:val="0"/>
          <w:color w:val="929292"/>
          <w:sz w:val="16"/>
          <w:u w:val="none"/>
        </w:rPr>
        <w:t>3</w:t>
      </w:r>
      <w:r>
        <w:rPr>
          <w:rFonts w:ascii="Arial" w:eastAsia="Arial" w:hAnsi="Arial" w:cs="Arial"/>
          <w:b w:val="0"/>
          <w:i w:val="0"/>
          <w:color w:val="929292"/>
          <w:sz w:val="16"/>
          <w:u w:val="none"/>
        </w:rPr>
        <w:t xml:space="preserve"> upon the Company's achievement of certain levels of Operating Income ROE; (b) </w:t>
      </w:r>
      <w:r>
        <w:rPr>
          <w:rFonts w:ascii="Arial" w:eastAsia="Arial" w:hAnsi="Arial" w:cs="Arial"/>
          <w:b w:val="0"/>
          <w:i w:val="0"/>
          <w:color w:val="929292"/>
          <w:sz w:val="16"/>
          <w:u w:val="none"/>
        </w:rPr>
        <w:t>445</w:t>
      </w:r>
      <w:r>
        <w:rPr>
          <w:rFonts w:ascii="Arial" w:eastAsia="Arial" w:hAnsi="Arial" w:cs="Arial"/>
          <w:b w:val="0"/>
          <w:i w:val="0"/>
          <w:color w:val="929292"/>
          <w:sz w:val="16"/>
          <w:u w:val="none"/>
        </w:rPr>
        <w:t xml:space="preserve"> RSUs scheduled to vest </w:t>
      </w:r>
      <w:r>
        <w:rPr>
          <w:rFonts w:ascii="Arial" w:eastAsia="Arial" w:hAnsi="Arial" w:cs="Arial"/>
          <w:b w:val="0"/>
          <w:i w:val="0"/>
          <w:color w:val="929292"/>
          <w:sz w:val="16"/>
          <w:u w:val="none"/>
        </w:rPr>
        <w:t>in two approximately equal installments begin</w:t>
      </w:r>
      <w:r>
        <w:rPr>
          <w:rFonts w:ascii="Arial" w:eastAsia="Arial" w:hAnsi="Arial" w:cs="Arial"/>
          <w:b w:val="0"/>
          <w:i w:val="0"/>
          <w:color w:val="929292"/>
          <w:sz w:val="16"/>
          <w:u w:val="none"/>
        </w:rPr>
        <w:t xml:space="preserve">ning </w:t>
      </w:r>
      <w:r>
        <w:rPr>
          <w:rFonts w:ascii="Arial" w:eastAsia="Arial" w:hAnsi="Arial" w:cs="Arial"/>
          <w:b w:val="0"/>
          <w:i w:val="0"/>
          <w:color w:val="929292"/>
          <w:sz w:val="16"/>
          <w:u w:val="none"/>
        </w:rPr>
        <w:t>on March 20, 202</w:t>
      </w:r>
      <w:r>
        <w:rPr>
          <w:rFonts w:ascii="Arial" w:eastAsia="Arial" w:hAnsi="Arial" w:cs="Arial"/>
          <w:b w:val="0"/>
          <w:i w:val="0"/>
          <w:color w:val="929292"/>
          <w:sz w:val="16"/>
          <w:u w:val="none"/>
        </w:rPr>
        <w:t>4</w:t>
      </w:r>
      <w:r>
        <w:rPr>
          <w:rFonts w:ascii="Arial" w:eastAsia="Arial" w:hAnsi="Arial" w:cs="Arial"/>
          <w:b w:val="0"/>
          <w:i w:val="0"/>
          <w:color w:val="929292"/>
          <w:sz w:val="16"/>
          <w:u w:val="none"/>
        </w:rPr>
        <w:t xml:space="preserve">; (c) </w:t>
      </w:r>
      <w:r>
        <w:rPr>
          <w:rFonts w:ascii="Arial" w:eastAsia="Arial" w:hAnsi="Arial" w:cs="Arial"/>
          <w:b w:val="0"/>
          <w:i w:val="0"/>
          <w:color w:val="929292"/>
          <w:sz w:val="16"/>
          <w:u w:val="none"/>
        </w:rPr>
        <w:t>808</w:t>
      </w:r>
      <w:r>
        <w:rPr>
          <w:rFonts w:ascii="Arial" w:eastAsia="Arial" w:hAnsi="Arial" w:cs="Arial"/>
          <w:b w:val="0"/>
          <w:i w:val="0"/>
          <w:color w:val="929292"/>
          <w:sz w:val="16"/>
          <w:u w:val="none"/>
        </w:rPr>
        <w:t xml:space="preserve"> RSUs scheduled to vest in </w:t>
      </w:r>
      <w:r>
        <w:rPr>
          <w:rFonts w:ascii="Arial" w:eastAsia="Arial" w:hAnsi="Arial" w:cs="Arial"/>
          <w:b w:val="0"/>
          <w:i w:val="0"/>
          <w:color w:val="929292"/>
          <w:sz w:val="16"/>
          <w:u w:val="none"/>
        </w:rPr>
        <w:t>t</w:t>
      </w:r>
      <w:r>
        <w:rPr>
          <w:rFonts w:ascii="Arial" w:eastAsia="Arial" w:hAnsi="Arial" w:cs="Arial"/>
          <w:b w:val="0"/>
          <w:i w:val="0"/>
          <w:color w:val="929292"/>
          <w:sz w:val="16"/>
          <w:u w:val="none"/>
        </w:rPr>
        <w:t>hree</w:t>
      </w:r>
      <w:r>
        <w:rPr>
          <w:rFonts w:ascii="Arial" w:eastAsia="Arial" w:hAnsi="Arial" w:cs="Arial"/>
          <w:b w:val="0"/>
          <w:i w:val="0"/>
          <w:color w:val="929292"/>
          <w:sz w:val="16"/>
          <w:u w:val="none"/>
        </w:rPr>
        <w:t xml:space="preserve"> approximately equal annual installments beginning on March </w:t>
      </w:r>
      <w:r>
        <w:rPr>
          <w:rFonts w:ascii="Arial" w:eastAsia="Arial" w:hAnsi="Arial" w:cs="Arial"/>
          <w:b w:val="0"/>
          <w:i w:val="0"/>
          <w:color w:val="929292"/>
          <w:sz w:val="16"/>
          <w:u w:val="none"/>
        </w:rPr>
        <w:t>2</w:t>
      </w:r>
      <w:r>
        <w:rPr>
          <w:rFonts w:ascii="Arial" w:eastAsia="Arial" w:hAnsi="Arial" w:cs="Arial"/>
          <w:b w:val="0"/>
          <w:i w:val="0"/>
          <w:color w:val="929292"/>
          <w:sz w:val="16"/>
          <w:u w:val="none"/>
        </w:rPr>
        <w:t>0, 202</w:t>
      </w:r>
      <w:r>
        <w:rPr>
          <w:rFonts w:ascii="Arial" w:eastAsia="Arial" w:hAnsi="Arial" w:cs="Arial"/>
          <w:b w:val="0"/>
          <w:i w:val="0"/>
          <w:color w:val="929292"/>
          <w:sz w:val="16"/>
          <w:u w:val="none"/>
        </w:rPr>
        <w:t>4</w:t>
      </w:r>
      <w:r>
        <w:rPr>
          <w:rFonts w:ascii="Arial" w:eastAsia="Arial" w:hAnsi="Arial" w:cs="Arial"/>
          <w:b w:val="0"/>
          <w:i w:val="0"/>
          <w:color w:val="929292"/>
          <w:sz w:val="16"/>
          <w:u w:val="none"/>
        </w:rPr>
        <w:t xml:space="preserve">; (d) </w:t>
      </w:r>
      <w:r>
        <w:rPr>
          <w:rFonts w:ascii="Arial" w:eastAsia="Arial" w:hAnsi="Arial" w:cs="Arial"/>
          <w:b w:val="0"/>
          <w:i w:val="0"/>
          <w:color w:val="929292"/>
          <w:sz w:val="16"/>
          <w:u w:val="none"/>
        </w:rPr>
        <w:t>4,224</w:t>
      </w:r>
      <w:r>
        <w:rPr>
          <w:rFonts w:ascii="Arial" w:eastAsia="Arial" w:hAnsi="Arial" w:cs="Arial"/>
          <w:b w:val="0"/>
          <w:i w:val="0"/>
          <w:color w:val="929292"/>
          <w:sz w:val="16"/>
          <w:u w:val="none"/>
        </w:rPr>
        <w:t xml:space="preserve"> RSUs scheduled to vest in three approximately equal annual installments beginning on March </w:t>
      </w:r>
      <w:r>
        <w:rPr>
          <w:rFonts w:ascii="Arial" w:eastAsia="Arial" w:hAnsi="Arial" w:cs="Arial"/>
          <w:b w:val="0"/>
          <w:i w:val="0"/>
          <w:color w:val="929292"/>
          <w:sz w:val="16"/>
          <w:u w:val="none"/>
        </w:rPr>
        <w:t>3</w:t>
      </w:r>
      <w:r>
        <w:rPr>
          <w:rFonts w:ascii="Arial" w:eastAsia="Arial" w:hAnsi="Arial" w:cs="Arial"/>
          <w:b w:val="0"/>
          <w:i w:val="0"/>
          <w:color w:val="929292"/>
          <w:sz w:val="16"/>
          <w:u w:val="none"/>
        </w:rPr>
        <w:t>0, 202</w:t>
      </w:r>
      <w:r>
        <w:rPr>
          <w:rFonts w:ascii="Arial" w:eastAsia="Arial" w:hAnsi="Arial" w:cs="Arial"/>
          <w:b w:val="0"/>
          <w:i w:val="0"/>
          <w:color w:val="929292"/>
          <w:sz w:val="16"/>
          <w:u w:val="none"/>
        </w:rPr>
        <w:t>4</w:t>
      </w:r>
      <w:r>
        <w:rPr>
          <w:rFonts w:ascii="Arial" w:eastAsia="Arial" w:hAnsi="Arial" w:cs="Arial"/>
          <w:b w:val="0"/>
          <w:i w:val="0"/>
          <w:color w:val="929292"/>
          <w:sz w:val="16"/>
          <w:u w:val="none"/>
        </w:rPr>
        <w:t xml:space="preserve">; and (e) </w:t>
      </w:r>
      <w:r>
        <w:rPr>
          <w:rFonts w:ascii="Arial" w:eastAsia="Arial" w:hAnsi="Arial" w:cs="Arial"/>
          <w:b w:val="0"/>
          <w:i w:val="0"/>
          <w:color w:val="929292"/>
          <w:sz w:val="16"/>
          <w:u w:val="none"/>
        </w:rPr>
        <w:t>4,488</w:t>
      </w:r>
      <w:r>
        <w:rPr>
          <w:rFonts w:ascii="Arial" w:eastAsia="Arial" w:hAnsi="Arial" w:cs="Arial"/>
          <w:b w:val="0"/>
          <w:i w:val="0"/>
          <w:color w:val="929292"/>
          <w:sz w:val="16"/>
          <w:u w:val="none"/>
        </w:rPr>
        <w:t xml:space="preserve"> RSUs scheduled to vest on </w:t>
      </w:r>
      <w:r>
        <w:rPr>
          <w:rFonts w:ascii="Arial" w:eastAsia="Arial" w:hAnsi="Arial" w:cs="Arial"/>
          <w:b w:val="0"/>
          <w:i w:val="0"/>
          <w:color w:val="929292"/>
          <w:sz w:val="16"/>
          <w:u w:val="none"/>
        </w:rPr>
        <w:t>Ma</w:t>
      </w:r>
      <w:r>
        <w:rPr>
          <w:rFonts w:ascii="Arial" w:eastAsia="Arial" w:hAnsi="Arial" w:cs="Arial"/>
          <w:b w:val="0"/>
          <w:i w:val="0"/>
          <w:color w:val="929292"/>
          <w:sz w:val="16"/>
          <w:u w:val="none"/>
        </w:rPr>
        <w:t>r</w:t>
      </w:r>
      <w:r>
        <w:rPr>
          <w:rFonts w:ascii="Arial" w:eastAsia="Arial" w:hAnsi="Arial" w:cs="Arial"/>
          <w:b w:val="0"/>
          <w:i w:val="0"/>
          <w:color w:val="929292"/>
          <w:sz w:val="16"/>
          <w:u w:val="none"/>
        </w:rPr>
        <w:t>ch 20</w:t>
      </w:r>
      <w:r>
        <w:rPr>
          <w:rFonts w:ascii="Arial" w:eastAsia="Arial" w:hAnsi="Arial" w:cs="Arial"/>
          <w:b w:val="0"/>
          <w:i w:val="0"/>
          <w:color w:val="929292"/>
          <w:sz w:val="16"/>
          <w:u w:val="none"/>
        </w:rPr>
        <w:t>, 202</w:t>
      </w:r>
      <w:r>
        <w:rPr>
          <w:rFonts w:ascii="Arial" w:eastAsia="Arial" w:hAnsi="Arial" w:cs="Arial"/>
          <w:b w:val="0"/>
          <w:i w:val="0"/>
          <w:color w:val="929292"/>
          <w:sz w:val="16"/>
          <w:u w:val="none"/>
        </w:rPr>
        <w:t>6</w:t>
      </w:r>
      <w:r>
        <w:rPr>
          <w:rFonts w:ascii="Arial" w:eastAsia="Arial" w:hAnsi="Arial" w:cs="Arial"/>
          <w:b w:val="0"/>
          <w:i w:val="0"/>
          <w:color w:val="929292"/>
          <w:sz w:val="16"/>
          <w:u w:val="none"/>
        </w:rPr>
        <w:t>. In addition, on March 1, 202</w:t>
      </w:r>
      <w:r>
        <w:rPr>
          <w:rFonts w:ascii="Arial" w:eastAsia="Arial" w:hAnsi="Arial" w:cs="Arial"/>
          <w:b w:val="0"/>
          <w:i w:val="0"/>
          <w:color w:val="929292"/>
          <w:sz w:val="16"/>
          <w:u w:val="none"/>
        </w:rPr>
        <w:t>1</w:t>
      </w:r>
      <w:r>
        <w:rPr>
          <w:rFonts w:ascii="Arial" w:eastAsia="Arial" w:hAnsi="Arial" w:cs="Arial"/>
          <w:b w:val="0"/>
          <w:i w:val="0"/>
          <w:color w:val="929292"/>
          <w:sz w:val="16"/>
          <w:u w:val="none"/>
        </w:rPr>
        <w:t xml:space="preserve">,  the Compensation Committee awarded Mr. </w:t>
      </w:r>
      <w:r>
        <w:rPr>
          <w:rFonts w:ascii="Arial" w:eastAsia="Arial" w:hAnsi="Arial" w:cs="Arial"/>
          <w:b w:val="0"/>
          <w:i w:val="0"/>
          <w:color w:val="929292"/>
          <w:sz w:val="16"/>
          <w:u w:val="none"/>
        </w:rPr>
        <w:t>Alobaidat</w:t>
      </w:r>
      <w:r>
        <w:rPr>
          <w:rFonts w:ascii="Arial" w:eastAsia="Arial" w:hAnsi="Arial" w:cs="Arial"/>
          <w:b w:val="0"/>
          <w:i w:val="0"/>
          <w:color w:val="929292"/>
          <w:sz w:val="16"/>
          <w:u w:val="none"/>
        </w:rPr>
        <w:t xml:space="preserve"> </w:t>
      </w:r>
      <w:r>
        <w:rPr>
          <w:rFonts w:ascii="Arial" w:eastAsia="Arial" w:hAnsi="Arial" w:cs="Arial"/>
          <w:b w:val="0"/>
          <w:i w:val="0"/>
          <w:color w:val="929292"/>
          <w:sz w:val="16"/>
          <w:u w:val="none"/>
        </w:rPr>
        <w:t>770</w:t>
      </w:r>
      <w:r>
        <w:rPr>
          <w:rFonts w:ascii="Arial" w:eastAsia="Arial" w:hAnsi="Arial" w:cs="Arial"/>
          <w:b w:val="0"/>
          <w:i w:val="0"/>
          <w:color w:val="929292"/>
          <w:sz w:val="16"/>
          <w:u w:val="none"/>
        </w:rPr>
        <w:t xml:space="preserve"> PSUs (target level) that were scheduled to vest following a performance period that ended on December 31, 202</w:t>
      </w:r>
      <w:r>
        <w:rPr>
          <w:rFonts w:ascii="Arial" w:eastAsia="Arial" w:hAnsi="Arial" w:cs="Arial"/>
          <w:b w:val="0"/>
          <w:i w:val="0"/>
          <w:color w:val="929292"/>
          <w:sz w:val="16"/>
          <w:u w:val="none"/>
        </w:rPr>
        <w:t>3</w:t>
      </w:r>
      <w:r>
        <w:rPr>
          <w:rFonts w:ascii="Arial" w:eastAsia="Arial" w:hAnsi="Arial" w:cs="Arial"/>
          <w:b w:val="0"/>
          <w:i w:val="0"/>
          <w:color w:val="929292"/>
          <w:sz w:val="16"/>
          <w:u w:val="none"/>
        </w:rPr>
        <w:t xml:space="preserve"> only if and to the extent the Company achieved certain levels of growth in </w:t>
      </w:r>
      <w:r>
        <w:rPr>
          <w:rFonts w:ascii="Arial" w:eastAsia="Arial" w:hAnsi="Arial" w:cs="Arial"/>
          <w:b w:val="0"/>
          <w:i w:val="0"/>
          <w:color w:val="929292"/>
          <w:sz w:val="16"/>
          <w:u w:val="none"/>
        </w:rPr>
        <w:t>FDBVPS</w:t>
      </w:r>
      <w:r>
        <w:rPr>
          <w:rFonts w:ascii="Arial" w:eastAsia="Arial" w:hAnsi="Arial" w:cs="Arial"/>
          <w:b w:val="0"/>
          <w:i w:val="0"/>
          <w:color w:val="929292"/>
          <w:sz w:val="16"/>
          <w:u w:val="none"/>
        </w:rPr>
        <w:t xml:space="preserve"> during such period. The performance objectives relating to book value per share did not meet threshold, and no PSUs vested in respect of that portion of the award. </w:t>
      </w:r>
    </w:p>
    <w:p>
      <w:pPr>
        <w:keepNext w:val="0"/>
        <w:keepLines w:val="0"/>
        <w:pageBreakBefore w:val="0"/>
        <w:widowControl/>
        <w:numPr>
          <w:ilvl w:val="0"/>
          <w:numId w:val="319"/>
        </w:numPr>
        <w:spacing w:before="0" w:after="100" w:line="288" w:lineRule="auto"/>
        <w:ind w:left="360" w:right="0" w:hanging="360"/>
        <w:jc w:val="both"/>
        <w:outlineLvl w:val="9"/>
        <w:rPr>
          <w:rFonts w:ascii="Arial" w:eastAsia="Arial" w:hAnsi="Arial" w:cs="Arial"/>
          <w:b w:val="0"/>
          <w:i w:val="0"/>
          <w:color w:val="929292"/>
          <w:sz w:val="16"/>
          <w:u w:val="none"/>
        </w:rPr>
      </w:pPr>
      <w:r>
        <w:rPr>
          <w:rFonts w:ascii="Arial" w:eastAsia="Arial" w:hAnsi="Arial" w:cs="Arial"/>
          <w:b w:val="0"/>
          <w:i w:val="0"/>
          <w:color w:val="929292"/>
          <w:sz w:val="16"/>
          <w:u w:val="none"/>
        </w:rPr>
        <w:t xml:space="preserve">Reflects (a) </w:t>
      </w:r>
      <w:r>
        <w:rPr>
          <w:rFonts w:ascii="Arial" w:eastAsia="Arial" w:hAnsi="Arial" w:cs="Arial"/>
          <w:b w:val="0"/>
          <w:i w:val="0"/>
          <w:color w:val="929292"/>
          <w:sz w:val="16"/>
          <w:u w:val="none"/>
        </w:rPr>
        <w:t>467</w:t>
      </w:r>
      <w:r>
        <w:rPr>
          <w:rFonts w:ascii="Arial" w:eastAsia="Arial" w:hAnsi="Arial" w:cs="Arial"/>
          <w:b w:val="0"/>
          <w:i w:val="0"/>
          <w:color w:val="929292"/>
          <w:sz w:val="16"/>
          <w:u w:val="none"/>
        </w:rPr>
        <w:t xml:space="preserve"> PSUs (</w:t>
      </w:r>
      <w:r>
        <w:rPr>
          <w:rFonts w:ascii="Arial" w:eastAsia="Arial" w:hAnsi="Arial" w:cs="Arial"/>
          <w:b w:val="0"/>
          <w:i w:val="0"/>
          <w:color w:val="929292"/>
          <w:sz w:val="16"/>
          <w:u w:val="none"/>
        </w:rPr>
        <w:t>60%</w:t>
      </w:r>
      <w:r>
        <w:rPr>
          <w:rFonts w:ascii="Arial" w:eastAsia="Arial" w:hAnsi="Arial" w:cs="Arial"/>
          <w:b w:val="0"/>
          <w:i w:val="0"/>
          <w:color w:val="929292"/>
          <w:sz w:val="16"/>
          <w:u w:val="none"/>
        </w:rPr>
        <w:t xml:space="preserve"> of target) scheduled to cliff vest following a three-year performance period that began on January 1, 202</w:t>
      </w:r>
      <w:r>
        <w:rPr>
          <w:rFonts w:ascii="Arial" w:eastAsia="Arial" w:hAnsi="Arial" w:cs="Arial"/>
          <w:b w:val="0"/>
          <w:i w:val="0"/>
          <w:color w:val="929292"/>
          <w:sz w:val="16"/>
          <w:u w:val="none"/>
        </w:rPr>
        <w:t>2</w:t>
      </w:r>
      <w:r>
        <w:rPr>
          <w:rFonts w:ascii="Arial" w:eastAsia="Arial" w:hAnsi="Arial" w:cs="Arial"/>
          <w:b w:val="0"/>
          <w:i w:val="0"/>
          <w:color w:val="929292"/>
          <w:sz w:val="16"/>
          <w:u w:val="none"/>
        </w:rPr>
        <w:t xml:space="preserve"> subject to the Company's achievement of certain levels of growth in </w:t>
      </w:r>
      <w:r>
        <w:rPr>
          <w:rFonts w:ascii="Arial" w:eastAsia="Arial" w:hAnsi="Arial" w:cs="Arial"/>
          <w:b w:val="0"/>
          <w:i w:val="0"/>
          <w:color w:val="929292"/>
          <w:sz w:val="16"/>
          <w:u w:val="none"/>
        </w:rPr>
        <w:t>FD</w:t>
      </w:r>
      <w:r>
        <w:rPr>
          <w:rFonts w:ascii="Arial" w:eastAsia="Arial" w:hAnsi="Arial" w:cs="Arial"/>
          <w:b w:val="0"/>
          <w:i w:val="0"/>
          <w:color w:val="929292"/>
          <w:sz w:val="16"/>
          <w:u w:val="none"/>
        </w:rPr>
        <w:t>B</w:t>
      </w:r>
      <w:r>
        <w:rPr>
          <w:rFonts w:ascii="Arial" w:eastAsia="Arial" w:hAnsi="Arial" w:cs="Arial"/>
          <w:b w:val="0"/>
          <w:i w:val="0"/>
          <w:color w:val="929292"/>
          <w:sz w:val="16"/>
          <w:u w:val="none"/>
        </w:rPr>
        <w:t>V</w:t>
      </w:r>
      <w:r>
        <w:rPr>
          <w:rFonts w:ascii="Arial" w:eastAsia="Arial" w:hAnsi="Arial" w:cs="Arial"/>
          <w:b w:val="0"/>
          <w:i w:val="0"/>
          <w:color w:val="929292"/>
          <w:sz w:val="16"/>
          <w:u w:val="none"/>
        </w:rPr>
        <w:t>PS</w:t>
      </w:r>
      <w:r>
        <w:rPr>
          <w:rFonts w:ascii="Arial" w:eastAsia="Arial" w:hAnsi="Arial" w:cs="Arial"/>
          <w:b w:val="0"/>
          <w:i w:val="0"/>
          <w:color w:val="929292"/>
          <w:sz w:val="16"/>
          <w:u w:val="none"/>
        </w:rPr>
        <w:t xml:space="preserve">; (b) </w:t>
      </w:r>
      <w:r>
        <w:rPr>
          <w:rFonts w:ascii="Arial" w:eastAsia="Arial" w:hAnsi="Arial" w:cs="Arial"/>
          <w:b w:val="0"/>
          <w:i w:val="0"/>
          <w:color w:val="929292"/>
          <w:sz w:val="16"/>
          <w:u w:val="none"/>
        </w:rPr>
        <w:t>779</w:t>
      </w:r>
      <w:r>
        <w:rPr>
          <w:rFonts w:ascii="Arial" w:eastAsia="Arial" w:hAnsi="Arial" w:cs="Arial"/>
          <w:b w:val="0"/>
          <w:i w:val="0"/>
          <w:color w:val="929292"/>
          <w:sz w:val="16"/>
          <w:u w:val="none"/>
        </w:rPr>
        <w:t xml:space="preserve"> PSUs (</w:t>
      </w:r>
      <w:r>
        <w:rPr>
          <w:rFonts w:ascii="Arial" w:eastAsia="Arial" w:hAnsi="Arial" w:cs="Arial"/>
          <w:b w:val="0"/>
          <w:i w:val="0"/>
          <w:color w:val="929292"/>
          <w:sz w:val="16"/>
          <w:u w:val="none"/>
        </w:rPr>
        <w:t>100%</w:t>
      </w:r>
      <w:r>
        <w:rPr>
          <w:rFonts w:ascii="Arial" w:eastAsia="Arial" w:hAnsi="Arial" w:cs="Arial"/>
          <w:b w:val="0"/>
          <w:i w:val="0"/>
          <w:color w:val="929292"/>
          <w:sz w:val="16"/>
          <w:u w:val="none"/>
        </w:rPr>
        <w:t xml:space="preserve"> of target) that cliff vest following a three-year performance period that began on January 1, 202</w:t>
      </w:r>
      <w:r>
        <w:rPr>
          <w:rFonts w:ascii="Arial" w:eastAsia="Arial" w:hAnsi="Arial" w:cs="Arial"/>
          <w:b w:val="0"/>
          <w:i w:val="0"/>
          <w:color w:val="929292"/>
          <w:sz w:val="16"/>
          <w:u w:val="none"/>
        </w:rPr>
        <w:t>2</w:t>
      </w:r>
      <w:r>
        <w:rPr>
          <w:rFonts w:ascii="Arial" w:eastAsia="Arial" w:hAnsi="Arial" w:cs="Arial"/>
          <w:b w:val="0"/>
          <w:i w:val="0"/>
          <w:color w:val="929292"/>
          <w:sz w:val="16"/>
          <w:u w:val="none"/>
        </w:rPr>
        <w:t xml:space="preserve"> subject to the Company's achievement of certain levels of </w:t>
      </w:r>
      <w:r>
        <w:rPr>
          <w:rFonts w:ascii="Arial" w:eastAsia="Arial" w:hAnsi="Arial" w:cs="Arial"/>
          <w:b w:val="0"/>
          <w:i w:val="0"/>
          <w:color w:val="929292"/>
          <w:sz w:val="16"/>
          <w:u w:val="none"/>
        </w:rPr>
        <w:t>Adjusted</w:t>
      </w:r>
      <w:r>
        <w:rPr>
          <w:rFonts w:ascii="Arial" w:eastAsia="Arial" w:hAnsi="Arial" w:cs="Arial"/>
          <w:b w:val="0"/>
          <w:i w:val="0"/>
          <w:color w:val="929292"/>
          <w:sz w:val="16"/>
          <w:u w:val="none"/>
        </w:rPr>
        <w:t xml:space="preserve"> ROE; (c) </w:t>
      </w:r>
      <w:r>
        <w:rPr>
          <w:rFonts w:ascii="Arial" w:eastAsia="Arial" w:hAnsi="Arial" w:cs="Arial"/>
          <w:b w:val="0"/>
          <w:i w:val="0"/>
          <w:color w:val="929292"/>
          <w:sz w:val="16"/>
          <w:u w:val="none"/>
        </w:rPr>
        <w:t>1,884</w:t>
      </w:r>
      <w:r>
        <w:rPr>
          <w:rFonts w:ascii="Arial" w:eastAsia="Arial" w:hAnsi="Arial" w:cs="Arial"/>
          <w:b w:val="0"/>
          <w:i w:val="0"/>
          <w:color w:val="929292"/>
          <w:sz w:val="16"/>
          <w:u w:val="none"/>
        </w:rPr>
        <w:t xml:space="preserve"> PSUs (</w:t>
      </w:r>
      <w:r>
        <w:rPr>
          <w:rFonts w:ascii="Arial" w:eastAsia="Arial" w:hAnsi="Arial" w:cs="Arial"/>
          <w:b w:val="0"/>
          <w:i w:val="0"/>
          <w:color w:val="929292"/>
          <w:sz w:val="16"/>
          <w:u w:val="none"/>
        </w:rPr>
        <w:t>200%</w:t>
      </w:r>
      <w:r>
        <w:rPr>
          <w:rFonts w:ascii="Arial" w:eastAsia="Arial" w:hAnsi="Arial" w:cs="Arial"/>
          <w:b w:val="0"/>
          <w:i w:val="0"/>
          <w:color w:val="929292"/>
          <w:sz w:val="16"/>
          <w:u w:val="none"/>
        </w:rPr>
        <w:t xml:space="preserve"> of target) scheduled to cliff vest following a three-year performance period that began on January 1, 202</w:t>
      </w:r>
      <w:r>
        <w:rPr>
          <w:rFonts w:ascii="Arial" w:eastAsia="Arial" w:hAnsi="Arial" w:cs="Arial"/>
          <w:b w:val="0"/>
          <w:i w:val="0"/>
          <w:color w:val="929292"/>
          <w:sz w:val="16"/>
          <w:u w:val="none"/>
        </w:rPr>
        <w:t>3</w:t>
      </w:r>
      <w:r>
        <w:rPr>
          <w:rFonts w:ascii="Arial" w:eastAsia="Arial" w:hAnsi="Arial" w:cs="Arial"/>
          <w:b w:val="0"/>
          <w:i w:val="0"/>
          <w:color w:val="929292"/>
          <w:sz w:val="16"/>
          <w:u w:val="none"/>
        </w:rPr>
        <w:t xml:space="preserve"> subject to the Company's achievement of certain levels of growth in </w:t>
      </w:r>
      <w:r>
        <w:rPr>
          <w:rFonts w:ascii="Arial" w:eastAsia="Arial" w:hAnsi="Arial" w:cs="Arial"/>
          <w:b w:val="0"/>
          <w:i w:val="0"/>
          <w:color w:val="929292"/>
          <w:sz w:val="16"/>
          <w:u w:val="none"/>
        </w:rPr>
        <w:t>FDBVPS</w:t>
      </w:r>
      <w:r>
        <w:rPr>
          <w:rFonts w:ascii="Arial" w:eastAsia="Arial" w:hAnsi="Arial" w:cs="Arial"/>
          <w:b w:val="0"/>
          <w:i w:val="0"/>
          <w:color w:val="929292"/>
          <w:sz w:val="16"/>
          <w:u w:val="none"/>
        </w:rPr>
        <w:t xml:space="preserve">; and (d) </w:t>
      </w:r>
      <w:r>
        <w:rPr>
          <w:rFonts w:ascii="Arial" w:eastAsia="Arial" w:hAnsi="Arial" w:cs="Arial"/>
          <w:b w:val="0"/>
          <w:i w:val="0"/>
          <w:color w:val="929292"/>
          <w:sz w:val="16"/>
          <w:u w:val="none"/>
        </w:rPr>
        <w:t>1,886</w:t>
      </w:r>
      <w:r>
        <w:rPr>
          <w:rFonts w:ascii="Arial" w:eastAsia="Arial" w:hAnsi="Arial" w:cs="Arial"/>
          <w:b w:val="0"/>
          <w:i w:val="0"/>
          <w:color w:val="929292"/>
          <w:sz w:val="16"/>
          <w:u w:val="none"/>
        </w:rPr>
        <w:t xml:space="preserve"> PSUs (</w:t>
      </w:r>
      <w:r>
        <w:rPr>
          <w:rFonts w:ascii="Arial" w:eastAsia="Arial" w:hAnsi="Arial" w:cs="Arial"/>
          <w:b w:val="0"/>
          <w:i w:val="0"/>
          <w:color w:val="929292"/>
          <w:sz w:val="16"/>
          <w:u w:val="none"/>
        </w:rPr>
        <w:t>200%</w:t>
      </w:r>
      <w:r>
        <w:rPr>
          <w:rFonts w:ascii="Arial" w:eastAsia="Arial" w:hAnsi="Arial" w:cs="Arial"/>
          <w:b w:val="0"/>
          <w:i w:val="0"/>
          <w:color w:val="929292"/>
          <w:sz w:val="16"/>
          <w:u w:val="none"/>
        </w:rPr>
        <w:t xml:space="preserve"> of target) that cliff vest following a three-year performance period that began on January 1, 202</w:t>
      </w:r>
      <w:r>
        <w:rPr>
          <w:rFonts w:ascii="Arial" w:eastAsia="Arial" w:hAnsi="Arial" w:cs="Arial"/>
          <w:b w:val="0"/>
          <w:i w:val="0"/>
          <w:color w:val="929292"/>
          <w:sz w:val="16"/>
          <w:u w:val="none"/>
        </w:rPr>
        <w:t>3</w:t>
      </w:r>
      <w:r>
        <w:rPr>
          <w:rFonts w:ascii="Arial" w:eastAsia="Arial" w:hAnsi="Arial" w:cs="Arial"/>
          <w:b w:val="0"/>
          <w:i w:val="0"/>
          <w:color w:val="929292"/>
          <w:sz w:val="16"/>
          <w:u w:val="none"/>
        </w:rPr>
        <w:t xml:space="preserve"> subject to the Company's achievement of certain levels of </w:t>
      </w:r>
      <w:r>
        <w:rPr>
          <w:rFonts w:ascii="Arial" w:eastAsia="Arial" w:hAnsi="Arial" w:cs="Arial"/>
          <w:b w:val="0"/>
          <w:i w:val="0"/>
          <w:color w:val="929292"/>
          <w:sz w:val="16"/>
          <w:u w:val="none"/>
        </w:rPr>
        <w:t>Adjusted</w:t>
      </w:r>
      <w:r>
        <w:rPr>
          <w:rFonts w:ascii="Arial" w:eastAsia="Arial" w:hAnsi="Arial" w:cs="Arial"/>
          <w:b w:val="0"/>
          <w:i w:val="0"/>
          <w:color w:val="929292"/>
          <w:sz w:val="16"/>
          <w:u w:val="none"/>
        </w:rPr>
        <w:t xml:space="preserve"> ROE.</w:t>
      </w:r>
    </w:p>
    <w:p>
      <w:pPr>
        <w:keepNext w:val="0"/>
        <w:keepLines w:val="0"/>
        <w:pageBreakBefore w:val="0"/>
        <w:widowControl/>
        <w:numPr>
          <w:ilvl w:val="0"/>
          <w:numId w:val="319"/>
        </w:numPr>
        <w:spacing w:before="0" w:after="60" w:line="288" w:lineRule="auto"/>
        <w:ind w:left="360" w:right="0" w:hanging="360"/>
        <w:jc w:val="both"/>
        <w:outlineLvl w:val="9"/>
        <w:rPr>
          <w:rFonts w:ascii="Arial" w:eastAsia="Arial" w:hAnsi="Arial" w:cs="Arial"/>
          <w:b w:val="0"/>
          <w:i w:val="0"/>
          <w:color w:val="929292"/>
          <w:sz w:val="16"/>
          <w:u w:val="none"/>
        </w:rPr>
        <w:sectPr>
          <w:headerReference w:type="default" r:id="rId289"/>
          <w:footerReference w:type="default" r:id="rId290"/>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106" w:name="Section109"/>
      <w:bookmarkEnd w:id="106"/>
    </w:p>
    <w:p>
      <w:pPr>
        <w:keepNext/>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 xml:space="preserve">Option Exercises and Stock Vested </w:t>
      </w:r>
      <w:r>
        <w:rPr>
          <w:rFonts w:ascii="Arial" w:eastAsia="Arial" w:hAnsi="Arial" w:cs="Arial"/>
          <w:b/>
          <w:i w:val="0"/>
          <w:color w:val="171449"/>
          <w:sz w:val="24"/>
          <w:u w:val="none"/>
        </w:rPr>
        <w:t>d</w:t>
      </w:r>
      <w:r>
        <w:rPr>
          <w:rFonts w:ascii="Arial" w:eastAsia="Arial" w:hAnsi="Arial" w:cs="Arial"/>
          <w:b/>
          <w:i w:val="0"/>
          <w:color w:val="171449"/>
          <w:sz w:val="24"/>
          <w:u w:val="none"/>
        </w:rPr>
        <w:t xml:space="preserve">uring </w:t>
      </w:r>
      <w:r>
        <w:rPr>
          <w:rFonts w:ascii="Arial" w:eastAsia="Arial" w:hAnsi="Arial" w:cs="Arial"/>
          <w:b/>
          <w:i w:val="0"/>
          <w:color w:val="171449"/>
          <w:sz w:val="24"/>
          <w:u w:val="none"/>
        </w:rPr>
        <w:t>2023</w:t>
      </w:r>
      <w:r>
        <w:rPr>
          <w:rFonts w:ascii="Arial" w:eastAsia="Arial" w:hAnsi="Arial" w:cs="Arial"/>
          <w:b/>
          <w:i w:val="0"/>
          <w:color w:val="171449"/>
          <w:sz w:val="24"/>
          <w:u w:val="none"/>
        </w:rPr>
        <w:t xml:space="preserve"> Fiscal Year</w:t>
      </w:r>
    </w:p>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following table sets forth information regarding the vesting of restricted shares held by the executive officers during the </w:t>
      </w:r>
      <w:r>
        <w:rPr>
          <w:rFonts w:ascii="Arial" w:eastAsia="Arial" w:hAnsi="Arial" w:cs="Arial"/>
          <w:b w:val="0"/>
          <w:i w:val="0"/>
          <w:color w:val="000000"/>
          <w:sz w:val="20"/>
          <w:u w:val="none"/>
        </w:rPr>
        <w:t>2023</w:t>
      </w:r>
      <w:r>
        <w:rPr>
          <w:rFonts w:ascii="Arial" w:eastAsia="Arial" w:hAnsi="Arial" w:cs="Arial"/>
          <w:b w:val="0"/>
          <w:i w:val="0"/>
          <w:sz w:val="20"/>
        </w:rPr>
        <w:t xml:space="preserve"> fiscal year.</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480"/>
        <w:gridCol w:w="1425"/>
        <w:gridCol w:w="300"/>
        <w:gridCol w:w="1365"/>
        <w:gridCol w:w="1500"/>
        <w:gridCol w:w="165"/>
        <w:gridCol w:w="1815"/>
      </w:tblGrid>
      <w:tr>
        <w:tblPrEx>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40"/>
          <w:jc w:val="center"/>
        </w:trPr>
        <w:tc>
          <w:tcPr>
            <w:tcW w:w="348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FFFFFF"/>
                <w:sz w:val="16"/>
                <w:u w:val="none"/>
              </w:rPr>
              <w:t>  </w:t>
            </w:r>
          </w:p>
        </w:tc>
        <w:tc>
          <w:tcPr>
            <w:tcW w:w="3090" w:type="dxa"/>
            <w:gridSpan w:val="3"/>
            <w:tcBorders>
              <w:top w:val="nil"/>
              <w:left w:val="nil"/>
              <w:bottom w:val="nil"/>
              <w:right w:val="nil"/>
            </w:tcBorders>
            <w:shd w:val="clear" w:color="auto" w:fill="1D64A3"/>
            <w:tcMar>
              <w:top w:w="0" w:type="dxa"/>
              <w:left w:w="53" w:type="dxa"/>
              <w:bottom w:w="0" w:type="dxa"/>
              <w:right w:w="53" w:type="dxa"/>
            </w:tcMar>
            <w:vAlign w:val="bottom"/>
          </w:tcPr>
          <w:p>
            <w:pPr>
              <w:keepNext/>
              <w:pageBreakBefore w:val="0"/>
              <w:spacing w:before="53" w:after="30" w:line="288" w:lineRule="auto"/>
              <w:jc w:val="center"/>
            </w:pPr>
            <w:r>
              <w:rPr>
                <w:rFonts w:ascii="Arial" w:eastAsia="Arial" w:hAnsi="Arial" w:cs="Arial"/>
                <w:b/>
                <w:i w:val="0"/>
                <w:color w:val="FFFFFF"/>
                <w:sz w:val="16"/>
                <w:u w:val="none"/>
              </w:rPr>
              <w:t>Option Awards</w:t>
            </w:r>
          </w:p>
        </w:tc>
        <w:tc>
          <w:tcPr>
            <w:tcW w:w="3480" w:type="dxa"/>
            <w:gridSpan w:val="3"/>
            <w:tcBorders>
              <w:top w:val="nil"/>
              <w:left w:val="nil"/>
              <w:bottom w:val="nil"/>
              <w:right w:val="nil"/>
            </w:tcBorders>
            <w:shd w:val="clear" w:color="auto" w:fill="1D64A3"/>
            <w:tcMar>
              <w:top w:w="0" w:type="dxa"/>
              <w:left w:w="53" w:type="dxa"/>
              <w:bottom w:w="0" w:type="dxa"/>
              <w:right w:w="53" w:type="dxa"/>
            </w:tcMar>
            <w:vAlign w:val="bottom"/>
          </w:tcPr>
          <w:p>
            <w:pPr>
              <w:keepNext/>
              <w:pageBreakBefore w:val="0"/>
              <w:spacing w:before="53" w:after="30" w:line="288" w:lineRule="auto"/>
              <w:jc w:val="center"/>
            </w:pPr>
            <w:r>
              <w:rPr>
                <w:rFonts w:ascii="Arial" w:eastAsia="Arial" w:hAnsi="Arial" w:cs="Arial"/>
                <w:b/>
                <w:i w:val="0"/>
                <w:color w:val="FFFFFF"/>
                <w:sz w:val="16"/>
                <w:u w:val="none"/>
              </w:rPr>
              <w:t>Stock Awards</w:t>
            </w:r>
          </w:p>
        </w:tc>
      </w:tr>
      <w:tr>
        <w:tblPrEx>
          <w:tblW w:w="10050" w:type="dxa"/>
          <w:jc w:val="center"/>
          <w:tblLayout w:type="fixed"/>
          <w:tblCellMar>
            <w:left w:w="108" w:type="dxa"/>
            <w:right w:w="108" w:type="dxa"/>
          </w:tblCellMar>
        </w:tblPrEx>
        <w:trPr>
          <w:cantSplit/>
          <w:trHeight w:hRule="exact" w:val="705"/>
          <w:jc w:val="center"/>
        </w:trPr>
        <w:tc>
          <w:tcPr>
            <w:tcW w:w="3480"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ind w:left="90"/>
              <w:jc w:val="left"/>
            </w:pPr>
            <w:r>
              <w:rPr>
                <w:rFonts w:ascii="Arial" w:eastAsia="Arial" w:hAnsi="Arial" w:cs="Arial"/>
                <w:b/>
                <w:i w:val="0"/>
                <w:color w:val="FFFFFF"/>
                <w:sz w:val="16"/>
                <w:u w:val="none"/>
              </w:rPr>
              <w:t>Name</w:t>
            </w:r>
          </w:p>
        </w:tc>
        <w:tc>
          <w:tcPr>
            <w:tcW w:w="1425" w:type="dxa"/>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line="288" w:lineRule="auto"/>
              <w:jc w:val="right"/>
            </w:pPr>
            <w:r>
              <w:rPr>
                <w:rFonts w:ascii="Arial" w:eastAsia="Arial" w:hAnsi="Arial" w:cs="Arial"/>
                <w:b/>
                <w:i w:val="0"/>
                <w:color w:val="FFFFFF"/>
                <w:sz w:val="16"/>
                <w:u w:val="none"/>
              </w:rPr>
              <w:t>Number of</w:t>
            </w:r>
          </w:p>
          <w:p>
            <w:pPr>
              <w:spacing w:line="288" w:lineRule="auto"/>
              <w:jc w:val="right"/>
            </w:pPr>
            <w:r>
              <w:rPr>
                <w:rFonts w:ascii="Arial" w:eastAsia="Arial" w:hAnsi="Arial" w:cs="Arial"/>
                <w:b/>
                <w:i w:val="0"/>
                <w:color w:val="FFFFFF"/>
                <w:sz w:val="16"/>
                <w:u w:val="none"/>
              </w:rPr>
              <w:t>Shares Acquired</w:t>
            </w:r>
          </w:p>
          <w:p>
            <w:pPr>
              <w:spacing w:after="30" w:line="288" w:lineRule="auto"/>
              <w:jc w:val="right"/>
            </w:pPr>
            <w:r>
              <w:rPr>
                <w:rFonts w:ascii="Arial" w:eastAsia="Arial" w:hAnsi="Arial" w:cs="Arial"/>
                <w:b/>
                <w:i w:val="0"/>
                <w:color w:val="FFFFFF"/>
                <w:sz w:val="16"/>
                <w:u w:val="none"/>
              </w:rPr>
              <w:t>on Exercise</w:t>
            </w:r>
          </w:p>
        </w:tc>
        <w:tc>
          <w:tcPr>
            <w:tcW w:w="30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3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Value Realized on Exercise</w:t>
            </w:r>
            <w:r>
              <w:rPr>
                <w:rFonts w:ascii="Arial" w:eastAsia="Arial" w:hAnsi="Arial" w:cs="Arial"/>
                <w:b/>
                <w:i w:val="0"/>
                <w:color w:val="FFFFFF"/>
                <w:sz w:val="16"/>
                <w:u w:val="none"/>
                <w:vertAlign w:val="superscript"/>
              </w:rPr>
              <w:t>(1)</w:t>
            </w:r>
          </w:p>
        </w:tc>
        <w:tc>
          <w:tcPr>
            <w:tcW w:w="1500" w:type="dxa"/>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line="288" w:lineRule="auto"/>
              <w:jc w:val="right"/>
            </w:pPr>
            <w:r>
              <w:rPr>
                <w:rFonts w:ascii="Arial" w:eastAsia="Arial" w:hAnsi="Arial" w:cs="Arial"/>
                <w:b/>
                <w:i w:val="0"/>
                <w:color w:val="FFFFFF"/>
                <w:sz w:val="16"/>
                <w:u w:val="none"/>
              </w:rPr>
              <w:t>Number of</w:t>
            </w:r>
          </w:p>
          <w:p>
            <w:pPr>
              <w:spacing w:line="288" w:lineRule="auto"/>
              <w:jc w:val="right"/>
            </w:pPr>
            <w:r>
              <w:rPr>
                <w:rFonts w:ascii="Arial" w:eastAsia="Arial" w:hAnsi="Arial" w:cs="Arial"/>
                <w:b/>
                <w:i w:val="0"/>
                <w:color w:val="FFFFFF"/>
                <w:sz w:val="16"/>
                <w:u w:val="none"/>
              </w:rPr>
              <w:t>Shares Acquired</w:t>
            </w:r>
          </w:p>
          <w:p>
            <w:pPr>
              <w:spacing w:after="30" w:line="288" w:lineRule="auto"/>
              <w:jc w:val="right"/>
            </w:pPr>
            <w:r>
              <w:rPr>
                <w:rFonts w:ascii="Arial" w:eastAsia="Arial" w:hAnsi="Arial" w:cs="Arial"/>
                <w:b/>
                <w:i w:val="0"/>
                <w:color w:val="FFFFFF"/>
                <w:sz w:val="16"/>
                <w:u w:val="none"/>
              </w:rPr>
              <w:t>on Vesting</w:t>
            </w:r>
          </w:p>
        </w:tc>
        <w:tc>
          <w:tcPr>
            <w:tcW w:w="16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81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Value</w:t>
            </w:r>
          </w:p>
          <w:p>
            <w:pPr>
              <w:pageBreakBefore w:val="0"/>
              <w:numPr>
                <w:ilvl w:val="0"/>
                <w:numId w:val="0"/>
              </w:numPr>
              <w:spacing w:before="0" w:after="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Realized on</w:t>
            </w:r>
          </w:p>
          <w:p>
            <w:pPr>
              <w:pageBreakBefore w:val="0"/>
              <w:numPr>
                <w:ilvl w:val="0"/>
                <w:numId w:val="0"/>
              </w:numPr>
              <w:spacing w:before="0" w:after="3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Vesting</w:t>
            </w:r>
            <w:r>
              <w:rPr>
                <w:rFonts w:ascii="Arial" w:eastAsia="Arial" w:hAnsi="Arial" w:cs="Arial"/>
                <w:b/>
                <w:i w:val="0"/>
                <w:color w:val="FFFFFF"/>
                <w:sz w:val="16"/>
                <w:u w:val="none"/>
                <w:vertAlign w:val="superscript"/>
              </w:rPr>
              <w:t>(</w:t>
            </w:r>
            <w:r>
              <w:rPr>
                <w:rFonts w:ascii="Arial" w:eastAsia="Arial" w:hAnsi="Arial" w:cs="Arial"/>
                <w:b/>
                <w:i w:val="0"/>
                <w:color w:val="FFFFFF"/>
                <w:sz w:val="16"/>
                <w:u w:val="none"/>
                <w:vertAlign w:val="superscript"/>
              </w:rPr>
              <w:t>2</w:t>
            </w:r>
            <w:r>
              <w:rPr>
                <w:rFonts w:ascii="Arial" w:eastAsia="Arial" w:hAnsi="Arial" w:cs="Arial"/>
                <w:b/>
                <w:i w:val="0"/>
                <w:color w:val="FFFFFF"/>
                <w:sz w:val="16"/>
                <w:u w:val="none"/>
                <w:vertAlign w:val="superscript"/>
              </w:rPr>
              <w:t>)</w:t>
            </w:r>
          </w:p>
        </w:tc>
      </w:tr>
      <w:tr>
        <w:tblPrEx>
          <w:tblW w:w="10050" w:type="dxa"/>
          <w:jc w:val="center"/>
          <w:tblLayout w:type="fixed"/>
          <w:tblCellMar>
            <w:left w:w="108" w:type="dxa"/>
            <w:right w:w="108" w:type="dxa"/>
          </w:tblCellMar>
        </w:tblPrEx>
        <w:trPr>
          <w:cantSplit/>
          <w:trHeight w:hRule="exact" w:val="345"/>
          <w:jc w:val="center"/>
        </w:trPr>
        <w:tc>
          <w:tcPr>
            <w:tcW w:w="3480"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i w:val="0"/>
                <w:color w:val="000000"/>
                <w:sz w:val="20"/>
                <w:u w:val="none"/>
              </w:rPr>
              <w:t>Dominic Silvester</w:t>
            </w:r>
          </w:p>
        </w:tc>
        <w:tc>
          <w:tcPr>
            <w:tcW w:w="142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069"/>
              </w:tabs>
              <w:spacing w:before="0" w:after="0" w:line="288" w:lineRule="auto"/>
              <w:ind w:right="90"/>
              <w:jc w:val="right"/>
            </w:pPr>
            <w:r>
              <w:rPr>
                <w:rFonts w:ascii="Arial" w:eastAsia="Arial" w:hAnsi="Arial" w:cs="Arial"/>
                <w:b w:val="0"/>
                <w:i w:val="0"/>
                <w:color w:val="000000"/>
                <w:sz w:val="20"/>
                <w:u w:val="none"/>
              </w:rPr>
              <w:tab/>
              <w:t>—</w:t>
            </w:r>
          </w:p>
        </w:tc>
        <w:tc>
          <w:tcPr>
            <w:tcW w:w="300"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500"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144"/>
              </w:tabs>
              <w:spacing w:before="0" w:after="0" w:line="288" w:lineRule="auto"/>
              <w:ind w:right="90"/>
              <w:jc w:val="right"/>
            </w:pPr>
            <w:r>
              <w:rPr>
                <w:rFonts w:ascii="Arial" w:eastAsia="Arial" w:hAnsi="Arial" w:cs="Arial"/>
                <w:b w:val="0"/>
                <w:i w:val="0"/>
                <w:color w:val="000000"/>
                <w:sz w:val="20"/>
                <w:u w:val="none"/>
              </w:rPr>
              <w:tab/>
              <w:t>—</w:t>
            </w:r>
          </w:p>
        </w:tc>
        <w:tc>
          <w:tcPr>
            <w:tcW w:w="16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81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459"/>
              </w:tabs>
              <w:spacing w:before="0" w:after="0" w:line="288" w:lineRule="auto"/>
              <w:ind w:right="90"/>
              <w:jc w:val="right"/>
            </w:pPr>
            <w:r>
              <w:rPr>
                <w:rFonts w:ascii="Arial" w:eastAsia="Arial" w:hAnsi="Arial" w:cs="Arial"/>
                <w:b w:val="0"/>
                <w:i w:val="0"/>
                <w:color w:val="000000"/>
                <w:sz w:val="20"/>
                <w:u w:val="none"/>
              </w:rPr>
              <w:t>$</w:t>
              <w:tab/>
              <w:t>—</w:t>
            </w:r>
          </w:p>
        </w:tc>
      </w:tr>
      <w:tr>
        <w:tblPrEx>
          <w:tblW w:w="10050" w:type="dxa"/>
          <w:jc w:val="center"/>
          <w:tblLayout w:type="fixed"/>
          <w:tblCellMar>
            <w:left w:w="108" w:type="dxa"/>
            <w:right w:w="108" w:type="dxa"/>
          </w:tblCellMar>
        </w:tblPrEx>
        <w:trPr>
          <w:cantSplit/>
          <w:trHeight w:hRule="exact" w:val="345"/>
          <w:jc w:val="center"/>
        </w:trPr>
        <w:tc>
          <w:tcPr>
            <w:tcW w:w="3480"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i w:val="0"/>
                <w:color w:val="000000"/>
                <w:sz w:val="20"/>
                <w:u w:val="none"/>
              </w:rPr>
              <w:t>Matthew Kirk</w:t>
            </w:r>
          </w:p>
        </w:tc>
        <w:tc>
          <w:tcPr>
            <w:tcW w:w="142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069"/>
              </w:tabs>
              <w:spacing w:before="0" w:after="0" w:line="288" w:lineRule="auto"/>
              <w:ind w:right="90"/>
              <w:jc w:val="right"/>
            </w:pPr>
            <w:r>
              <w:rPr>
                <w:rFonts w:ascii="Arial" w:eastAsia="Arial" w:hAnsi="Arial" w:cs="Arial"/>
                <w:b w:val="0"/>
                <w:i w:val="0"/>
                <w:color w:val="000000"/>
                <w:sz w:val="20"/>
                <w:u w:val="none"/>
              </w:rPr>
              <w:tab/>
              <w:t>—</w:t>
            </w:r>
          </w:p>
        </w:tc>
        <w:tc>
          <w:tcPr>
            <w:tcW w:w="30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50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844"/>
              </w:tabs>
              <w:spacing w:before="0" w:after="0" w:line="288" w:lineRule="auto"/>
              <w:ind w:right="90"/>
              <w:jc w:val="right"/>
            </w:pPr>
            <w:r>
              <w:rPr>
                <w:rFonts w:ascii="Arial" w:eastAsia="Arial" w:hAnsi="Arial" w:cs="Arial"/>
                <w:b w:val="0"/>
                <w:i w:val="0"/>
                <w:color w:val="000000"/>
                <w:sz w:val="20"/>
                <w:u w:val="none"/>
              </w:rPr>
              <w:tab/>
              <w:t>1,001</w:t>
            </w:r>
          </w:p>
        </w:tc>
        <w:tc>
          <w:tcPr>
            <w:tcW w:w="16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81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459"/>
              </w:tabs>
              <w:spacing w:before="0" w:after="0" w:line="288" w:lineRule="auto"/>
              <w:ind w:right="90"/>
              <w:jc w:val="right"/>
            </w:pPr>
            <w:r>
              <w:rPr>
                <w:rFonts w:ascii="Arial" w:eastAsia="Arial" w:hAnsi="Arial" w:cs="Arial"/>
                <w:b w:val="0"/>
                <w:i w:val="0"/>
                <w:color w:val="000000"/>
                <w:sz w:val="20"/>
                <w:u w:val="none"/>
              </w:rPr>
              <w:t>$</w:t>
              <w:tab/>
              <w:t>—</w:t>
            </w:r>
          </w:p>
        </w:tc>
      </w:tr>
      <w:tr>
        <w:tblPrEx>
          <w:tblW w:w="10050" w:type="dxa"/>
          <w:jc w:val="center"/>
          <w:tblLayout w:type="fixed"/>
          <w:tblCellMar>
            <w:left w:w="108" w:type="dxa"/>
            <w:right w:w="108" w:type="dxa"/>
          </w:tblCellMar>
        </w:tblPrEx>
        <w:trPr>
          <w:cantSplit/>
          <w:trHeight w:hRule="exact" w:val="345"/>
          <w:jc w:val="center"/>
        </w:trPr>
        <w:tc>
          <w:tcPr>
            <w:tcW w:w="3480"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i w:val="0"/>
                <w:color w:val="000000"/>
                <w:sz w:val="20"/>
                <w:u w:val="none"/>
              </w:rPr>
              <w:t>Orla Gregory</w:t>
            </w:r>
          </w:p>
        </w:tc>
        <w:tc>
          <w:tcPr>
            <w:tcW w:w="142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657"/>
              </w:tabs>
              <w:spacing w:before="0" w:after="0" w:line="288" w:lineRule="auto"/>
              <w:ind w:right="90"/>
              <w:jc w:val="right"/>
            </w:pPr>
            <w:r>
              <w:rPr>
                <w:rFonts w:ascii="Arial" w:eastAsia="Arial" w:hAnsi="Arial" w:cs="Arial"/>
                <w:b w:val="0"/>
                <w:i w:val="0"/>
                <w:color w:val="000000"/>
                <w:sz w:val="20"/>
                <w:u w:val="none"/>
              </w:rPr>
              <w:tab/>
              <w:t>20,000</w:t>
            </w:r>
          </w:p>
        </w:tc>
        <w:tc>
          <w:tcPr>
            <w:tcW w:w="300"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vertAlign w:val="superscript"/>
              </w:rPr>
            </w:pPr>
            <w:r>
              <w:rPr>
                <w:rFonts w:ascii="Arial" w:eastAsia="Arial" w:hAnsi="Arial" w:cs="Arial"/>
                <w:b w:val="0"/>
                <w:i w:val="0"/>
                <w:sz w:val="18"/>
                <w:vertAlign w:val="superscript"/>
              </w:rPr>
              <w:t>(</w:t>
            </w:r>
            <w:r>
              <w:rPr>
                <w:rFonts w:ascii="Arial" w:eastAsia="Arial" w:hAnsi="Arial" w:cs="Arial"/>
                <w:b w:val="0"/>
                <w:i w:val="0"/>
                <w:sz w:val="18"/>
                <w:vertAlign w:val="superscript"/>
              </w:rPr>
              <w:t>3</w:t>
            </w:r>
            <w:r>
              <w:rPr>
                <w:rFonts w:ascii="Arial" w:eastAsia="Arial" w:hAnsi="Arial" w:cs="Arial"/>
                <w:b w:val="0"/>
                <w:i w:val="0"/>
                <w:sz w:val="18"/>
                <w:vertAlign w:val="superscript"/>
              </w:rPr>
              <w:t>)</w:t>
            </w:r>
          </w:p>
        </w:tc>
        <w:tc>
          <w:tcPr>
            <w:tcW w:w="136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320"/>
              </w:tabs>
              <w:spacing w:before="0" w:after="0" w:line="288" w:lineRule="auto"/>
              <w:ind w:right="90"/>
              <w:jc w:val="right"/>
            </w:pPr>
            <w:r>
              <w:rPr>
                <w:rFonts w:ascii="Arial" w:eastAsia="Arial" w:hAnsi="Arial" w:cs="Arial"/>
                <w:b w:val="0"/>
                <w:i w:val="0"/>
                <w:color w:val="000000"/>
                <w:sz w:val="20"/>
                <w:u w:val="none"/>
              </w:rPr>
              <w:t>$</w:t>
              <w:tab/>
              <w:t>2,747,800</w:t>
            </w:r>
          </w:p>
        </w:tc>
        <w:tc>
          <w:tcPr>
            <w:tcW w:w="1500"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844"/>
              </w:tabs>
              <w:spacing w:before="0" w:after="0" w:line="288" w:lineRule="auto"/>
              <w:ind w:right="90"/>
              <w:jc w:val="right"/>
            </w:pPr>
            <w:r>
              <w:rPr>
                <w:rFonts w:ascii="Arial" w:eastAsia="Arial" w:hAnsi="Arial" w:cs="Arial"/>
                <w:b w:val="0"/>
                <w:i w:val="0"/>
                <w:color w:val="000000"/>
                <w:sz w:val="20"/>
                <w:u w:val="none"/>
              </w:rPr>
              <w:tab/>
              <w:t>2,241</w:t>
            </w:r>
          </w:p>
        </w:tc>
        <w:tc>
          <w:tcPr>
            <w:tcW w:w="16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81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936"/>
              </w:tabs>
              <w:spacing w:before="0" w:after="0" w:line="288" w:lineRule="auto"/>
              <w:ind w:right="90"/>
              <w:jc w:val="right"/>
            </w:pPr>
            <w:r>
              <w:rPr>
                <w:rFonts w:ascii="Arial" w:eastAsia="Arial" w:hAnsi="Arial" w:cs="Arial"/>
                <w:b w:val="0"/>
                <w:i w:val="0"/>
                <w:color w:val="000000"/>
                <w:sz w:val="20"/>
                <w:u w:val="none"/>
              </w:rPr>
              <w:t>$</w:t>
              <w:tab/>
              <w:t>542,748</w:t>
            </w:r>
          </w:p>
        </w:tc>
      </w:tr>
      <w:tr>
        <w:tblPrEx>
          <w:tblW w:w="10050" w:type="dxa"/>
          <w:jc w:val="center"/>
          <w:tblLayout w:type="fixed"/>
          <w:tblCellMar>
            <w:left w:w="108" w:type="dxa"/>
            <w:right w:w="108" w:type="dxa"/>
          </w:tblCellMar>
        </w:tblPrEx>
        <w:trPr>
          <w:cantSplit/>
          <w:trHeight w:hRule="exact" w:val="345"/>
          <w:jc w:val="center"/>
        </w:trPr>
        <w:tc>
          <w:tcPr>
            <w:tcW w:w="3480"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i w:val="0"/>
                <w:color w:val="000000"/>
                <w:sz w:val="20"/>
                <w:u w:val="none"/>
              </w:rPr>
              <w:t>David Ni</w:t>
            </w:r>
          </w:p>
        </w:tc>
        <w:tc>
          <w:tcPr>
            <w:tcW w:w="142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069"/>
              </w:tabs>
              <w:spacing w:before="0" w:after="0" w:line="288" w:lineRule="auto"/>
              <w:ind w:right="90"/>
              <w:jc w:val="right"/>
            </w:pPr>
            <w:r>
              <w:rPr>
                <w:rFonts w:ascii="Arial" w:eastAsia="Arial" w:hAnsi="Arial" w:cs="Arial"/>
                <w:b w:val="0"/>
                <w:i w:val="0"/>
                <w:color w:val="000000"/>
                <w:sz w:val="20"/>
                <w:u w:val="none"/>
              </w:rPr>
              <w:tab/>
              <w:t>—</w:t>
            </w:r>
          </w:p>
        </w:tc>
        <w:tc>
          <w:tcPr>
            <w:tcW w:w="300"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50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844"/>
              </w:tabs>
              <w:spacing w:before="0" w:after="0" w:line="288" w:lineRule="auto"/>
              <w:ind w:right="90"/>
              <w:jc w:val="right"/>
            </w:pPr>
            <w:r>
              <w:rPr>
                <w:rFonts w:ascii="Arial" w:eastAsia="Arial" w:hAnsi="Arial" w:cs="Arial"/>
                <w:b w:val="0"/>
                <w:i w:val="0"/>
                <w:color w:val="000000"/>
                <w:sz w:val="20"/>
                <w:u w:val="none"/>
              </w:rPr>
              <w:tab/>
              <w:t>1,309</w:t>
            </w:r>
          </w:p>
        </w:tc>
        <w:tc>
          <w:tcPr>
            <w:tcW w:w="16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81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936"/>
              </w:tabs>
              <w:spacing w:before="0" w:after="0" w:line="288" w:lineRule="auto"/>
              <w:ind w:right="90"/>
              <w:jc w:val="right"/>
            </w:pPr>
            <w:r>
              <w:rPr>
                <w:rFonts w:ascii="Arial" w:eastAsia="Arial" w:hAnsi="Arial" w:cs="Arial"/>
                <w:b w:val="0"/>
                <w:i w:val="0"/>
                <w:color w:val="000000"/>
                <w:sz w:val="20"/>
                <w:u w:val="none"/>
              </w:rPr>
              <w:t>$</w:t>
              <w:tab/>
              <w:t>304,300</w:t>
            </w:r>
          </w:p>
        </w:tc>
      </w:tr>
      <w:tr>
        <w:tblPrEx>
          <w:tblW w:w="10050" w:type="dxa"/>
          <w:jc w:val="center"/>
          <w:tblLayout w:type="fixed"/>
          <w:tblCellMar>
            <w:left w:w="108" w:type="dxa"/>
            <w:right w:w="108" w:type="dxa"/>
          </w:tblCellMar>
        </w:tblPrEx>
        <w:trPr>
          <w:cantSplit/>
          <w:trHeight w:hRule="exact" w:val="345"/>
          <w:jc w:val="center"/>
        </w:trPr>
        <w:tc>
          <w:tcPr>
            <w:tcW w:w="3480"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i w:val="0"/>
                <w:color w:val="000000"/>
                <w:sz w:val="20"/>
                <w:u w:val="none"/>
              </w:rPr>
              <w:t>Paul Brockman</w:t>
            </w:r>
          </w:p>
        </w:tc>
        <w:tc>
          <w:tcPr>
            <w:tcW w:w="142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069"/>
              </w:tabs>
              <w:spacing w:before="0" w:after="0" w:line="288" w:lineRule="auto"/>
              <w:ind w:right="90"/>
              <w:jc w:val="right"/>
            </w:pPr>
            <w:r>
              <w:rPr>
                <w:rFonts w:ascii="Arial" w:eastAsia="Arial" w:hAnsi="Arial" w:cs="Arial"/>
                <w:b w:val="0"/>
                <w:i w:val="0"/>
                <w:color w:val="000000"/>
                <w:sz w:val="20"/>
                <w:u w:val="none"/>
              </w:rPr>
              <w:tab/>
              <w:t>—</w:t>
            </w:r>
          </w:p>
        </w:tc>
        <w:tc>
          <w:tcPr>
            <w:tcW w:w="300"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500"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844"/>
              </w:tabs>
              <w:spacing w:before="0" w:after="0" w:line="288" w:lineRule="auto"/>
              <w:ind w:right="90"/>
              <w:jc w:val="right"/>
            </w:pPr>
            <w:r>
              <w:rPr>
                <w:rFonts w:ascii="Arial" w:eastAsia="Arial" w:hAnsi="Arial" w:cs="Arial"/>
                <w:b w:val="0"/>
                <w:i w:val="0"/>
                <w:color w:val="000000"/>
                <w:sz w:val="20"/>
                <w:u w:val="none"/>
              </w:rPr>
              <w:tab/>
              <w:t>5,064</w:t>
            </w:r>
          </w:p>
        </w:tc>
        <w:tc>
          <w:tcPr>
            <w:tcW w:w="16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81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770"/>
              </w:tabs>
              <w:spacing w:before="0" w:after="0" w:line="288" w:lineRule="auto"/>
              <w:ind w:right="90"/>
              <w:jc w:val="right"/>
            </w:pPr>
            <w:r>
              <w:rPr>
                <w:rFonts w:ascii="Arial" w:eastAsia="Arial" w:hAnsi="Arial" w:cs="Arial"/>
                <w:b w:val="0"/>
                <w:i w:val="0"/>
                <w:color w:val="000000"/>
                <w:sz w:val="20"/>
                <w:u w:val="none"/>
              </w:rPr>
              <w:t>$</w:t>
              <w:tab/>
              <w:t>1,149,053</w:t>
            </w:r>
          </w:p>
        </w:tc>
      </w:tr>
      <w:tr>
        <w:tblPrEx>
          <w:tblW w:w="10050" w:type="dxa"/>
          <w:jc w:val="center"/>
          <w:tblLayout w:type="fixed"/>
          <w:tblCellMar>
            <w:left w:w="108" w:type="dxa"/>
            <w:right w:w="108" w:type="dxa"/>
          </w:tblCellMar>
        </w:tblPrEx>
        <w:trPr>
          <w:cantSplit/>
          <w:trHeight w:hRule="exact" w:val="345"/>
          <w:jc w:val="center"/>
        </w:trPr>
        <w:tc>
          <w:tcPr>
            <w:tcW w:w="3480" w:type="dxa"/>
            <w:tcBorders>
              <w:top w:val="nil"/>
              <w:left w:val="nil"/>
              <w:bottom w:val="nil"/>
              <w:right w:val="nil"/>
            </w:tcBorders>
            <w:shd w:val="clear" w:color="auto" w:fill="FFFFFF"/>
            <w:tcMar>
              <w:top w:w="0" w:type="dxa"/>
              <w:left w:w="53" w:type="dxa"/>
              <w:bottom w:w="0" w:type="dxa"/>
              <w:right w:w="53" w:type="dxa"/>
            </w:tcMar>
            <w:vAlign w:val="center"/>
          </w:tcPr>
          <w:p>
            <w:pPr>
              <w:pageBreakBefore w:val="0"/>
              <w:spacing w:before="0" w:after="0" w:line="288" w:lineRule="auto"/>
              <w:ind w:left="90"/>
              <w:jc w:val="left"/>
            </w:pPr>
            <w:r>
              <w:rPr>
                <w:rFonts w:ascii="Arial" w:eastAsia="Arial" w:hAnsi="Arial" w:cs="Arial"/>
                <w:b/>
                <w:i w:val="0"/>
                <w:color w:val="000000"/>
                <w:sz w:val="20"/>
                <w:u w:val="none"/>
              </w:rPr>
              <w:t>Nazar Alobaidat</w:t>
            </w:r>
          </w:p>
        </w:tc>
        <w:tc>
          <w:tcPr>
            <w:tcW w:w="1425" w:type="dxa"/>
            <w:tcBorders>
              <w:top w:val="nil"/>
              <w:left w:val="nil"/>
              <w:bottom w:val="nil"/>
              <w:right w:val="nil"/>
            </w:tcBorders>
            <w:shd w:val="clear" w:color="auto" w:fill="FFFFFF"/>
            <w:tcMar>
              <w:top w:w="0" w:type="dxa"/>
              <w:left w:w="0" w:type="dxa"/>
              <w:bottom w:w="0" w:type="dxa"/>
              <w:right w:w="15" w:type="dxa"/>
            </w:tcMar>
            <w:vAlign w:val="center"/>
          </w:tcPr>
          <w:p>
            <w:pPr>
              <w:pageBreakBefore w:val="0"/>
              <w:tabs>
                <w:tab w:val="left" w:pos="1069"/>
              </w:tabs>
              <w:spacing w:before="0" w:after="0" w:line="288" w:lineRule="auto"/>
              <w:ind w:right="90"/>
              <w:jc w:val="right"/>
            </w:pPr>
            <w:r>
              <w:rPr>
                <w:rFonts w:ascii="Arial" w:eastAsia="Arial" w:hAnsi="Arial" w:cs="Arial"/>
                <w:b w:val="0"/>
                <w:i w:val="0"/>
                <w:color w:val="000000"/>
                <w:sz w:val="20"/>
                <w:u w:val="none"/>
              </w:rPr>
              <w:tab/>
              <w:t>—</w:t>
            </w:r>
          </w:p>
        </w:tc>
        <w:tc>
          <w:tcPr>
            <w:tcW w:w="300" w:type="dxa"/>
            <w:tcBorders>
              <w:top w:val="nil"/>
              <w:left w:val="nil"/>
              <w:bottom w:val="nil"/>
              <w:right w:val="nil"/>
            </w:tcBorders>
            <w:shd w:val="clear" w:color="auto" w:fill="FFFFFF"/>
            <w:tcMar>
              <w:top w:w="0" w:type="dxa"/>
              <w:left w:w="0" w:type="dxa"/>
              <w:bottom w:w="0" w:type="dxa"/>
              <w:right w:w="0" w:type="dxa"/>
            </w:tcMar>
            <w:vAlign w:val="bottom"/>
          </w:tcPr>
          <w:p>
            <w:pPr>
              <w:pageBreakBefore w:val="0"/>
              <w:spacing w:before="0" w:after="0"/>
            </w:pPr>
          </w:p>
        </w:tc>
        <w:tc>
          <w:tcPr>
            <w:tcW w:w="1365" w:type="dxa"/>
            <w:tcBorders>
              <w:top w:val="nil"/>
              <w:left w:val="nil"/>
              <w:bottom w:val="nil"/>
              <w:right w:val="nil"/>
            </w:tcBorders>
            <w:shd w:val="clear" w:color="auto" w:fill="FFFFFF"/>
            <w:tcMar>
              <w:top w:w="0" w:type="dxa"/>
              <w:left w:w="0" w:type="dxa"/>
              <w:bottom w:w="0" w:type="dxa"/>
              <w:right w:w="15" w:type="dxa"/>
            </w:tcMar>
            <w:vAlign w:val="center"/>
          </w:tcPr>
          <w:p>
            <w:pPr>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500" w:type="dxa"/>
            <w:tcBorders>
              <w:top w:val="nil"/>
              <w:left w:val="nil"/>
              <w:bottom w:val="nil"/>
              <w:right w:val="nil"/>
            </w:tcBorders>
            <w:shd w:val="clear" w:color="auto" w:fill="FFFFFF"/>
            <w:tcMar>
              <w:top w:w="0" w:type="dxa"/>
              <w:left w:w="0" w:type="dxa"/>
              <w:bottom w:w="0" w:type="dxa"/>
              <w:right w:w="15" w:type="dxa"/>
            </w:tcMar>
            <w:vAlign w:val="center"/>
          </w:tcPr>
          <w:p>
            <w:pPr>
              <w:pageBreakBefore w:val="0"/>
              <w:tabs>
                <w:tab w:val="left" w:pos="844"/>
              </w:tabs>
              <w:spacing w:before="0" w:after="0" w:line="288" w:lineRule="auto"/>
              <w:ind w:right="90"/>
              <w:jc w:val="right"/>
            </w:pPr>
            <w:r>
              <w:rPr>
                <w:rFonts w:ascii="Arial" w:eastAsia="Arial" w:hAnsi="Arial" w:cs="Arial"/>
                <w:b w:val="0"/>
                <w:i w:val="0"/>
                <w:color w:val="000000"/>
                <w:sz w:val="20"/>
                <w:u w:val="none"/>
              </w:rPr>
              <w:tab/>
              <w:t>1,360</w:t>
            </w:r>
          </w:p>
        </w:tc>
        <w:tc>
          <w:tcPr>
            <w:tcW w:w="165" w:type="dxa"/>
            <w:tcBorders>
              <w:top w:val="nil"/>
              <w:left w:val="nil"/>
              <w:bottom w:val="nil"/>
              <w:right w:val="nil"/>
            </w:tcBorders>
            <w:shd w:val="clear" w:color="auto" w:fill="FFFFFF"/>
            <w:tcMar>
              <w:top w:w="0" w:type="dxa"/>
              <w:left w:w="0" w:type="dxa"/>
              <w:bottom w:w="0" w:type="dxa"/>
              <w:right w:w="0" w:type="dxa"/>
            </w:tcMar>
            <w:vAlign w:val="bottom"/>
          </w:tcPr>
          <w:p>
            <w:pPr>
              <w:pageBreakBefore w:val="0"/>
              <w:spacing w:before="0" w:after="0"/>
            </w:pPr>
          </w:p>
        </w:tc>
        <w:tc>
          <w:tcPr>
            <w:tcW w:w="1815" w:type="dxa"/>
            <w:tcBorders>
              <w:top w:val="nil"/>
              <w:left w:val="nil"/>
              <w:bottom w:val="nil"/>
              <w:right w:val="nil"/>
            </w:tcBorders>
            <w:shd w:val="clear" w:color="auto" w:fill="FFFFFF"/>
            <w:tcMar>
              <w:top w:w="0" w:type="dxa"/>
              <w:left w:w="0" w:type="dxa"/>
              <w:bottom w:w="0" w:type="dxa"/>
              <w:right w:w="15" w:type="dxa"/>
            </w:tcMar>
            <w:vAlign w:val="center"/>
          </w:tcPr>
          <w:p>
            <w:pPr>
              <w:pageBreakBefore w:val="0"/>
              <w:tabs>
                <w:tab w:val="left" w:pos="936"/>
              </w:tabs>
              <w:spacing w:before="0" w:after="0" w:line="288" w:lineRule="auto"/>
              <w:ind w:right="90"/>
              <w:jc w:val="right"/>
            </w:pPr>
            <w:r>
              <w:rPr>
                <w:rFonts w:ascii="Arial" w:eastAsia="Arial" w:hAnsi="Arial" w:cs="Arial"/>
                <w:b w:val="0"/>
                <w:i w:val="0"/>
                <w:color w:val="000000"/>
                <w:sz w:val="20"/>
                <w:u w:val="none"/>
              </w:rPr>
              <w:t>$</w:t>
              <w:tab/>
              <w:t>317,396</w:t>
            </w:r>
          </w:p>
        </w:tc>
      </w:tr>
    </w:tbl>
    <w:p>
      <w:pPr>
        <w:keepNext w:val="0"/>
        <w:keepLines w:val="0"/>
        <w:pageBreakBefore w:val="0"/>
        <w:widowControl/>
        <w:numPr>
          <w:ilvl w:val="0"/>
          <w:numId w:val="320"/>
        </w:numPr>
        <w:spacing w:before="12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Represents the difference between the exerci</w:t>
      </w:r>
      <w:r>
        <w:rPr>
          <w:rFonts w:ascii="Arial" w:eastAsia="Arial" w:hAnsi="Arial" w:cs="Arial"/>
          <w:b w:val="0"/>
          <w:i w:val="0"/>
          <w:color w:val="969698"/>
          <w:sz w:val="16"/>
          <w:u w:val="none"/>
        </w:rPr>
        <w:t>se</w:t>
      </w:r>
      <w:r>
        <w:rPr>
          <w:rFonts w:ascii="Arial" w:eastAsia="Arial" w:hAnsi="Arial" w:cs="Arial"/>
          <w:b w:val="0"/>
          <w:i w:val="0"/>
          <w:color w:val="969698"/>
          <w:sz w:val="16"/>
          <w:u w:val="none"/>
        </w:rPr>
        <w:t xml:space="preserve"> price for cash-settled Stock Appreciation Righ</w:t>
      </w:r>
      <w:r>
        <w:rPr>
          <w:rFonts w:ascii="Arial" w:eastAsia="Arial" w:hAnsi="Arial" w:cs="Arial"/>
          <w:b w:val="0"/>
          <w:i w:val="0"/>
          <w:color w:val="969698"/>
          <w:sz w:val="16"/>
          <w:u w:val="none"/>
        </w:rPr>
        <w:t>t</w:t>
      </w:r>
      <w:r>
        <w:rPr>
          <w:rFonts w:ascii="Arial" w:eastAsia="Arial" w:hAnsi="Arial" w:cs="Arial"/>
          <w:b w:val="0"/>
          <w:i w:val="0"/>
          <w:color w:val="969698"/>
          <w:sz w:val="16"/>
          <w:u w:val="none"/>
        </w:rPr>
        <w:t>s (</w:t>
      </w:r>
      <w:r>
        <w:rPr>
          <w:rFonts w:ascii="Arial" w:eastAsia="Arial" w:hAnsi="Arial" w:cs="Arial"/>
          <w:b w:val="0"/>
          <w:i w:val="0"/>
          <w:color w:val="969698"/>
          <w:sz w:val="16"/>
          <w:u w:val="none"/>
        </w:rPr>
        <w:t>"</w:t>
      </w:r>
      <w:r>
        <w:rPr>
          <w:rFonts w:ascii="Arial" w:eastAsia="Arial" w:hAnsi="Arial" w:cs="Arial"/>
          <w:b w:val="0"/>
          <w:i w:val="0"/>
          <w:color w:val="969698"/>
          <w:sz w:val="16"/>
          <w:u w:val="none"/>
        </w:rPr>
        <w:t>SARs</w:t>
      </w:r>
      <w:r>
        <w:rPr>
          <w:rFonts w:ascii="Arial" w:eastAsia="Arial" w:hAnsi="Arial" w:cs="Arial"/>
          <w:b w:val="0"/>
          <w:i w:val="0"/>
          <w:color w:val="969698"/>
          <w:sz w:val="16"/>
          <w:u w:val="none"/>
        </w:rPr>
        <w:t>"</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exerci</w:t>
      </w:r>
      <w:r>
        <w:rPr>
          <w:rFonts w:ascii="Arial" w:eastAsia="Arial" w:hAnsi="Arial" w:cs="Arial"/>
          <w:b w:val="0"/>
          <w:i w:val="0"/>
          <w:color w:val="969698"/>
          <w:sz w:val="16"/>
          <w:u w:val="none"/>
        </w:rPr>
        <w:t xml:space="preserve">sed </w:t>
      </w:r>
      <w:r>
        <w:rPr>
          <w:rFonts w:ascii="Arial" w:eastAsia="Arial" w:hAnsi="Arial" w:cs="Arial"/>
          <w:b w:val="0"/>
          <w:i w:val="0"/>
          <w:color w:val="969698"/>
          <w:sz w:val="16"/>
          <w:u w:val="none"/>
        </w:rPr>
        <w:t xml:space="preserve">and the </w:t>
      </w:r>
      <w:r>
        <w:rPr>
          <w:rFonts w:ascii="Arial" w:eastAsia="Arial" w:hAnsi="Arial" w:cs="Arial"/>
          <w:b w:val="0"/>
          <w:i w:val="0"/>
          <w:color w:val="969698"/>
          <w:sz w:val="16"/>
          <w:u w:val="none"/>
        </w:rPr>
        <w:t xml:space="preserve">closing market </w:t>
      </w:r>
      <w:r>
        <w:rPr>
          <w:rFonts w:ascii="Arial" w:eastAsia="Arial" w:hAnsi="Arial" w:cs="Arial"/>
          <w:b w:val="0"/>
          <w:i w:val="0"/>
          <w:color w:val="969698"/>
          <w:sz w:val="16"/>
          <w:u w:val="none"/>
        </w:rPr>
        <w:t xml:space="preserve">price </w:t>
      </w:r>
      <w:r>
        <w:rPr>
          <w:rFonts w:ascii="Arial" w:eastAsia="Arial" w:hAnsi="Arial" w:cs="Arial"/>
          <w:b w:val="0"/>
          <w:i w:val="0"/>
          <w:color w:val="969698"/>
          <w:sz w:val="16"/>
          <w:u w:val="none"/>
        </w:rPr>
        <w:t xml:space="preserve">of our ordinary shares on the </w:t>
      </w:r>
      <w:r>
        <w:rPr>
          <w:rFonts w:ascii="Arial" w:eastAsia="Arial" w:hAnsi="Arial" w:cs="Arial"/>
          <w:b w:val="0"/>
          <w:i w:val="0"/>
          <w:color w:val="969698"/>
          <w:sz w:val="16"/>
          <w:u w:val="none"/>
        </w:rPr>
        <w:t xml:space="preserve">exercise date. </w:t>
      </w:r>
    </w:p>
    <w:p>
      <w:pPr>
        <w:keepNext w:val="0"/>
        <w:keepLines w:val="0"/>
        <w:pageBreakBefore w:val="0"/>
        <w:widowControl/>
        <w:numPr>
          <w:ilvl w:val="0"/>
          <w:numId w:val="320"/>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Amount is the number of shares of stock acquired upon vesting of PSU and RSU awards multiplied by the closing market price of our ordinary shares on the vesting date (or the preceding trading day if the vesting date was not a trading day).</w:t>
      </w:r>
    </w:p>
    <w:p>
      <w:pPr>
        <w:keepNext w:val="0"/>
        <w:keepLines w:val="0"/>
        <w:pageBreakBefore w:val="0"/>
        <w:widowControl/>
        <w:numPr>
          <w:ilvl w:val="0"/>
          <w:numId w:val="320"/>
        </w:numPr>
        <w:spacing w:before="0" w:after="10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Pursuant to their terms, the SARs held by</w:t>
      </w:r>
      <w:r>
        <w:rPr>
          <w:rFonts w:ascii="Arial" w:eastAsia="Arial" w:hAnsi="Arial" w:cs="Arial"/>
          <w:b w:val="0"/>
          <w:i w:val="0"/>
          <w:color w:val="969698"/>
          <w:sz w:val="16"/>
          <w:u w:val="none"/>
        </w:rPr>
        <w:t xml:space="preserve"> Ms. Gregory were exercisable only in cas</w:t>
      </w:r>
      <w:r>
        <w:rPr>
          <w:rFonts w:ascii="Arial" w:eastAsia="Arial" w:hAnsi="Arial" w:cs="Arial"/>
          <w:b w:val="0"/>
          <w:i w:val="0"/>
          <w:color w:val="969698"/>
          <w:sz w:val="16"/>
          <w:u w:val="none"/>
        </w:rPr>
        <w:t>h. Ms. Gregory did not rec</w:t>
      </w:r>
      <w:r>
        <w:rPr>
          <w:rFonts w:ascii="Arial" w:eastAsia="Arial" w:hAnsi="Arial" w:cs="Arial"/>
          <w:b w:val="0"/>
          <w:i w:val="0"/>
          <w:color w:val="969698"/>
          <w:sz w:val="16"/>
          <w:u w:val="none"/>
        </w:rPr>
        <w:t>ei</w:t>
      </w:r>
      <w:r>
        <w:rPr>
          <w:rFonts w:ascii="Arial" w:eastAsia="Arial" w:hAnsi="Arial" w:cs="Arial"/>
          <w:b w:val="0"/>
          <w:i w:val="0"/>
          <w:color w:val="969698"/>
          <w:sz w:val="16"/>
          <w:u w:val="none"/>
        </w:rPr>
        <w:t xml:space="preserve">ve any ordinary shares </w:t>
      </w:r>
      <w:r>
        <w:rPr>
          <w:rFonts w:ascii="Arial" w:eastAsia="Arial" w:hAnsi="Arial" w:cs="Arial"/>
          <w:b w:val="0"/>
          <w:i w:val="0"/>
          <w:color w:val="969698"/>
          <w:sz w:val="16"/>
          <w:u w:val="none"/>
        </w:rPr>
        <w:t>as a result of exercising the</w:t>
      </w:r>
      <w:r>
        <w:rPr>
          <w:rFonts w:ascii="Arial" w:eastAsia="Arial" w:hAnsi="Arial" w:cs="Arial"/>
          <w:b w:val="0"/>
          <w:i w:val="0"/>
          <w:color w:val="969698"/>
          <w:sz w:val="16"/>
          <w:u w:val="none"/>
        </w:rPr>
        <w:t xml:space="preserve"> SARs. </w:t>
      </w:r>
    </w:p>
    <w:p>
      <w:pPr>
        <w:keepNext w:val="0"/>
        <w:keepLines w:val="0"/>
        <w:pageBreakBefore w:val="0"/>
        <w:widowControl/>
        <w:numPr>
          <w:ilvl w:val="0"/>
          <w:numId w:val="320"/>
        </w:numPr>
        <w:spacing w:before="0" w:after="60" w:line="288" w:lineRule="auto"/>
        <w:ind w:left="360" w:right="0" w:hanging="360"/>
        <w:jc w:val="both"/>
        <w:outlineLvl w:val="9"/>
        <w:rPr>
          <w:rFonts w:ascii="Arial" w:eastAsia="Arial" w:hAnsi="Arial" w:cs="Arial"/>
          <w:b w:val="0"/>
          <w:i w:val="0"/>
          <w:color w:val="969698"/>
          <w:sz w:val="16"/>
          <w:u w:val="none"/>
        </w:rPr>
        <w:sectPr>
          <w:headerReference w:type="default" r:id="rId291"/>
          <w:footerReference w:type="default" r:id="rId292"/>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107" w:name="Section110"/>
      <w:bookmarkEnd w:id="107"/>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Potential Payments upon Termination or Change in Control</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This section describes payments that would be made to our executive officers following termination of employment or upon a change in control of the Company. In the first part of this section, we describe benefits under employment agreements and general plans that apply to any executive officer participating in those plans. We then provide estimated amounts of benefits assuming the occurrence of certain hypothetical termination events as of </w:t>
      </w:r>
      <w:r>
        <w:rPr>
          <w:rFonts w:ascii="Arial" w:eastAsia="Arial" w:hAnsi="Arial" w:cs="Arial"/>
          <w:b w:val="0"/>
          <w:i w:val="0"/>
          <w:color w:val="000000"/>
          <w:sz w:val="20"/>
          <w:u w:val="none"/>
        </w:rPr>
        <w:t>December 31, 2023</w:t>
      </w:r>
      <w:r>
        <w:rPr>
          <w:rFonts w:ascii="Arial" w:eastAsia="Arial" w:hAnsi="Arial" w:cs="Arial"/>
          <w:b w:val="0"/>
          <w:i w:val="0"/>
          <w:sz w:val="20"/>
        </w:rPr>
        <w:t>.</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293"/>
          <w:footerReference w:type="default" r:id="rId294"/>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4495D1"/>
          <w:sz w:val="20"/>
          <w:u w:val="none"/>
          <w:shd w:val="clear" w:color="auto" w:fill="FFFF00"/>
        </w:rPr>
      </w:pPr>
      <w:bookmarkStart w:id="108" w:name="Section111"/>
      <w:bookmarkEnd w:id="108"/>
    </w:p>
    <w:p>
      <w:pPr>
        <w:keepNext/>
        <w:keepLines w:val="0"/>
        <w:pageBreakBefore w:val="0"/>
        <w:widowControl/>
        <w:numPr>
          <w:ilvl w:val="0"/>
          <w:numId w:val="0"/>
        </w:numPr>
        <w:spacing w:before="0" w:after="60" w:line="288" w:lineRule="auto"/>
        <w:ind w:left="0" w:right="0" w:firstLine="0"/>
        <w:jc w:val="both"/>
        <w:outlineLvl w:val="3"/>
        <w:rPr>
          <w:rFonts w:ascii="Arial" w:eastAsia="Arial" w:hAnsi="Arial" w:cs="Arial"/>
          <w:b/>
          <w:i w:val="0"/>
          <w:color w:val="4495D1"/>
          <w:sz w:val="20"/>
          <w:u w:val="none"/>
        </w:rPr>
      </w:pPr>
      <w:r>
        <w:rPr>
          <w:rFonts w:ascii="Arial" w:eastAsia="Arial" w:hAnsi="Arial" w:cs="Arial"/>
          <w:b/>
          <w:i w:val="0"/>
          <w:color w:val="4495D1"/>
          <w:sz w:val="20"/>
          <w:u w:val="none"/>
        </w:rPr>
        <w:t>Employment Agreement for our Chief Executive Officer</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descriptions below set forth the material terms of the amended and restated employment agreement with our CEO, dated as of July 1, 2022 (the "CEO Employment Agreement").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color w:val="1D64A3"/>
          <w:sz w:val="18"/>
          <w:u w:val="none"/>
        </w:rPr>
      </w:pPr>
      <w:r>
        <w:rPr>
          <w:rFonts w:ascii="Arial" w:eastAsia="Arial" w:hAnsi="Arial" w:cs="Arial"/>
          <w:b w:val="0"/>
          <w:i/>
          <w:color w:val="1D64A3"/>
          <w:sz w:val="20"/>
          <w:u w:val="none"/>
        </w:rPr>
        <w:t xml:space="preserve">Termination for "Cause" or Voluntary Termination without "Good Reason." </w:t>
      </w:r>
      <w:r>
        <w:rPr>
          <w:rFonts w:ascii="Arial" w:eastAsia="Arial" w:hAnsi="Arial" w:cs="Arial"/>
          <w:b w:val="0"/>
          <w:i w:val="0"/>
          <w:sz w:val="20"/>
        </w:rPr>
        <w:t>If we terminate Mr. Silvester's employment for "cause," or if Mr. Silvester voluntarily resigns without "good reason," we will not be obligated to make any payments to him other than amounts that have been fully earned by, but not yet paid to, Mr. Silvester.</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color w:val="1D64A3"/>
          <w:sz w:val="18"/>
          <w:u w:val="none"/>
        </w:rPr>
      </w:pPr>
      <w:r>
        <w:rPr>
          <w:rFonts w:ascii="Arial" w:eastAsia="Arial" w:hAnsi="Arial" w:cs="Arial"/>
          <w:b w:val="0"/>
          <w:i/>
          <w:color w:val="1D64A3"/>
          <w:sz w:val="20"/>
          <w:u w:val="none"/>
        </w:rPr>
        <w:t>Change in Control</w:t>
      </w:r>
      <w:r>
        <w:rPr>
          <w:rFonts w:ascii="Arial" w:eastAsia="Arial" w:hAnsi="Arial" w:cs="Arial"/>
          <w:b w:val="0"/>
          <w:i w:val="0"/>
          <w:sz w:val="20"/>
        </w:rPr>
        <w:t xml:space="preserve">. If a change of control of the Company occurs during the term of the CEO Employment Agreement, Mr. Silvester would be entitled to: (i) a lump sum amount equal to </w:t>
      </w:r>
      <w:r>
        <w:rPr>
          <w:rFonts w:ascii="Arial" w:eastAsia="Arial" w:hAnsi="Arial" w:cs="Arial"/>
          <w:b w:val="0"/>
          <w:i w:val="0"/>
          <w:color w:val="000000"/>
          <w:sz w:val="20"/>
          <w:u w:val="none"/>
        </w:rPr>
        <w:t>$7,500,000</w:t>
      </w:r>
      <w:r>
        <w:rPr>
          <w:rFonts w:ascii="Arial" w:eastAsia="Arial" w:hAnsi="Arial" w:cs="Arial"/>
          <w:b w:val="0"/>
          <w:i w:val="0"/>
          <w:sz w:val="20"/>
        </w:rPr>
        <w:t xml:space="preserve"> (three times his annual base salary); and (ii) immediate vesting and exercisability of each outstanding equity incentive award (other than an award subject to the </w:t>
      </w:r>
      <w:r>
        <w:rPr>
          <w:rFonts w:ascii="Arial" w:eastAsia="Arial" w:hAnsi="Arial" w:cs="Arial"/>
          <w:b w:val="0"/>
          <w:i w:val="0"/>
          <w:sz w:val="20"/>
        </w:rPr>
        <w:t>J</w:t>
      </w:r>
      <w:r>
        <w:rPr>
          <w:rFonts w:ascii="Arial" w:eastAsia="Arial" w:hAnsi="Arial" w:cs="Arial"/>
          <w:b w:val="0"/>
          <w:i w:val="0"/>
          <w:sz w:val="20"/>
        </w:rPr>
        <w:t>oint Share Ownership Plan Agreement, as amended (the "</w:t>
      </w:r>
      <w:r>
        <w:rPr>
          <w:rFonts w:ascii="Arial" w:eastAsia="Arial" w:hAnsi="Arial" w:cs="Arial"/>
          <w:b w:val="0"/>
          <w:i w:val="0"/>
          <w:sz w:val="20"/>
        </w:rPr>
        <w:t>JSOP Agreement</w:t>
      </w:r>
      <w:r>
        <w:rPr>
          <w:rFonts w:ascii="Arial" w:eastAsia="Arial" w:hAnsi="Arial" w:cs="Arial"/>
          <w:b w:val="0"/>
          <w:i w:val="0"/>
          <w:sz w:val="20"/>
        </w:rPr>
        <w:t>")</w:t>
      </w:r>
      <w:r>
        <w:rPr>
          <w:rFonts w:ascii="Arial" w:eastAsia="Arial" w:hAnsi="Arial" w:cs="Arial"/>
          <w:b w:val="0"/>
          <w:i w:val="0"/>
          <w:sz w:val="20"/>
        </w:rPr>
        <w:t xml:space="preserve">) granted to Mr. Silvester before, on or within three years after July 1, 2022. In addition, if his Executive Interest under the JSOP Agreement vests upon such change in control, he would also be entitled to a lump sum amount (such amount, the "COC JSOP Amount") calculated as follows: (a) if the change in control occurred prior to January 19, 2023, (x) $34 million less any amount realized by him in respect of the Executive Interest, if the Hurdle (defined in the JSOP Agreement as the closing price of a common share of the Company on January 17, 2020 multiplied by the compound annual growth rate for the period from, and including, January 21, 2020 to the earlier of certain dates as prescribed in the JSOP Award), was met at the time of such change in control, or (y) $27 million less any amount received by him in respect of the Executive Interest, if the Hurdle was not met (the "Base COC JSOP Amount"); and (b) if the change in control occurs after January 19, 2023 and prior to January 21, 2025, an increase to the Base COC JSOP Amount on a straight-line interpolation basis based on the date of the change in control from (x) $34.0 million on January 19, 2023 to $47.4 million on January 19, 2024 if the Hurdle is met at the time of the change in control, or $27.0 million on January 19, 2023 to $37.9 million on January 19, 2024 if the Hurdle is not met at the time of the change in control, or (y) $47.4 million on January 19, 2024 to $62.0 million on January 19, 2025 if the Hurdle is met at the time of the change in control, or $37.9 million on January 19, 2024 to $49.6 million on January 19, 2025 if the Hurdle is not met at the time of the change in control. Mr. Silvester would also be entitled to continued medical benefits for him and his spouse and dependents for thirty-six months if he were to resign within 30 days of a change in control. For an explanation of the determination of the value of the Executive Interest in respect of the </w:t>
      </w:r>
      <w:r>
        <w:rPr>
          <w:rFonts w:ascii="Arial" w:eastAsia="Arial" w:hAnsi="Arial" w:cs="Arial"/>
          <w:b w:val="0"/>
          <w:i w:val="0"/>
          <w:sz w:val="20"/>
        </w:rPr>
        <w:t xml:space="preserve">JSOP Award in the event of a change in control, see “Equity Incentive Plan – </w:t>
      </w:r>
      <w:r>
        <w:rPr>
          <w:rFonts w:ascii="Arial" w:eastAsia="Arial" w:hAnsi="Arial" w:cs="Arial"/>
          <w:b w:val="0"/>
          <w:i w:val="0"/>
          <w:sz w:val="20"/>
        </w:rPr>
        <w:t>JSOP Award” below for a discussion of the JSOP Award in the event of a change in control.</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color w:val="1D64A3"/>
          <w:sz w:val="18"/>
          <w:u w:val="none"/>
        </w:rPr>
      </w:pPr>
      <w:r>
        <w:rPr>
          <w:rFonts w:ascii="Arial" w:eastAsia="Arial" w:hAnsi="Arial" w:cs="Arial"/>
          <w:b w:val="0"/>
          <w:i/>
          <w:color w:val="1D64A3"/>
          <w:sz w:val="20"/>
          <w:u w:val="none"/>
        </w:rPr>
        <w:t xml:space="preserve">Termination "without Cause" or Termination for "Good Reason." </w:t>
      </w:r>
      <w:r>
        <w:rPr>
          <w:rFonts w:ascii="Arial" w:eastAsia="Arial" w:hAnsi="Arial" w:cs="Arial"/>
          <w:b w:val="0"/>
          <w:i w:val="0"/>
          <w:sz w:val="20"/>
        </w:rPr>
        <w:t xml:space="preserve">If Mr. Silvester’s employment is terminated during the term of the CEO Employment Agreement by the Company without “cause” or by Mr. Silvester for “good reason,” Mr. Silvester would be entitled to: (i) any amounts that have been fully earned by, but not yet paid to, Mr. Silvester under the CEO Employment Agreement as of the date of such termination, together with any payment in lieu of accrued but unused holiday; (ii) a lump sum amount equal to </w:t>
      </w:r>
      <w:r>
        <w:rPr>
          <w:rFonts w:ascii="Arial" w:eastAsia="Arial" w:hAnsi="Arial" w:cs="Arial"/>
          <w:b w:val="0"/>
          <w:i w:val="0"/>
          <w:color w:val="000000"/>
          <w:sz w:val="20"/>
          <w:u w:val="none"/>
        </w:rPr>
        <w:t>$7,500,000</w:t>
      </w:r>
      <w:r>
        <w:rPr>
          <w:rFonts w:ascii="Arial" w:eastAsia="Arial" w:hAnsi="Arial" w:cs="Arial"/>
          <w:b w:val="0"/>
          <w:i w:val="0"/>
          <w:sz w:val="20"/>
        </w:rPr>
        <w:t xml:space="preserve"> (three times his annual base salary) less any amount received in respect of a prior change in control; (iii) continued medical benefits for him and his spouse and dependents for a period of 36 months; (iv) immediate vesting and exercisability of each outstanding equity incentive award (other than an award subject to the JSOP Agreement) granted to Mr. Silvester before, on or within three years after July 1, 2022; (v) in the event no COC JSOP Amount has been paid to him, if such termination occurs before the date his Executive Interest vests, an amount calculated as follows: $27.0 million (the "Base Termination JSOP Amount"), increased on a straight-line interpolation basis based on the date of his termination from the Base Termination JSOP Amount on January 19,  2023 to $37.9 million on January 19, 2024 and from $37.9 million on January 19, 2024 to $49.6 million on January 19, 2025; and (vi) an amount equal to the bonus that he would have received in respect of the year of his termination had he been employed by the Company for the full year, based on the Company's achievement of the performance goals established in accordance with any incentive plan in which he participates.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color w:val="1D64A3"/>
          <w:sz w:val="18"/>
          <w:u w:val="none"/>
        </w:rPr>
      </w:pPr>
      <w:r>
        <w:rPr>
          <w:rFonts w:ascii="Arial" w:eastAsia="Arial" w:hAnsi="Arial" w:cs="Arial"/>
          <w:b w:val="0"/>
          <w:i/>
          <w:color w:val="1D64A3"/>
          <w:sz w:val="20"/>
          <w:u w:val="none"/>
        </w:rPr>
        <w:t>Death of Executive.</w:t>
      </w:r>
      <w:r>
        <w:rPr>
          <w:rFonts w:ascii="Arial" w:eastAsia="Arial" w:hAnsi="Arial" w:cs="Arial"/>
          <w:b w:val="0"/>
          <w:i w:val="0"/>
          <w:sz w:val="20"/>
        </w:rPr>
        <w:t xml:space="preserve"> In the event of Mr. Silvester's death, the CEO Employment Agreement automatically terminates, and his or her designated beneficiary or legal representatives are entitled to: (i) a lump sum payment equal to five times the executive officer’s annual base salary pursuant to life insurance coverage maintained by the Company on behalf of Mr. Silvester; (ii) an amount equal to the bonus that would have been received had Mr. Silvester been employed by Company for the full year, multiplied by a fraction, the numerator of which is the number of calendar days he was employed in such year and the denominator of which is 365; and (iii) continued medical benefits coverage for Mr. Silvester's spouse and dependents for a period of 36 months if and to the extent the Company was paying for such benefits for Mr. Silvester’s spouse and dependents at the time of his death. The Company self-insures its obligation to fund the difference between the contractually provided lump sum amount payable in the event of the death of Mr. Silvester and the life insurance benefit provided by his participation in the Company's life insurance benefit provided to all employees.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color w:val="1D64A3"/>
          <w:sz w:val="18"/>
          <w:u w:val="none"/>
        </w:rPr>
      </w:pPr>
      <w:r>
        <w:rPr>
          <w:rFonts w:ascii="Arial" w:eastAsia="Arial" w:hAnsi="Arial" w:cs="Arial"/>
          <w:b w:val="0"/>
          <w:i/>
          <w:color w:val="1D64A3"/>
          <w:sz w:val="20"/>
          <w:u w:val="none"/>
        </w:rPr>
        <w:t xml:space="preserve">Disability of Executive. </w:t>
      </w:r>
      <w:r>
        <w:rPr>
          <w:rFonts w:ascii="Arial" w:eastAsia="Arial" w:hAnsi="Arial" w:cs="Arial"/>
          <w:b w:val="0"/>
          <w:i w:val="0"/>
          <w:sz w:val="20"/>
        </w:rPr>
        <w:t>If Mr. Silvester's employment is terminated due to disability, then he is entitled to: (i) any amounts (including salary, bonuses, expense reimbursement, etc.) that have been fully earned by, but not yet paid to him as of the date of such termination; (ii) continued base salary for a period of 36 months, with base salary payments being offset by any payments under the Company's disability insurance policies; (iii) an amount equal to the bonus that would have been received had Mr. Silvester been employed by the Company for the full year, multiplied by a fraction, the numerator of which is the number of calendar days he was employed in such year and the denominator of which is 365; and (iv) continued medical benefits coverage for Mr. Silvester and his spouse and dependents for a period of 36 months if and to the extent the Company was paying for such benefits for Mr. Silvester’s spouse and dependents at the time of his death.</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color w:val="1D64A3"/>
          <w:sz w:val="18"/>
          <w:u w:val="none"/>
        </w:rPr>
      </w:pPr>
      <w:r>
        <w:rPr>
          <w:rFonts w:ascii="Arial" w:eastAsia="Arial" w:hAnsi="Arial" w:cs="Arial"/>
          <w:b w:val="0"/>
          <w:i/>
          <w:color w:val="1D64A3"/>
          <w:sz w:val="20"/>
          <w:u w:val="none"/>
        </w:rPr>
        <w:t xml:space="preserve">Restrictive Covenants. </w:t>
      </w:r>
      <w:r>
        <w:rPr>
          <w:rFonts w:ascii="Arial" w:eastAsia="Arial" w:hAnsi="Arial" w:cs="Arial"/>
          <w:b w:val="0"/>
          <w:i w:val="0"/>
          <w:sz w:val="20"/>
        </w:rPr>
        <w:t>The CEO Employment Agreement restricts Mr. Silvester from competing with the Company for the term of the CEO Employment Agreement and, if his employment with the Company is terminated before the end of the employment term, for a period of 18 months after his termination of employment.</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295"/>
          <w:footerReference w:type="default" r:id="rId296"/>
          <w:type w:val="continuous"/>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4495D1"/>
          <w:sz w:val="20"/>
          <w:u w:val="none"/>
        </w:rPr>
      </w:pPr>
      <w:bookmarkStart w:id="109" w:name="Section112"/>
      <w:bookmarkEnd w:id="109"/>
    </w:p>
    <w:p>
      <w:pPr>
        <w:keepNext/>
        <w:keepLines w:val="0"/>
        <w:pageBreakBefore w:val="0"/>
        <w:widowControl/>
        <w:numPr>
          <w:ilvl w:val="0"/>
          <w:numId w:val="0"/>
        </w:numPr>
        <w:spacing w:before="0" w:after="60" w:line="288" w:lineRule="auto"/>
        <w:ind w:left="0" w:right="0" w:firstLine="0"/>
        <w:jc w:val="both"/>
        <w:outlineLvl w:val="3"/>
        <w:rPr>
          <w:rFonts w:ascii="Arial" w:eastAsia="Arial" w:hAnsi="Arial" w:cs="Arial"/>
          <w:b/>
          <w:i w:val="0"/>
          <w:color w:val="4495D1"/>
          <w:sz w:val="20"/>
          <w:u w:val="none"/>
        </w:rPr>
      </w:pPr>
      <w:r>
        <w:rPr>
          <w:rFonts w:ascii="Arial" w:eastAsia="Arial" w:hAnsi="Arial" w:cs="Arial"/>
          <w:b/>
          <w:i w:val="0"/>
          <w:color w:val="4495D1"/>
          <w:sz w:val="20"/>
          <w:u w:val="none"/>
        </w:rPr>
        <w:t>Employment Agreements for our</w:t>
      </w:r>
      <w:r>
        <w:rPr>
          <w:rFonts w:ascii="Arial" w:eastAsia="Arial" w:hAnsi="Arial" w:cs="Arial"/>
          <w:b/>
          <w:i w:val="0"/>
          <w:color w:val="4495D1"/>
          <w:sz w:val="20"/>
          <w:u w:val="none"/>
        </w:rPr>
        <w:t xml:space="preserve"> Chief Financial Officer;</w:t>
      </w:r>
      <w:r>
        <w:rPr>
          <w:rFonts w:ascii="Arial" w:eastAsia="Arial" w:hAnsi="Arial" w:cs="Arial"/>
          <w:b/>
          <w:i w:val="0"/>
          <w:color w:val="4495D1"/>
          <w:sz w:val="20"/>
          <w:u w:val="none"/>
        </w:rPr>
        <w:t xml:space="preserve"> President;</w:t>
      </w:r>
      <w:r>
        <w:rPr>
          <w:rFonts w:ascii="Arial" w:eastAsia="Arial" w:hAnsi="Arial" w:cs="Arial"/>
          <w:b/>
          <w:i w:val="0"/>
          <w:color w:val="4495D1"/>
          <w:sz w:val="20"/>
          <w:u w:val="none"/>
        </w:rPr>
        <w:t xml:space="preserve"> Chief Strategy Officer; </w:t>
      </w:r>
      <w:r>
        <w:rPr>
          <w:rFonts w:ascii="Arial" w:eastAsia="Arial" w:hAnsi="Arial" w:cs="Arial"/>
          <w:b/>
          <w:i w:val="0"/>
          <w:color w:val="4495D1"/>
          <w:sz w:val="20"/>
          <w:u w:val="none"/>
        </w:rPr>
        <w:t>Chief</w:t>
      </w:r>
      <w:r>
        <w:rPr>
          <w:rFonts w:ascii="Arial" w:eastAsia="Arial" w:hAnsi="Arial" w:cs="Arial"/>
          <w:b/>
          <w:i w:val="0"/>
          <w:color w:val="4495D1"/>
          <w:sz w:val="20"/>
          <w:u w:val="none"/>
        </w:rPr>
        <w:t xml:space="preserve"> Opera</w:t>
      </w:r>
      <w:r>
        <w:rPr>
          <w:rFonts w:ascii="Arial" w:eastAsia="Arial" w:hAnsi="Arial" w:cs="Arial"/>
          <w:b/>
          <w:i w:val="0"/>
          <w:color w:val="4495D1"/>
          <w:sz w:val="20"/>
          <w:u w:val="none"/>
        </w:rPr>
        <w:t xml:space="preserve">ting Officer </w:t>
      </w:r>
      <w:r>
        <w:rPr>
          <w:rFonts w:ascii="Arial" w:eastAsia="Arial" w:hAnsi="Arial" w:cs="Arial"/>
          <w:b/>
          <w:i w:val="0"/>
          <w:color w:val="4495D1"/>
          <w:sz w:val="20"/>
          <w:u w:val="none"/>
        </w:rPr>
        <w:t xml:space="preserve">and Interim </w:t>
      </w:r>
      <w:r>
        <w:rPr>
          <w:rFonts w:ascii="Arial" w:eastAsia="Arial" w:hAnsi="Arial" w:cs="Arial"/>
          <w:b/>
          <w:i w:val="0"/>
          <w:color w:val="4495D1"/>
          <w:sz w:val="20"/>
          <w:u w:val="none"/>
        </w:rPr>
        <w:t xml:space="preserve">CEO of </w:t>
      </w:r>
      <w:r>
        <w:rPr>
          <w:rFonts w:ascii="Arial" w:eastAsia="Arial" w:hAnsi="Arial" w:cs="Arial"/>
          <w:b/>
          <w:i w:val="0"/>
          <w:color w:val="4495D1"/>
          <w:sz w:val="20"/>
          <w:u w:val="none"/>
        </w:rPr>
        <w:t>Enstar (E</w:t>
      </w:r>
      <w:r>
        <w:rPr>
          <w:rFonts w:ascii="Arial" w:eastAsia="Arial" w:hAnsi="Arial" w:cs="Arial"/>
          <w:b/>
          <w:i w:val="0"/>
          <w:color w:val="4495D1"/>
          <w:sz w:val="20"/>
          <w:u w:val="none"/>
        </w:rPr>
        <w:t>U)</w:t>
      </w:r>
      <w:r>
        <w:rPr>
          <w:rFonts w:ascii="Arial" w:eastAsia="Arial" w:hAnsi="Arial" w:cs="Arial"/>
          <w:b/>
          <w:i w:val="0"/>
          <w:color w:val="4495D1"/>
          <w:sz w:val="20"/>
          <w:u w:val="none"/>
        </w:rPr>
        <w:t xml:space="preserve"> </w:t>
      </w:r>
      <w:r>
        <w:rPr>
          <w:rFonts w:ascii="Arial" w:eastAsia="Arial" w:hAnsi="Arial" w:cs="Arial"/>
          <w:b/>
          <w:i w:val="0"/>
          <w:color w:val="4495D1"/>
          <w:sz w:val="20"/>
          <w:u w:val="none"/>
        </w:rPr>
        <w:t>Limited</w:t>
      </w:r>
      <w:r>
        <w:rPr>
          <w:rFonts w:ascii="Arial" w:eastAsia="Arial" w:hAnsi="Arial" w:cs="Arial"/>
          <w:b/>
          <w:i w:val="0"/>
          <w:color w:val="4495D1"/>
          <w:sz w:val="20"/>
          <w:u w:val="none"/>
        </w:rPr>
        <w:t xml:space="preserve">; and </w:t>
      </w:r>
      <w:r>
        <w:rPr>
          <w:rFonts w:ascii="Arial" w:eastAsia="Arial" w:hAnsi="Arial" w:cs="Arial"/>
          <w:b/>
          <w:i w:val="0"/>
          <w:color w:val="4495D1"/>
          <w:sz w:val="20"/>
          <w:u w:val="none"/>
        </w:rPr>
        <w:t>Chief Investment Officer</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descriptions below set forth the material terms of the employment agreements with our named executive officers, other than our CEO.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Our executive officers are entitled to certain benefits under their employment agreements upon termination of their employment. An executive officer’s employment may terminate under any of the following circumstances: (i) by us for "cause" (as defined in the applicable executive’s agreement) or by the executive without "good reason" (as defined in the executive’s agreement, if applicable); (ii) by us without "cause" or by the executive with "good reason" (if applicable); (iii) following a "change of control" (as defined in the applicable executive’s agreement); (iv) upon the executive’s death or disability; and (v) after expiration of the term of employment for agreements with a set term.</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Upon termination for any reason, each executive is entitled to any salary, bonuses, expense reimbursement and similar amounts (including pension benefits) that were already earned by, but not yet paid to, such executive.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On March 21, 2023, Ms. Gregory and the Company entered into an amendment to Ms. Gregory's existing amended and restated employment agreement in connection with her appointment to the position of President, which is described in the section above entitled "Narrative Disclosure to Summary Compensation Table and Grants of Plan-Based Awards Table - </w:t>
      </w:r>
      <w:r>
        <w:rPr>
          <w:rFonts w:ascii="Arial" w:eastAsia="Arial" w:hAnsi="Arial" w:cs="Arial"/>
          <w:b w:val="0"/>
          <w:i w:val="0"/>
          <w:sz w:val="20"/>
        </w:rPr>
        <w:t>Employment Agreements with Named Executive Officers</w:t>
      </w:r>
      <w:r>
        <w:rPr>
          <w:rFonts w:ascii="Arial" w:eastAsia="Arial" w:hAnsi="Arial" w:cs="Arial"/>
          <w:b w:val="0"/>
          <w:i w:val="0"/>
          <w:sz w:val="20"/>
        </w:rPr>
        <w: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Also on March 21, 2023, Mr. Brockman and the Company entered into an amendment to Mr. Brockman’s existing employment agreement in connection with his appointment to the position of Chief Operating Officer, which is described in the section above entitled "Narrative Disclosure to Summary Compensation Table and Grants of Plan-Based Awards Table - </w:t>
      </w:r>
      <w:r>
        <w:rPr>
          <w:rFonts w:ascii="Arial" w:eastAsia="Arial" w:hAnsi="Arial" w:cs="Arial"/>
          <w:b w:val="0"/>
          <w:i w:val="0"/>
          <w:sz w:val="20"/>
        </w:rPr>
        <w:t>Employment Agreements with</w:t>
      </w:r>
      <w:r>
        <w:rPr>
          <w:rFonts w:ascii="Arial" w:eastAsia="Arial" w:hAnsi="Arial" w:cs="Arial"/>
          <w:b w:val="0"/>
          <w:i w:val="0"/>
          <w:sz w:val="20"/>
        </w:rPr>
        <w:t xml:space="preserve"> Named Executive Officers</w:t>
      </w:r>
      <w:r>
        <w:rPr>
          <w:rFonts w:ascii="Arial" w:eastAsia="Arial" w:hAnsi="Arial" w:cs="Arial"/>
          <w:b w:val="0"/>
          <w:i w:val="0"/>
          <w:sz w:val="20"/>
        </w:rPr>
        <w: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On June 6, 2023, Mr. Alobaidat and the Company </w:t>
      </w:r>
      <w:r>
        <w:rPr>
          <w:rFonts w:ascii="Arial" w:eastAsia="Arial" w:hAnsi="Arial" w:cs="Arial"/>
          <w:b w:val="0"/>
          <w:i w:val="0"/>
          <w:sz w:val="20"/>
        </w:rPr>
        <w:t>entered into an amended and restated employment agreement</w:t>
      </w:r>
      <w:r>
        <w:rPr>
          <w:rFonts w:ascii="Arial" w:eastAsia="Arial" w:hAnsi="Arial" w:cs="Arial"/>
          <w:b w:val="0"/>
          <w:i w:val="0"/>
          <w:sz w:val="20"/>
        </w:rPr>
        <w:t xml:space="preserve">, which is described in the section above </w:t>
      </w:r>
      <w:r>
        <w:rPr>
          <w:rFonts w:ascii="Arial" w:eastAsia="Arial" w:hAnsi="Arial" w:cs="Arial"/>
          <w:b w:val="0"/>
          <w:i w:val="0"/>
          <w:sz w:val="20"/>
        </w:rPr>
        <w:t>entitled</w:t>
      </w:r>
      <w:r>
        <w:rPr>
          <w:rFonts w:ascii="Arial" w:eastAsia="Arial" w:hAnsi="Arial" w:cs="Arial"/>
          <w:b w:val="0"/>
          <w:i w:val="0"/>
          <w:sz w:val="20"/>
        </w:rPr>
        <w:t xml:space="preserve"> </w:t>
      </w:r>
      <w:r>
        <w:rPr>
          <w:rFonts w:ascii="Arial" w:eastAsia="Arial" w:hAnsi="Arial" w:cs="Arial"/>
          <w:b w:val="0"/>
          <w:i w:val="0"/>
          <w:sz w:val="20"/>
        </w:rPr>
        <w:t>"Narrative Disclosure to Summary Compensation Table and Grants of Plan-Based Awards Table - Employment Agreements with Named Executive Officers."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color w:val="1D64A3"/>
          <w:sz w:val="18"/>
          <w:u w:val="none"/>
        </w:rPr>
      </w:pPr>
      <w:r>
        <w:rPr>
          <w:rFonts w:ascii="Arial" w:eastAsia="Arial" w:hAnsi="Arial" w:cs="Arial"/>
          <w:b w:val="0"/>
          <w:i/>
          <w:color w:val="1D64A3"/>
          <w:sz w:val="20"/>
          <w:u w:val="none"/>
        </w:rPr>
        <w:t>Termination for "Cause" or Voluntary Termination wi</w:t>
      </w:r>
      <w:r>
        <w:rPr>
          <w:rFonts w:ascii="Arial" w:eastAsia="Arial" w:hAnsi="Arial" w:cs="Arial"/>
          <w:b w:val="0"/>
          <w:i/>
          <w:color w:val="1D64A3"/>
          <w:sz w:val="20"/>
          <w:u w:val="none"/>
        </w:rPr>
        <w:t>t</w:t>
      </w:r>
      <w:r>
        <w:rPr>
          <w:rFonts w:ascii="Arial" w:eastAsia="Arial" w:hAnsi="Arial" w:cs="Arial"/>
          <w:b w:val="0"/>
          <w:i/>
          <w:color w:val="1D64A3"/>
          <w:sz w:val="20"/>
          <w:u w:val="none"/>
        </w:rPr>
        <w:t>hout "Good Reason."</w:t>
      </w:r>
      <w:r>
        <w:rPr>
          <w:rFonts w:ascii="Arial" w:eastAsia="Arial" w:hAnsi="Arial" w:cs="Arial"/>
          <w:b w:val="0"/>
          <w:i w:val="0"/>
          <w:sz w:val="20"/>
        </w:rPr>
        <w:t xml:space="preserve"> If we terminate the employment agreement of </w:t>
      </w:r>
      <w:r>
        <w:rPr>
          <w:rFonts w:ascii="Arial" w:eastAsia="Arial" w:hAnsi="Arial" w:cs="Arial"/>
          <w:b w:val="0"/>
          <w:i w:val="0"/>
          <w:color w:val="000000"/>
          <w:sz w:val="20"/>
          <w:u w:val="none"/>
        </w:rPr>
        <w:t>M</w:t>
      </w:r>
      <w:r>
        <w:rPr>
          <w:rFonts w:ascii="Arial" w:eastAsia="Arial" w:hAnsi="Arial" w:cs="Arial"/>
          <w:b w:val="0"/>
          <w:i w:val="0"/>
          <w:color w:val="000000"/>
          <w:sz w:val="20"/>
          <w:u w:val="none"/>
        </w:rPr>
        <w:t>essr</w:t>
      </w:r>
      <w:r>
        <w:rPr>
          <w:rFonts w:ascii="Arial" w:eastAsia="Arial" w:hAnsi="Arial" w:cs="Arial"/>
          <w:b w:val="0"/>
          <w:i w:val="0"/>
          <w:color w:val="000000"/>
          <w:sz w:val="20"/>
          <w:u w:val="none"/>
        </w:rPr>
        <w:t>s</w:t>
      </w:r>
      <w:r>
        <w:rPr>
          <w:rFonts w:ascii="Arial" w:eastAsia="Arial" w:hAnsi="Arial" w:cs="Arial"/>
          <w:b w:val="0"/>
          <w:i w:val="0"/>
          <w:color w:val="000000"/>
          <w:sz w:val="20"/>
          <w:u w:val="none"/>
        </w:rPr>
        <w:t>. Kirk</w:t>
      </w:r>
      <w:r>
        <w:rPr>
          <w:rFonts w:ascii="Arial" w:eastAsia="Arial" w:hAnsi="Arial" w:cs="Arial"/>
          <w:b w:val="0"/>
          <w:i w:val="0"/>
          <w:color w:val="000000"/>
          <w:sz w:val="20"/>
          <w:u w:val="none"/>
        </w:rPr>
        <w:t xml:space="preserve"> or Alobaidat</w:t>
      </w:r>
      <w:r>
        <w:rPr>
          <w:rFonts w:ascii="Arial" w:eastAsia="Arial" w:hAnsi="Arial" w:cs="Arial"/>
          <w:b w:val="0"/>
          <w:i w:val="0"/>
          <w:color w:val="000000"/>
          <w:sz w:val="20"/>
          <w:u w:val="none"/>
        </w:rPr>
        <w:t xml:space="preserve"> or Ms. Gre</w:t>
      </w:r>
      <w:r>
        <w:rPr>
          <w:rFonts w:ascii="Arial" w:eastAsia="Arial" w:hAnsi="Arial" w:cs="Arial"/>
          <w:b w:val="0"/>
          <w:i w:val="0"/>
          <w:color w:val="000000"/>
          <w:sz w:val="20"/>
          <w:u w:val="none"/>
        </w:rPr>
        <w:t>gory</w:t>
      </w:r>
      <w:r>
        <w:rPr>
          <w:rFonts w:ascii="Arial" w:eastAsia="Arial" w:hAnsi="Arial" w:cs="Arial"/>
          <w:b w:val="0"/>
          <w:i w:val="0"/>
          <w:color w:val="000000"/>
          <w:sz w:val="20"/>
          <w:u w:val="none"/>
        </w:rPr>
        <w:t xml:space="preserve"> for "cause," or if</w:t>
      </w:r>
      <w:r>
        <w:rPr>
          <w:rFonts w:ascii="Arial" w:eastAsia="Arial" w:hAnsi="Arial" w:cs="Arial"/>
          <w:b w:val="0"/>
          <w:i w:val="0"/>
          <w:color w:val="000000"/>
          <w:sz w:val="20"/>
          <w:u w:val="none"/>
        </w:rPr>
        <w:t xml:space="preserve"> one of them</w:t>
      </w:r>
      <w:r>
        <w:rPr>
          <w:rFonts w:ascii="Arial" w:eastAsia="Arial" w:hAnsi="Arial" w:cs="Arial"/>
          <w:b w:val="0"/>
          <w:i w:val="0"/>
          <w:color w:val="000000"/>
          <w:sz w:val="20"/>
          <w:u w:val="none"/>
        </w:rPr>
        <w:t xml:space="preserve"> voluntarily terminates </w:t>
      </w:r>
      <w:r>
        <w:rPr>
          <w:rFonts w:ascii="Arial" w:eastAsia="Arial" w:hAnsi="Arial" w:cs="Arial"/>
          <w:b w:val="0"/>
          <w:i w:val="0"/>
          <w:color w:val="000000"/>
          <w:sz w:val="20"/>
          <w:u w:val="none"/>
        </w:rPr>
        <w:t xml:space="preserve">his or </w:t>
      </w:r>
      <w:r>
        <w:rPr>
          <w:rFonts w:ascii="Arial" w:eastAsia="Arial" w:hAnsi="Arial" w:cs="Arial"/>
          <w:b w:val="0"/>
          <w:i w:val="0"/>
          <w:color w:val="000000"/>
          <w:sz w:val="20"/>
          <w:u w:val="none"/>
        </w:rPr>
        <w:t xml:space="preserve">her employment agreement with us without "good reason," we will not be obligated to make any payments to </w:t>
      </w:r>
      <w:r>
        <w:rPr>
          <w:rFonts w:ascii="Arial" w:eastAsia="Arial" w:hAnsi="Arial" w:cs="Arial"/>
          <w:b w:val="0"/>
          <w:i w:val="0"/>
          <w:color w:val="000000"/>
          <w:sz w:val="20"/>
          <w:u w:val="none"/>
        </w:rPr>
        <w:t>the executive officer</w:t>
      </w:r>
      <w:r>
        <w:rPr>
          <w:rFonts w:ascii="Arial" w:eastAsia="Arial" w:hAnsi="Arial" w:cs="Arial"/>
          <w:b w:val="0"/>
          <w:i w:val="0"/>
          <w:color w:val="000000"/>
          <w:sz w:val="20"/>
          <w:u w:val="none"/>
        </w:rPr>
        <w:t xml:space="preserve"> other than amounts that have been fully earned by, but not yet paid to, </w:t>
      </w:r>
      <w:r>
        <w:rPr>
          <w:rFonts w:ascii="Arial" w:eastAsia="Arial" w:hAnsi="Arial" w:cs="Arial"/>
          <w:b w:val="0"/>
          <w:i w:val="0"/>
          <w:color w:val="000000"/>
          <w:sz w:val="20"/>
          <w:u w:val="none"/>
        </w:rPr>
        <w:t>the executive officer</w:t>
      </w:r>
      <w:r>
        <w:rPr>
          <w:rFonts w:ascii="Arial" w:eastAsia="Arial" w:hAnsi="Arial" w:cs="Arial"/>
          <w:b w:val="0"/>
          <w:i w:val="0"/>
          <w:color w:val="000000"/>
          <w:sz w:val="20"/>
          <w:u w:val="none"/>
        </w:rPr>
        <w:t>. If we terminate the employment agreement of Messrs. Ni</w:t>
      </w:r>
      <w:r>
        <w:rPr>
          <w:rFonts w:ascii="Arial" w:eastAsia="Arial" w:hAnsi="Arial" w:cs="Arial"/>
          <w:b w:val="0"/>
          <w:i w:val="0"/>
          <w:color w:val="000000"/>
          <w:sz w:val="20"/>
          <w:u w:val="none"/>
        </w:rPr>
        <w:t xml:space="preserve"> or</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Brockman</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for "cause," or if one of them terminates his employment for any reason, we will not be obligated to make any payments to him other than amounts that have been fully earned by, but not yet paid to, him.</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color w:val="1D64A3"/>
          <w:sz w:val="18"/>
          <w:u w:val="none"/>
        </w:rPr>
      </w:pPr>
      <w:r>
        <w:rPr>
          <w:rFonts w:ascii="Arial" w:eastAsia="Arial" w:hAnsi="Arial" w:cs="Arial"/>
          <w:b w:val="0"/>
          <w:i/>
          <w:color w:val="1D64A3"/>
          <w:sz w:val="20"/>
          <w:u w:val="none"/>
        </w:rPr>
        <w:t xml:space="preserve">Termination "without Cause" or Termination for "Good Reason." </w:t>
      </w:r>
      <w:r>
        <w:rPr>
          <w:rFonts w:ascii="Arial" w:eastAsia="Arial" w:hAnsi="Arial" w:cs="Arial"/>
          <w:b w:val="0"/>
          <w:i w:val="0"/>
          <w:sz w:val="20"/>
        </w:rPr>
        <w:t xml:space="preserve">Our executive officers are entitled to the benefits described below if: (i) we terminate the executive officer’s employment "without cause" or (ii) for </w:t>
      </w:r>
      <w:r>
        <w:rPr>
          <w:rFonts w:ascii="Arial" w:eastAsia="Arial" w:hAnsi="Arial" w:cs="Arial"/>
          <w:b w:val="0"/>
          <w:i w:val="0"/>
          <w:sz w:val="20"/>
        </w:rPr>
        <w:t>M</w:t>
      </w:r>
      <w:r>
        <w:rPr>
          <w:rFonts w:ascii="Arial" w:eastAsia="Arial" w:hAnsi="Arial" w:cs="Arial"/>
          <w:b w:val="0"/>
          <w:i w:val="0"/>
          <w:sz w:val="20"/>
        </w:rPr>
        <w:t>ess</w:t>
      </w:r>
      <w:r>
        <w:rPr>
          <w:rFonts w:ascii="Arial" w:eastAsia="Arial" w:hAnsi="Arial" w:cs="Arial"/>
          <w:b w:val="0"/>
          <w:i w:val="0"/>
          <w:sz w:val="20"/>
        </w:rPr>
        <w:t>r</w:t>
      </w:r>
      <w:r>
        <w:rPr>
          <w:rFonts w:ascii="Arial" w:eastAsia="Arial" w:hAnsi="Arial" w:cs="Arial"/>
          <w:b w:val="0"/>
          <w:i w:val="0"/>
          <w:sz w:val="20"/>
        </w:rPr>
        <w:t>s</w:t>
      </w:r>
      <w:r>
        <w:rPr>
          <w:rFonts w:ascii="Arial" w:eastAsia="Arial" w:hAnsi="Arial" w:cs="Arial"/>
          <w:b w:val="0"/>
          <w:i w:val="0"/>
          <w:sz w:val="20"/>
        </w:rPr>
        <w:t>. Kirk and</w:t>
      </w:r>
      <w:r>
        <w:rPr>
          <w:rFonts w:ascii="Arial" w:eastAsia="Arial" w:hAnsi="Arial" w:cs="Arial"/>
          <w:b w:val="0"/>
          <w:i w:val="0"/>
          <w:sz w:val="20"/>
        </w:rPr>
        <w:t xml:space="preserve"> Alobaidat and</w:t>
      </w:r>
      <w:r>
        <w:rPr>
          <w:rFonts w:ascii="Arial" w:eastAsia="Arial" w:hAnsi="Arial" w:cs="Arial"/>
          <w:b w:val="0"/>
          <w:i w:val="0"/>
          <w:sz w:val="20"/>
        </w:rPr>
        <w:t xml:space="preserve"> </w:t>
      </w:r>
      <w:r>
        <w:rPr>
          <w:rFonts w:ascii="Arial" w:eastAsia="Arial" w:hAnsi="Arial" w:cs="Arial"/>
          <w:b w:val="0"/>
          <w:i w:val="0"/>
          <w:sz w:val="20"/>
        </w:rPr>
        <w:t xml:space="preserve">Ms. Gregory, if </w:t>
      </w:r>
      <w:r>
        <w:rPr>
          <w:rFonts w:ascii="Arial" w:eastAsia="Arial" w:hAnsi="Arial" w:cs="Arial"/>
          <w:b w:val="0"/>
          <w:i w:val="0"/>
          <w:sz w:val="20"/>
        </w:rPr>
        <w:t>the executive officer</w:t>
      </w:r>
      <w:r>
        <w:rPr>
          <w:rFonts w:ascii="Arial" w:eastAsia="Arial" w:hAnsi="Arial" w:cs="Arial"/>
          <w:b w:val="0"/>
          <w:i w:val="0"/>
          <w:sz w:val="20"/>
        </w:rPr>
        <w:t xml:space="preserve"> terminates </w:t>
      </w:r>
      <w:r>
        <w:rPr>
          <w:rFonts w:ascii="Arial" w:eastAsia="Arial" w:hAnsi="Arial" w:cs="Arial"/>
          <w:b w:val="0"/>
          <w:i w:val="0"/>
          <w:sz w:val="20"/>
        </w:rPr>
        <w:t xml:space="preserve">his or </w:t>
      </w:r>
      <w:r>
        <w:rPr>
          <w:rFonts w:ascii="Arial" w:eastAsia="Arial" w:hAnsi="Arial" w:cs="Arial"/>
          <w:b w:val="0"/>
          <w:i w:val="0"/>
          <w:sz w:val="20"/>
        </w:rPr>
        <w:t xml:space="preserve">her employment with "good reason": (A) any amounts (including salary, bonuses, expense reimbursement, etc.) that have been fully earned by, but not yet paid to, the executive officer as of the date of termination; (B) a lump sum amount equal to two times the executive officer’s annual base salary (for Ms. Gregory), or a continuation of base salary for the greater of twelve months or the number of pay periods required by the Company's U.S. employee severance plan (for Messrs. </w:t>
      </w:r>
      <w:r>
        <w:rPr>
          <w:rFonts w:ascii="Arial" w:eastAsia="Arial" w:hAnsi="Arial" w:cs="Arial"/>
          <w:b w:val="0"/>
          <w:i w:val="0"/>
          <w:sz w:val="20"/>
        </w:rPr>
        <w:t xml:space="preserve">Kirk, </w:t>
      </w:r>
      <w:r>
        <w:rPr>
          <w:rFonts w:ascii="Arial" w:eastAsia="Arial" w:hAnsi="Arial" w:cs="Arial"/>
          <w:b w:val="0"/>
          <w:i w:val="0"/>
          <w:sz w:val="20"/>
        </w:rPr>
        <w:t>Ni</w:t>
      </w:r>
      <w:r>
        <w:rPr>
          <w:rFonts w:ascii="Arial" w:eastAsia="Arial" w:hAnsi="Arial" w:cs="Arial"/>
          <w:b w:val="0"/>
          <w:i w:val="0"/>
          <w:sz w:val="20"/>
        </w:rPr>
        <w:t xml:space="preserve">, </w:t>
      </w:r>
      <w:r>
        <w:rPr>
          <w:rFonts w:ascii="Arial" w:eastAsia="Arial" w:hAnsi="Arial" w:cs="Arial"/>
          <w:b w:val="0"/>
          <w:i w:val="0"/>
          <w:sz w:val="20"/>
        </w:rPr>
        <w:t>Brockman</w:t>
      </w:r>
      <w:r>
        <w:rPr>
          <w:rFonts w:ascii="Arial" w:eastAsia="Arial" w:hAnsi="Arial" w:cs="Arial"/>
          <w:b w:val="0"/>
          <w:i w:val="0"/>
          <w:sz w:val="20"/>
        </w:rPr>
        <w:t xml:space="preserve"> and A</w:t>
      </w:r>
      <w:r>
        <w:rPr>
          <w:rFonts w:ascii="Arial" w:eastAsia="Arial" w:hAnsi="Arial" w:cs="Arial"/>
          <w:b w:val="0"/>
          <w:i w:val="0"/>
          <w:sz w:val="20"/>
        </w:rPr>
        <w:t>lobaidat</w:t>
      </w:r>
      <w:r>
        <w:rPr>
          <w:rFonts w:ascii="Arial" w:eastAsia="Arial" w:hAnsi="Arial" w:cs="Arial"/>
          <w:b w:val="0"/>
          <w:i w:val="0"/>
          <w:sz w:val="20"/>
        </w:rPr>
        <w:t xml:space="preserve">); (C) </w:t>
      </w:r>
      <w:r>
        <w:rPr>
          <w:rFonts w:ascii="Arial" w:eastAsia="Arial" w:hAnsi="Arial" w:cs="Arial"/>
          <w:b w:val="0"/>
          <w:i w:val="0"/>
          <w:sz w:val="20"/>
        </w:rPr>
        <w:t xml:space="preserve">(i) for Ms. Gregory, </w:t>
      </w:r>
      <w:r>
        <w:rPr>
          <w:rFonts w:ascii="Arial" w:eastAsia="Arial" w:hAnsi="Arial" w:cs="Arial"/>
          <w:b w:val="0"/>
          <w:i w:val="0"/>
          <w:sz w:val="20"/>
        </w:rPr>
        <w:t xml:space="preserve">continued medical benefits coverage for </w:t>
      </w:r>
      <w:r>
        <w:rPr>
          <w:rFonts w:ascii="Arial" w:eastAsia="Arial" w:hAnsi="Arial" w:cs="Arial"/>
          <w:b w:val="0"/>
          <w:i w:val="0"/>
          <w:sz w:val="20"/>
        </w:rPr>
        <w:t>her</w:t>
      </w:r>
      <w:r>
        <w:rPr>
          <w:rFonts w:ascii="Arial" w:eastAsia="Arial" w:hAnsi="Arial" w:cs="Arial"/>
          <w:b w:val="0"/>
          <w:i w:val="0"/>
          <w:sz w:val="20"/>
        </w:rPr>
        <w:t xml:space="preserve">, </w:t>
      </w:r>
      <w:r>
        <w:rPr>
          <w:rFonts w:ascii="Arial" w:eastAsia="Arial" w:hAnsi="Arial" w:cs="Arial"/>
          <w:b w:val="0"/>
          <w:i w:val="0"/>
          <w:sz w:val="20"/>
        </w:rPr>
        <w:t>her</w:t>
      </w:r>
      <w:r>
        <w:rPr>
          <w:rFonts w:ascii="Arial" w:eastAsia="Arial" w:hAnsi="Arial" w:cs="Arial"/>
          <w:b w:val="0"/>
          <w:i w:val="0"/>
          <w:sz w:val="20"/>
        </w:rPr>
        <w:t xml:space="preserve"> spouse</w:t>
      </w:r>
      <w:r>
        <w:rPr>
          <w:rFonts w:ascii="Arial" w:eastAsia="Arial" w:hAnsi="Arial" w:cs="Arial"/>
          <w:b w:val="0"/>
          <w:i w:val="0"/>
          <w:sz w:val="20"/>
        </w:rPr>
        <w:t xml:space="preserve"> and dependents at our expense for 24 month</w:t>
      </w:r>
      <w:r>
        <w:rPr>
          <w:rFonts w:ascii="Arial" w:eastAsia="Arial" w:hAnsi="Arial" w:cs="Arial"/>
          <w:b w:val="0"/>
          <w:i w:val="0"/>
          <w:sz w:val="20"/>
        </w:rPr>
        <w:t xml:space="preserve">s, </w:t>
      </w:r>
      <w:r>
        <w:rPr>
          <w:rFonts w:ascii="Arial" w:eastAsia="Arial" w:hAnsi="Arial" w:cs="Arial"/>
          <w:b w:val="0"/>
          <w:i w:val="0"/>
          <w:sz w:val="20"/>
        </w:rPr>
        <w:t xml:space="preserve">or </w:t>
      </w:r>
      <w:r>
        <w:rPr>
          <w:rFonts w:ascii="Arial" w:eastAsia="Arial" w:hAnsi="Arial" w:cs="Arial"/>
          <w:b w:val="0"/>
          <w:i w:val="0"/>
          <w:sz w:val="20"/>
        </w:rPr>
        <w:t>(ii)</w:t>
      </w:r>
      <w:r>
        <w:rPr>
          <w:rFonts w:ascii="Arial" w:eastAsia="Arial" w:hAnsi="Arial" w:cs="Arial"/>
          <w:b w:val="0"/>
          <w:i w:val="0"/>
          <w:sz w:val="20"/>
        </w:rPr>
        <w:t xml:space="preserve"> for Mr. Kirk</w:t>
      </w:r>
      <w:r>
        <w:rPr>
          <w:rFonts w:ascii="Arial" w:eastAsia="Arial" w:hAnsi="Arial" w:cs="Arial"/>
          <w:b w:val="0"/>
          <w:i w:val="0"/>
          <w:sz w:val="20"/>
        </w:rPr>
        <w:t xml:space="preserve"> and Mr. Alobaidat</w:t>
      </w:r>
      <w:r>
        <w:rPr>
          <w:rFonts w:ascii="Arial" w:eastAsia="Arial" w:hAnsi="Arial" w:cs="Arial"/>
          <w:b w:val="0"/>
          <w:i w:val="0"/>
          <w:sz w:val="20"/>
        </w:rPr>
        <w:t xml:space="preserve">, </w:t>
      </w:r>
      <w:r>
        <w:rPr>
          <w:rFonts w:ascii="Arial" w:eastAsia="Arial" w:hAnsi="Arial" w:cs="Arial"/>
          <w:b w:val="0"/>
          <w:i w:val="0"/>
          <w:sz w:val="20"/>
        </w:rPr>
        <w:t>COBRA</w:t>
      </w:r>
      <w:r>
        <w:rPr>
          <w:rFonts w:ascii="Arial" w:eastAsia="Arial" w:hAnsi="Arial" w:cs="Arial"/>
          <w:b w:val="0"/>
          <w:i w:val="0"/>
          <w:sz w:val="20"/>
        </w:rPr>
        <w:t>-con</w:t>
      </w:r>
      <w:r>
        <w:rPr>
          <w:rFonts w:ascii="Arial" w:eastAsia="Arial" w:hAnsi="Arial" w:cs="Arial"/>
          <w:b w:val="0"/>
          <w:i w:val="0"/>
          <w:sz w:val="20"/>
        </w:rPr>
        <w:t xml:space="preserve">tinuation coverage for </w:t>
      </w:r>
      <w:r>
        <w:rPr>
          <w:rFonts w:ascii="Arial" w:eastAsia="Arial" w:hAnsi="Arial" w:cs="Arial"/>
          <w:b w:val="0"/>
          <w:i w:val="0"/>
          <w:sz w:val="20"/>
        </w:rPr>
        <w:t>him and any eli</w:t>
      </w:r>
      <w:r>
        <w:rPr>
          <w:rFonts w:ascii="Arial" w:eastAsia="Arial" w:hAnsi="Arial" w:cs="Arial"/>
          <w:b w:val="0"/>
          <w:i w:val="0"/>
          <w:sz w:val="20"/>
        </w:rPr>
        <w:t>gible de</w:t>
      </w:r>
      <w:r>
        <w:rPr>
          <w:rFonts w:ascii="Arial" w:eastAsia="Arial" w:hAnsi="Arial" w:cs="Arial"/>
          <w:b w:val="0"/>
          <w:i w:val="0"/>
          <w:sz w:val="20"/>
        </w:rPr>
        <w:t>pendents at our expe</w:t>
      </w:r>
      <w:r>
        <w:rPr>
          <w:rFonts w:ascii="Arial" w:eastAsia="Arial" w:hAnsi="Arial" w:cs="Arial"/>
          <w:b w:val="0"/>
          <w:i w:val="0"/>
          <w:sz w:val="20"/>
        </w:rPr>
        <w:t>nse for 12 months</w:t>
      </w:r>
      <w:r>
        <w:rPr>
          <w:rFonts w:ascii="Arial" w:eastAsia="Arial" w:hAnsi="Arial" w:cs="Arial"/>
          <w:b w:val="0"/>
          <w:i w:val="0"/>
          <w:sz w:val="20"/>
        </w:rPr>
        <w:t>; (D) vesting of each outstanding unvested equity incentive award, if any, granted to the executive officer before, on or within three years of the effective date of the employment agreement (for Ms. Gregory); and (E) for the year in which the executive officer’s employment terminates</w:t>
      </w:r>
      <w:r>
        <w:rPr>
          <w:rFonts w:ascii="Arial" w:eastAsia="Arial" w:hAnsi="Arial" w:cs="Arial"/>
          <w:b w:val="0"/>
          <w:i w:val="0"/>
          <w:sz w:val="20"/>
        </w:rPr>
        <w:t xml:space="preserve"> (i) for Ms. Gr</w:t>
      </w:r>
      <w:r>
        <w:rPr>
          <w:rFonts w:ascii="Arial" w:eastAsia="Arial" w:hAnsi="Arial" w:cs="Arial"/>
          <w:b w:val="0"/>
          <w:i w:val="0"/>
          <w:sz w:val="20"/>
        </w:rPr>
        <w:t>egory,</w:t>
      </w:r>
      <w:r>
        <w:rPr>
          <w:rFonts w:ascii="Arial" w:eastAsia="Arial" w:hAnsi="Arial" w:cs="Arial"/>
          <w:b w:val="0"/>
          <w:i w:val="0"/>
          <w:sz w:val="20"/>
        </w:rPr>
        <w:t xml:space="preserve"> </w:t>
      </w:r>
      <w:r>
        <w:rPr>
          <w:rFonts w:ascii="Arial" w:eastAsia="Arial" w:hAnsi="Arial" w:cs="Arial"/>
          <w:b w:val="0"/>
          <w:i w:val="0"/>
          <w:sz w:val="20"/>
        </w:rPr>
        <w:t xml:space="preserve">subject to the </w:t>
      </w:r>
      <w:r>
        <w:rPr>
          <w:rFonts w:ascii="Arial" w:eastAsia="Arial" w:hAnsi="Arial" w:cs="Arial"/>
          <w:b w:val="0"/>
          <w:i w:val="0"/>
          <w:sz w:val="20"/>
        </w:rPr>
        <w:t>achievement</w:t>
      </w:r>
      <w:r>
        <w:rPr>
          <w:rFonts w:ascii="Arial" w:eastAsia="Arial" w:hAnsi="Arial" w:cs="Arial"/>
          <w:b w:val="0"/>
          <w:i w:val="0"/>
          <w:sz w:val="20"/>
        </w:rPr>
        <w:t xml:space="preserve"> by the Comp</w:t>
      </w:r>
      <w:r>
        <w:rPr>
          <w:rFonts w:ascii="Arial" w:eastAsia="Arial" w:hAnsi="Arial" w:cs="Arial"/>
          <w:b w:val="0"/>
          <w:i w:val="0"/>
          <w:sz w:val="20"/>
        </w:rPr>
        <w:t xml:space="preserve">any of applicable </w:t>
      </w:r>
      <w:r>
        <w:rPr>
          <w:rFonts w:ascii="Arial" w:eastAsia="Arial" w:hAnsi="Arial" w:cs="Arial"/>
          <w:b w:val="0"/>
          <w:i w:val="0"/>
          <w:sz w:val="20"/>
        </w:rPr>
        <w:t>performance</w:t>
      </w:r>
      <w:r>
        <w:rPr>
          <w:rFonts w:ascii="Arial" w:eastAsia="Arial" w:hAnsi="Arial" w:cs="Arial"/>
          <w:b w:val="0"/>
          <w:i w:val="0"/>
          <w:sz w:val="20"/>
        </w:rPr>
        <w:t xml:space="preserve"> goals, </w:t>
      </w:r>
      <w:r>
        <w:rPr>
          <w:rFonts w:ascii="Arial" w:eastAsia="Arial" w:hAnsi="Arial" w:cs="Arial"/>
          <w:b w:val="0"/>
          <w:i w:val="0"/>
          <w:sz w:val="20"/>
        </w:rPr>
        <w:t xml:space="preserve">an amount equal to the </w:t>
      </w:r>
      <w:r>
        <w:rPr>
          <w:rFonts w:ascii="Arial" w:eastAsia="Arial" w:hAnsi="Arial" w:cs="Arial"/>
          <w:b w:val="0"/>
          <w:i w:val="0"/>
          <w:sz w:val="20"/>
        </w:rPr>
        <w:t>annual incentive award</w:t>
      </w:r>
      <w:r>
        <w:rPr>
          <w:rFonts w:ascii="Arial" w:eastAsia="Arial" w:hAnsi="Arial" w:cs="Arial"/>
          <w:b w:val="0"/>
          <w:i w:val="0"/>
          <w:sz w:val="20"/>
        </w:rPr>
        <w:t xml:space="preserve"> that </w:t>
      </w:r>
      <w:r>
        <w:rPr>
          <w:rFonts w:ascii="Arial" w:eastAsia="Arial" w:hAnsi="Arial" w:cs="Arial"/>
          <w:b w:val="0"/>
          <w:i w:val="0"/>
          <w:sz w:val="20"/>
        </w:rPr>
        <w:t>she</w:t>
      </w:r>
      <w:r>
        <w:rPr>
          <w:rFonts w:ascii="Arial" w:eastAsia="Arial" w:hAnsi="Arial" w:cs="Arial"/>
          <w:b w:val="0"/>
          <w:i w:val="0"/>
          <w:sz w:val="20"/>
        </w:rPr>
        <w:t xml:space="preserve"> would have received had </w:t>
      </w:r>
      <w:r>
        <w:rPr>
          <w:rFonts w:ascii="Arial" w:eastAsia="Arial" w:hAnsi="Arial" w:cs="Arial"/>
          <w:b w:val="0"/>
          <w:i w:val="0"/>
          <w:sz w:val="20"/>
        </w:rPr>
        <w:t>she been employed by us for the full year</w:t>
      </w:r>
      <w:r>
        <w:rPr>
          <w:rFonts w:ascii="Arial" w:eastAsia="Arial" w:hAnsi="Arial" w:cs="Arial"/>
          <w:b w:val="0"/>
          <w:i w:val="0"/>
          <w:sz w:val="20"/>
        </w:rPr>
        <w:t xml:space="preserve"> (an "Incentive Plan Payment")</w:t>
      </w:r>
      <w:r>
        <w:rPr>
          <w:rFonts w:ascii="Arial" w:eastAsia="Arial" w:hAnsi="Arial" w:cs="Arial"/>
          <w:b w:val="0"/>
          <w:i w:val="0"/>
          <w:sz w:val="20"/>
        </w:rPr>
        <w:t>,</w:t>
      </w:r>
      <w:r>
        <w:rPr>
          <w:rFonts w:ascii="Arial" w:eastAsia="Arial" w:hAnsi="Arial" w:cs="Arial"/>
          <w:b w:val="0"/>
          <w:i w:val="0"/>
          <w:sz w:val="20"/>
        </w:rPr>
        <w:t xml:space="preserve"> </w:t>
      </w:r>
      <w:r>
        <w:rPr>
          <w:rFonts w:ascii="Arial" w:eastAsia="Arial" w:hAnsi="Arial" w:cs="Arial"/>
          <w:b w:val="0"/>
          <w:i w:val="0"/>
          <w:sz w:val="20"/>
        </w:rPr>
        <w:t>(ii) for Messrs. Ni and Brockman,</w:t>
      </w:r>
      <w:r>
        <w:rPr>
          <w:rFonts w:ascii="Arial" w:eastAsia="Arial" w:hAnsi="Arial" w:cs="Arial"/>
          <w:b w:val="0"/>
          <w:i w:val="0"/>
          <w:sz w:val="20"/>
        </w:rPr>
        <w:t xml:space="preserve"> </w:t>
      </w:r>
      <w:r>
        <w:rPr>
          <w:rFonts w:ascii="Arial" w:eastAsia="Arial" w:hAnsi="Arial" w:cs="Arial"/>
          <w:b w:val="0"/>
          <w:i w:val="0"/>
          <w:sz w:val="20"/>
        </w:rPr>
        <w:t>an</w:t>
      </w:r>
      <w:r>
        <w:rPr>
          <w:rFonts w:ascii="Arial" w:eastAsia="Arial" w:hAnsi="Arial" w:cs="Arial"/>
          <w:b w:val="0"/>
          <w:i w:val="0"/>
          <w:sz w:val="20"/>
        </w:rPr>
        <w:t xml:space="preserve"> </w:t>
      </w:r>
      <w:r>
        <w:rPr>
          <w:rFonts w:ascii="Arial" w:eastAsia="Arial" w:hAnsi="Arial" w:cs="Arial"/>
          <w:b w:val="0"/>
          <w:i w:val="0"/>
          <w:sz w:val="20"/>
        </w:rPr>
        <w:t xml:space="preserve">Incentive Plan Payment reduced on a pro rata basis to reflect the amount of calendar days during the year that </w:t>
      </w:r>
      <w:r>
        <w:rPr>
          <w:rFonts w:ascii="Arial" w:eastAsia="Arial" w:hAnsi="Arial" w:cs="Arial"/>
          <w:b w:val="0"/>
          <w:i w:val="0"/>
          <w:sz w:val="20"/>
        </w:rPr>
        <w:t>the</w:t>
      </w:r>
      <w:r>
        <w:rPr>
          <w:rFonts w:ascii="Arial" w:eastAsia="Arial" w:hAnsi="Arial" w:cs="Arial"/>
          <w:b w:val="0"/>
          <w:i w:val="0"/>
          <w:sz w:val="20"/>
        </w:rPr>
        <w:t>y were</w:t>
      </w:r>
      <w:r>
        <w:rPr>
          <w:rFonts w:ascii="Arial" w:eastAsia="Arial" w:hAnsi="Arial" w:cs="Arial"/>
          <w:b w:val="0"/>
          <w:i w:val="0"/>
          <w:sz w:val="20"/>
        </w:rPr>
        <w:t xml:space="preserve"> employed </w:t>
      </w:r>
      <w:r>
        <w:rPr>
          <w:rFonts w:ascii="Arial" w:eastAsia="Arial" w:hAnsi="Arial" w:cs="Arial"/>
          <w:b w:val="0"/>
          <w:i w:val="0"/>
          <w:sz w:val="20"/>
        </w:rPr>
        <w:t xml:space="preserve">by </w:t>
      </w:r>
      <w:r>
        <w:rPr>
          <w:rFonts w:ascii="Arial" w:eastAsia="Arial" w:hAnsi="Arial" w:cs="Arial"/>
          <w:b w:val="0"/>
          <w:i w:val="0"/>
          <w:sz w:val="20"/>
        </w:rPr>
        <w:t>(a "Pro Rata Incentive Plan Payment")</w:t>
      </w:r>
      <w:r>
        <w:rPr>
          <w:rFonts w:ascii="Arial" w:eastAsia="Arial" w:hAnsi="Arial" w:cs="Arial"/>
          <w:b w:val="0"/>
          <w:i w:val="0"/>
          <w:sz w:val="20"/>
        </w:rPr>
        <w:t xml:space="preserve">, </w:t>
      </w:r>
      <w:r>
        <w:rPr>
          <w:rFonts w:ascii="Arial" w:eastAsia="Arial" w:hAnsi="Arial" w:cs="Arial"/>
          <w:b w:val="0"/>
          <w:i w:val="0"/>
          <w:sz w:val="20"/>
        </w:rPr>
        <w:t>or</w:t>
      </w:r>
      <w:r>
        <w:rPr>
          <w:rFonts w:ascii="Arial" w:eastAsia="Arial" w:hAnsi="Arial" w:cs="Arial"/>
          <w:b w:val="0"/>
          <w:i w:val="0"/>
          <w:sz w:val="20"/>
        </w:rPr>
        <w:t xml:space="preserve"> (iii) for Messrs. Kirk and Alobaidat</w:t>
      </w:r>
      <w:r>
        <w:rPr>
          <w:rFonts w:ascii="Arial" w:eastAsia="Arial" w:hAnsi="Arial" w:cs="Arial"/>
          <w:b w:val="0"/>
          <w:i w:val="0"/>
          <w:sz w:val="20"/>
        </w:rPr>
        <w:t>,</w:t>
      </w:r>
      <w:r>
        <w:rPr>
          <w:rFonts w:ascii="Arial" w:eastAsia="Arial" w:hAnsi="Arial" w:cs="Arial"/>
          <w:b w:val="0"/>
          <w:i w:val="0"/>
          <w:sz w:val="20"/>
        </w:rPr>
        <w:t xml:space="preserve"> </w:t>
      </w:r>
      <w:r>
        <w:rPr>
          <w:rFonts w:ascii="Arial" w:eastAsia="Arial" w:hAnsi="Arial" w:cs="Arial"/>
          <w:b w:val="0"/>
          <w:i w:val="0"/>
          <w:sz w:val="20"/>
        </w:rPr>
        <w:t>a</w:t>
      </w:r>
      <w:r>
        <w:rPr>
          <w:rFonts w:ascii="Arial" w:eastAsia="Arial" w:hAnsi="Arial" w:cs="Arial"/>
          <w:b w:val="0"/>
          <w:i w:val="0"/>
          <w:sz w:val="20"/>
        </w:rPr>
        <w:t>n amount equal to the</w:t>
      </w:r>
      <w:r>
        <w:rPr>
          <w:rFonts w:ascii="Arial" w:eastAsia="Arial" w:hAnsi="Arial" w:cs="Arial"/>
          <w:b w:val="0"/>
          <w:i w:val="0"/>
          <w:sz w:val="20"/>
        </w:rPr>
        <w:t xml:space="preserve"> executive's target bonus opportunity reduced on a pro</w:t>
      </w:r>
      <w:r>
        <w:rPr>
          <w:rFonts w:ascii="Arial" w:eastAsia="Arial" w:hAnsi="Arial" w:cs="Arial"/>
          <w:b w:val="0"/>
          <w:i w:val="0"/>
          <w:sz w:val="20"/>
        </w:rPr>
        <w:t xml:space="preserve"> rata basis </w:t>
      </w:r>
      <w:r>
        <w:rPr>
          <w:rFonts w:ascii="Arial" w:eastAsia="Arial" w:hAnsi="Arial" w:cs="Arial"/>
          <w:b w:val="0"/>
          <w:i w:val="0"/>
          <w:sz w:val="20"/>
        </w:rPr>
        <w:t xml:space="preserve">to reflect the amount of calendar days during the year that they </w:t>
      </w:r>
      <w:r>
        <w:rPr>
          <w:rFonts w:ascii="Arial" w:eastAsia="Arial" w:hAnsi="Arial" w:cs="Arial"/>
          <w:b w:val="0"/>
          <w:i w:val="0"/>
          <w:sz w:val="20"/>
        </w:rPr>
        <w:t>were employed</w:t>
      </w:r>
      <w:r>
        <w:rPr>
          <w:rFonts w:ascii="Arial" w:eastAsia="Arial" w:hAnsi="Arial" w:cs="Arial"/>
          <w:b w:val="0"/>
          <w:i w:val="0"/>
          <w:sz w:val="20"/>
        </w:rPr>
        <w:t xml:space="preserve"> </w:t>
      </w:r>
      <w:r>
        <w:rPr>
          <w:rFonts w:ascii="Arial" w:eastAsia="Arial" w:hAnsi="Arial" w:cs="Arial"/>
          <w:b w:val="0"/>
          <w:i w:val="0"/>
          <w:sz w:val="20"/>
        </w:rPr>
        <w:t>(a "</w:t>
      </w:r>
      <w:r>
        <w:rPr>
          <w:rFonts w:ascii="Arial" w:eastAsia="Arial" w:hAnsi="Arial" w:cs="Arial"/>
          <w:b w:val="0"/>
          <w:i w:val="0"/>
          <w:sz w:val="20"/>
        </w:rPr>
        <w:t xml:space="preserve">Target </w:t>
      </w:r>
      <w:r>
        <w:rPr>
          <w:rFonts w:ascii="Arial" w:eastAsia="Arial" w:hAnsi="Arial" w:cs="Arial"/>
          <w:b w:val="0"/>
          <w:i w:val="0"/>
          <w:sz w:val="20"/>
        </w:rPr>
        <w:t>Pro Rata Incentive Plan Payment")</w:t>
      </w:r>
      <w:r>
        <w:rPr>
          <w:rFonts w:ascii="Arial" w:eastAsia="Arial" w:hAnsi="Arial" w:cs="Arial"/>
          <w:b w:val="0"/>
          <w:i w:val="0"/>
          <w:sz w:val="20"/>
        </w:rPr>
        <w: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color w:val="1D64A3"/>
          <w:sz w:val="18"/>
          <w:u w:val="none"/>
        </w:rPr>
      </w:pPr>
      <w:r>
        <w:rPr>
          <w:rFonts w:ascii="Arial" w:eastAsia="Arial" w:hAnsi="Arial" w:cs="Arial"/>
          <w:b w:val="0"/>
          <w:i/>
          <w:color w:val="1D64A3"/>
          <w:sz w:val="20"/>
          <w:u w:val="none"/>
        </w:rPr>
        <w:t>Termination following a Change in Control.</w:t>
      </w:r>
      <w:r>
        <w:rPr>
          <w:rFonts w:ascii="Arial" w:eastAsia="Arial" w:hAnsi="Arial" w:cs="Arial"/>
          <w:b w:val="0"/>
          <w:i w:val="0"/>
          <w:sz w:val="20"/>
        </w:rPr>
        <w:t xml:space="preserve"> </w:t>
      </w:r>
      <w:r>
        <w:rPr>
          <w:rFonts w:ascii="Arial" w:eastAsia="Arial" w:hAnsi="Arial" w:cs="Arial"/>
          <w:b w:val="0"/>
          <w:i w:val="0"/>
          <w:sz w:val="20"/>
        </w:rPr>
        <w:t>In the event of term</w:t>
      </w:r>
      <w:r>
        <w:rPr>
          <w:rFonts w:ascii="Arial" w:eastAsia="Arial" w:hAnsi="Arial" w:cs="Arial"/>
          <w:b w:val="0"/>
          <w:i w:val="0"/>
          <w:sz w:val="20"/>
        </w:rPr>
        <w:t xml:space="preserve">ination </w:t>
      </w:r>
      <w:r>
        <w:rPr>
          <w:rFonts w:ascii="Arial" w:eastAsia="Arial" w:hAnsi="Arial" w:cs="Arial"/>
          <w:b w:val="0"/>
          <w:i w:val="0"/>
          <w:sz w:val="20"/>
        </w:rPr>
        <w:t xml:space="preserve">of employment "without cause" </w:t>
      </w:r>
      <w:r>
        <w:rPr>
          <w:rFonts w:ascii="Arial" w:eastAsia="Arial" w:hAnsi="Arial" w:cs="Arial"/>
          <w:b w:val="0"/>
          <w:i w:val="0"/>
          <w:sz w:val="20"/>
        </w:rPr>
        <w:t>(for Ms. Gregory and Messrs. Kirk, Ni</w:t>
      </w:r>
      <w:r>
        <w:rPr>
          <w:rFonts w:ascii="Arial" w:eastAsia="Arial" w:hAnsi="Arial" w:cs="Arial"/>
          <w:b w:val="0"/>
          <w:i w:val="0"/>
          <w:sz w:val="20"/>
        </w:rPr>
        <w:t xml:space="preserve">, Brockman and Alobaidat), </w:t>
      </w:r>
      <w:r>
        <w:rPr>
          <w:rFonts w:ascii="Arial" w:eastAsia="Arial" w:hAnsi="Arial" w:cs="Arial"/>
          <w:b w:val="0"/>
          <w:i w:val="0"/>
          <w:sz w:val="20"/>
        </w:rPr>
        <w:t xml:space="preserve">or resignation for "good reason" </w:t>
      </w:r>
      <w:r>
        <w:rPr>
          <w:rFonts w:ascii="Arial" w:eastAsia="Arial" w:hAnsi="Arial" w:cs="Arial"/>
          <w:b w:val="0"/>
          <w:i w:val="0"/>
          <w:sz w:val="20"/>
        </w:rPr>
        <w:t>(for Ms. Gregory and for Messrs. Kirk and Alobaidat)</w:t>
      </w:r>
      <w:r>
        <w:rPr>
          <w:rFonts w:ascii="Arial" w:eastAsia="Arial" w:hAnsi="Arial" w:cs="Arial"/>
          <w:b w:val="0"/>
          <w:i w:val="0"/>
          <w:sz w:val="20"/>
        </w:rPr>
        <w:t xml:space="preserve"> </w:t>
      </w:r>
      <w:r>
        <w:rPr>
          <w:rFonts w:ascii="Arial" w:eastAsia="Arial" w:hAnsi="Arial" w:cs="Arial"/>
          <w:b w:val="0"/>
          <w:i w:val="0"/>
          <w:sz w:val="20"/>
        </w:rPr>
        <w:t>following a change in control</w:t>
      </w:r>
      <w:r>
        <w:rPr>
          <w:rFonts w:ascii="Arial" w:eastAsia="Arial" w:hAnsi="Arial" w:cs="Arial"/>
          <w:b w:val="0"/>
          <w:i w:val="0"/>
          <w:sz w:val="20"/>
        </w:rPr>
        <w:t>,</w:t>
      </w:r>
      <w:r>
        <w:rPr>
          <w:rFonts w:ascii="Arial" w:eastAsia="Arial" w:hAnsi="Arial" w:cs="Arial"/>
          <w:b w:val="0"/>
          <w:i w:val="0"/>
          <w:sz w:val="20"/>
        </w:rPr>
        <w:t xml:space="preserve"> these executive officers </w:t>
      </w:r>
      <w:r>
        <w:rPr>
          <w:rFonts w:ascii="Arial" w:eastAsia="Arial" w:hAnsi="Arial" w:cs="Arial"/>
          <w:b w:val="0"/>
          <w:i w:val="0"/>
          <w:sz w:val="20"/>
        </w:rPr>
        <w:t xml:space="preserve">would be entitled to </w:t>
      </w:r>
      <w:r>
        <w:rPr>
          <w:rFonts w:ascii="Arial" w:eastAsia="Arial" w:hAnsi="Arial" w:cs="Arial"/>
          <w:b w:val="0"/>
          <w:i w:val="0"/>
          <w:sz w:val="20"/>
        </w:rPr>
        <w:t>the same benefits described above</w:t>
      </w:r>
      <w:r>
        <w:rPr>
          <w:rFonts w:ascii="Arial" w:eastAsia="Arial" w:hAnsi="Arial" w:cs="Arial"/>
          <w:b w:val="0"/>
          <w:i w:val="0"/>
          <w:sz w:val="20"/>
        </w:rPr>
        <w:t>, except for Mr. A</w:t>
      </w:r>
      <w:r>
        <w:rPr>
          <w:rFonts w:ascii="Arial" w:eastAsia="Arial" w:hAnsi="Arial" w:cs="Arial"/>
          <w:b w:val="0"/>
          <w:i w:val="0"/>
          <w:sz w:val="20"/>
        </w:rPr>
        <w:t>lobaidat, who would be entitled to a continuation of his base salar</w:t>
      </w:r>
      <w:r>
        <w:rPr>
          <w:rFonts w:ascii="Arial" w:eastAsia="Arial" w:hAnsi="Arial" w:cs="Arial"/>
          <w:b w:val="0"/>
          <w:i w:val="0"/>
          <w:sz w:val="20"/>
        </w:rPr>
        <w:t xml:space="preserve">y for the greater of eighteen months or the number of pay periods required by the Company's U.S. employee </w:t>
      </w:r>
      <w:r>
        <w:rPr>
          <w:rFonts w:ascii="Arial" w:eastAsia="Arial" w:hAnsi="Arial" w:cs="Arial"/>
          <w:b w:val="0"/>
          <w:i w:val="0"/>
          <w:sz w:val="20"/>
        </w:rPr>
        <w:t>severance plan</w:t>
      </w:r>
      <w:r>
        <w:rPr>
          <w:rFonts w:ascii="Arial" w:eastAsia="Arial" w:hAnsi="Arial" w:cs="Arial"/>
          <w:b w:val="0"/>
          <w:i w:val="0"/>
          <w:sz w:val="20"/>
        </w:rPr>
        <w: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color w:val="1D64A3"/>
          <w:sz w:val="18"/>
          <w:u w:val="none"/>
        </w:rPr>
      </w:pPr>
      <w:r>
        <w:rPr>
          <w:rFonts w:ascii="Arial" w:eastAsia="Arial" w:hAnsi="Arial" w:cs="Arial"/>
          <w:b w:val="0"/>
          <w:i/>
          <w:color w:val="1D64A3"/>
          <w:sz w:val="20"/>
          <w:u w:val="none"/>
        </w:rPr>
        <w:t>Death of Executive.</w:t>
      </w:r>
      <w:r>
        <w:rPr>
          <w:rFonts w:ascii="Arial" w:eastAsia="Arial" w:hAnsi="Arial" w:cs="Arial"/>
          <w:b w:val="0"/>
          <w:i w:val="0"/>
          <w:sz w:val="20"/>
        </w:rPr>
        <w:t xml:space="preserve"> In the event of an executive officer’s death, his or her employment agreement automatically terminates</w:t>
      </w:r>
      <w:r>
        <w:rPr>
          <w:rFonts w:ascii="Arial" w:eastAsia="Arial" w:hAnsi="Arial" w:cs="Arial"/>
          <w:b w:val="0"/>
          <w:i w:val="0"/>
          <w:sz w:val="20"/>
        </w:rPr>
        <w:t xml:space="preserve">. For Ms. </w:t>
      </w:r>
      <w:r>
        <w:rPr>
          <w:rFonts w:ascii="Arial" w:eastAsia="Arial" w:hAnsi="Arial" w:cs="Arial"/>
          <w:b w:val="0"/>
          <w:i w:val="0"/>
          <w:sz w:val="20"/>
        </w:rPr>
        <w:t>Gregory</w:t>
      </w:r>
      <w:r>
        <w:rPr>
          <w:rFonts w:ascii="Arial" w:eastAsia="Arial" w:hAnsi="Arial" w:cs="Arial"/>
          <w:b w:val="0"/>
          <w:i w:val="0"/>
          <w:sz w:val="20"/>
        </w:rPr>
        <w:t xml:space="preserve">, </w:t>
      </w:r>
      <w:r>
        <w:rPr>
          <w:rFonts w:ascii="Arial" w:eastAsia="Arial" w:hAnsi="Arial" w:cs="Arial"/>
          <w:b w:val="0"/>
          <w:i w:val="0"/>
          <w:sz w:val="20"/>
        </w:rPr>
        <w:t xml:space="preserve">her designated beneficiary or legal representatives are entitled to: (A) a lump sum payment equal to five times the executive officer’s annual base salary in effect at the time of </w:t>
      </w:r>
      <w:r>
        <w:rPr>
          <w:rFonts w:ascii="Arial" w:eastAsia="Arial" w:hAnsi="Arial" w:cs="Arial"/>
          <w:b w:val="0"/>
          <w:i w:val="0"/>
          <w:sz w:val="20"/>
        </w:rPr>
        <w:t>her death</w:t>
      </w:r>
      <w:r>
        <w:rPr>
          <w:rFonts w:ascii="Arial" w:eastAsia="Arial" w:hAnsi="Arial" w:cs="Arial"/>
          <w:b w:val="0"/>
          <w:i w:val="0"/>
          <w:sz w:val="20"/>
        </w:rPr>
        <w:t>;</w:t>
      </w:r>
      <w:r>
        <w:rPr>
          <w:rFonts w:ascii="Arial" w:eastAsia="Arial" w:hAnsi="Arial" w:cs="Arial"/>
          <w:b w:val="0"/>
          <w:i w:val="0"/>
          <w:sz w:val="20"/>
        </w:rPr>
        <w:t xml:space="preserve"> </w:t>
      </w:r>
      <w:r>
        <w:rPr>
          <w:rFonts w:ascii="Arial" w:eastAsia="Arial" w:hAnsi="Arial" w:cs="Arial"/>
          <w:b w:val="0"/>
          <w:i w:val="0"/>
          <w:sz w:val="20"/>
        </w:rPr>
        <w:t>(B) a</w:t>
      </w:r>
      <w:r>
        <w:rPr>
          <w:rFonts w:ascii="Arial" w:eastAsia="Arial" w:hAnsi="Arial" w:cs="Arial"/>
          <w:b w:val="0"/>
          <w:i w:val="0"/>
          <w:sz w:val="20"/>
        </w:rPr>
        <w:t xml:space="preserve"> </w:t>
      </w:r>
      <w:r>
        <w:rPr>
          <w:rFonts w:ascii="Arial" w:eastAsia="Arial" w:hAnsi="Arial" w:cs="Arial"/>
          <w:b w:val="0"/>
          <w:i w:val="0"/>
          <w:sz w:val="20"/>
        </w:rPr>
        <w:t>Pro Rat</w:t>
      </w:r>
      <w:r>
        <w:rPr>
          <w:rFonts w:ascii="Arial" w:eastAsia="Arial" w:hAnsi="Arial" w:cs="Arial"/>
          <w:b w:val="0"/>
          <w:i w:val="0"/>
          <w:sz w:val="20"/>
        </w:rPr>
        <w:t xml:space="preserve">a </w:t>
      </w:r>
      <w:r>
        <w:rPr>
          <w:rFonts w:ascii="Arial" w:eastAsia="Arial" w:hAnsi="Arial" w:cs="Arial"/>
          <w:b w:val="0"/>
          <w:i w:val="0"/>
          <w:sz w:val="20"/>
        </w:rPr>
        <w:t>Incentive Plan Payment</w:t>
      </w:r>
      <w:r>
        <w:rPr>
          <w:rFonts w:ascii="Arial" w:eastAsia="Arial" w:hAnsi="Arial" w:cs="Arial"/>
          <w:b w:val="0"/>
          <w:i w:val="0"/>
          <w:sz w:val="20"/>
        </w:rPr>
        <w:t xml:space="preserve">; </w:t>
      </w:r>
      <w:r>
        <w:rPr>
          <w:rFonts w:ascii="Arial" w:eastAsia="Arial" w:hAnsi="Arial" w:cs="Arial"/>
          <w:b w:val="0"/>
          <w:i w:val="0"/>
          <w:sz w:val="20"/>
        </w:rPr>
        <w:t xml:space="preserve">and </w:t>
      </w:r>
      <w:r>
        <w:rPr>
          <w:rFonts w:ascii="Arial" w:eastAsia="Arial" w:hAnsi="Arial" w:cs="Arial"/>
          <w:b w:val="0"/>
          <w:i w:val="0"/>
          <w:sz w:val="20"/>
        </w:rPr>
        <w:t>(C) continued medical benefits coverage under the employment agreement for the executive officer’s spouse and dependents for a period of 24 months</w:t>
      </w:r>
      <w:r>
        <w:rPr>
          <w:rFonts w:ascii="Arial" w:eastAsia="Arial" w:hAnsi="Arial" w:cs="Arial"/>
          <w:b w:val="0"/>
          <w:i w:val="0"/>
          <w:sz w:val="20"/>
        </w:rPr>
        <w:t xml:space="preserve">. The Company self-insures its obligation to fund the difference between the contractually provided lump sum amount payable in the event of the death of Ms. Gregory and the life insurance benefit provided by such executive's participation in the Company's life insurance benefit provided to all employees.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color w:val="1D64A3"/>
          <w:sz w:val="18"/>
          <w:u w:val="none"/>
        </w:rPr>
      </w:pPr>
      <w:r>
        <w:rPr>
          <w:rFonts w:ascii="Arial" w:eastAsia="Arial" w:hAnsi="Arial" w:cs="Arial"/>
          <w:b w:val="0"/>
          <w:i/>
          <w:color w:val="1D64A3"/>
          <w:sz w:val="20"/>
          <w:u w:val="none"/>
        </w:rPr>
        <w:t xml:space="preserve">Disability of Executive. </w:t>
      </w:r>
      <w:r>
        <w:rPr>
          <w:rFonts w:ascii="Arial" w:eastAsia="Arial" w:hAnsi="Arial" w:cs="Arial"/>
          <w:b w:val="0"/>
          <w:i w:val="0"/>
          <w:sz w:val="20"/>
        </w:rPr>
        <w:t>For Ms. Gregory, we may terminate her employment agreement if she becomes disabled (as defined in her agreement). If her employment ends because of disability, then she is entitled to: (A) any amounts (including salary, bonuses, expense reimbursement, etc.) that have been fully earned by, but not yet paid to, her as of the date of such termination; (B) base salary for a period of 24 months, with base salary payments being offset by any payments to her under the Company's disability insurance policies; (C) a Pro Rata Incentive Plan Payment; and (D) continued medical benefits coverage for her, her spouse and dependents at our expense for a period ending on the earlier of (x) 24 months and (y) the date she begins new employment with an organization offering a comprehensive major medical health plan for her and her spouse and dependents. For M</w:t>
      </w:r>
      <w:r>
        <w:rPr>
          <w:rFonts w:ascii="Arial" w:eastAsia="Arial" w:hAnsi="Arial" w:cs="Arial"/>
          <w:b w:val="0"/>
          <w:i w:val="0"/>
          <w:sz w:val="20"/>
        </w:rPr>
        <w:t>essrs. Kirk</w:t>
      </w:r>
      <w:r>
        <w:rPr>
          <w:rFonts w:ascii="Arial" w:eastAsia="Arial" w:hAnsi="Arial" w:cs="Arial"/>
          <w:b w:val="0"/>
          <w:i w:val="0"/>
          <w:sz w:val="20"/>
        </w:rPr>
        <w:t xml:space="preserve">, Ni, </w:t>
      </w:r>
      <w:r>
        <w:rPr>
          <w:rFonts w:ascii="Arial" w:eastAsia="Arial" w:hAnsi="Arial" w:cs="Arial"/>
          <w:b w:val="0"/>
          <w:i w:val="0"/>
          <w:sz w:val="20"/>
        </w:rPr>
        <w:t>Brockman</w:t>
      </w:r>
      <w:r>
        <w:rPr>
          <w:rFonts w:ascii="Arial" w:eastAsia="Arial" w:hAnsi="Arial" w:cs="Arial"/>
          <w:b w:val="0"/>
          <w:i w:val="0"/>
          <w:sz w:val="20"/>
        </w:rPr>
        <w:t xml:space="preserve"> and A</w:t>
      </w:r>
      <w:r>
        <w:rPr>
          <w:rFonts w:ascii="Arial" w:eastAsia="Arial" w:hAnsi="Arial" w:cs="Arial"/>
          <w:b w:val="0"/>
          <w:i w:val="0"/>
          <w:sz w:val="20"/>
        </w:rPr>
        <w:t>lobaidat</w:t>
      </w:r>
      <w:r>
        <w:rPr>
          <w:rFonts w:ascii="Arial" w:eastAsia="Arial" w:hAnsi="Arial" w:cs="Arial"/>
          <w:b w:val="0"/>
          <w:i w:val="0"/>
          <w:sz w:val="20"/>
        </w:rPr>
        <w:t xml:space="preserve">, we may terminate </w:t>
      </w:r>
      <w:r>
        <w:rPr>
          <w:rFonts w:ascii="Arial" w:eastAsia="Arial" w:hAnsi="Arial" w:cs="Arial"/>
          <w:b w:val="0"/>
          <w:i w:val="0"/>
          <w:sz w:val="20"/>
        </w:rPr>
        <w:t>the executiv</w:t>
      </w:r>
      <w:r>
        <w:rPr>
          <w:rFonts w:ascii="Arial" w:eastAsia="Arial" w:hAnsi="Arial" w:cs="Arial"/>
          <w:b w:val="0"/>
          <w:i w:val="0"/>
          <w:sz w:val="20"/>
        </w:rPr>
        <w:t>e's</w:t>
      </w:r>
      <w:r>
        <w:rPr>
          <w:rFonts w:ascii="Arial" w:eastAsia="Arial" w:hAnsi="Arial" w:cs="Arial"/>
          <w:b w:val="0"/>
          <w:i w:val="0"/>
          <w:sz w:val="20"/>
        </w:rPr>
        <w:t xml:space="preserve"> employment agreement if </w:t>
      </w:r>
      <w:r>
        <w:rPr>
          <w:rFonts w:ascii="Arial" w:eastAsia="Arial" w:hAnsi="Arial" w:cs="Arial"/>
          <w:b w:val="0"/>
          <w:i w:val="0"/>
          <w:sz w:val="20"/>
        </w:rPr>
        <w:t xml:space="preserve">he </w:t>
      </w:r>
      <w:r>
        <w:rPr>
          <w:rFonts w:ascii="Arial" w:eastAsia="Arial" w:hAnsi="Arial" w:cs="Arial"/>
          <w:b w:val="0"/>
          <w:i w:val="0"/>
          <w:sz w:val="20"/>
        </w:rPr>
        <w:t xml:space="preserve">becomes disabled (as defined in </w:t>
      </w:r>
      <w:r>
        <w:rPr>
          <w:rFonts w:ascii="Arial" w:eastAsia="Arial" w:hAnsi="Arial" w:cs="Arial"/>
          <w:b w:val="0"/>
          <w:i w:val="0"/>
          <w:sz w:val="20"/>
        </w:rPr>
        <w:t>the executive's employment</w:t>
      </w:r>
      <w:r>
        <w:rPr>
          <w:rFonts w:ascii="Arial" w:eastAsia="Arial" w:hAnsi="Arial" w:cs="Arial"/>
          <w:b w:val="0"/>
          <w:i w:val="0"/>
          <w:sz w:val="20"/>
        </w:rPr>
        <w:t xml:space="preserve"> agreement). If </w:t>
      </w:r>
      <w:r>
        <w:rPr>
          <w:rFonts w:ascii="Arial" w:eastAsia="Arial" w:hAnsi="Arial" w:cs="Arial"/>
          <w:b w:val="0"/>
          <w:i w:val="0"/>
          <w:sz w:val="20"/>
        </w:rPr>
        <w:t>the</w:t>
      </w:r>
      <w:r>
        <w:rPr>
          <w:rFonts w:ascii="Arial" w:eastAsia="Arial" w:hAnsi="Arial" w:cs="Arial"/>
          <w:b w:val="0"/>
          <w:i w:val="0"/>
          <w:sz w:val="20"/>
        </w:rPr>
        <w:t xml:space="preserve"> executive's</w:t>
      </w:r>
      <w:r>
        <w:rPr>
          <w:rFonts w:ascii="Arial" w:eastAsia="Arial" w:hAnsi="Arial" w:cs="Arial"/>
          <w:b w:val="0"/>
          <w:i w:val="0"/>
          <w:sz w:val="20"/>
        </w:rPr>
        <w:t xml:space="preserve"> employment ends because of disability, then </w:t>
      </w:r>
      <w:r>
        <w:rPr>
          <w:rFonts w:ascii="Arial" w:eastAsia="Arial" w:hAnsi="Arial" w:cs="Arial"/>
          <w:b w:val="0"/>
          <w:i w:val="0"/>
          <w:sz w:val="20"/>
        </w:rPr>
        <w:t>he</w:t>
      </w:r>
      <w:r>
        <w:rPr>
          <w:rFonts w:ascii="Arial" w:eastAsia="Arial" w:hAnsi="Arial" w:cs="Arial"/>
          <w:b w:val="0"/>
          <w:i w:val="0"/>
          <w:sz w:val="20"/>
        </w:rPr>
        <w:t xml:space="preserve"> is entitled to: (A) all compensation to which he is entitled up through his termination date</w:t>
      </w:r>
      <w:r>
        <w:rPr>
          <w:rFonts w:ascii="Arial" w:eastAsia="Arial" w:hAnsi="Arial" w:cs="Arial"/>
          <w:b w:val="0"/>
          <w:i w:val="0"/>
          <w:sz w:val="20"/>
        </w:rPr>
        <w:t>; (B) base salary for a period of six months, with base salary payments being offset by any payments to him under the Company's disability insurance policies</w:t>
      </w:r>
      <w:r>
        <w:rPr>
          <w:rFonts w:ascii="Arial" w:eastAsia="Arial" w:hAnsi="Arial" w:cs="Arial"/>
          <w:b w:val="0"/>
          <w:i w:val="0"/>
          <w:sz w:val="20"/>
        </w:rPr>
        <w:t xml:space="preserve"> (</w:t>
      </w:r>
      <w:r>
        <w:rPr>
          <w:rFonts w:ascii="Arial" w:eastAsia="Arial" w:hAnsi="Arial" w:cs="Arial"/>
          <w:b w:val="0"/>
          <w:i w:val="0"/>
          <w:sz w:val="20"/>
        </w:rPr>
        <w:t>for M</w:t>
      </w:r>
      <w:r>
        <w:rPr>
          <w:rFonts w:ascii="Arial" w:eastAsia="Arial" w:hAnsi="Arial" w:cs="Arial"/>
          <w:b w:val="0"/>
          <w:i w:val="0"/>
          <w:sz w:val="20"/>
        </w:rPr>
        <w:t>essrs. Kirk</w:t>
      </w:r>
      <w:r>
        <w:rPr>
          <w:rFonts w:ascii="Arial" w:eastAsia="Arial" w:hAnsi="Arial" w:cs="Arial"/>
          <w:b w:val="0"/>
          <w:i w:val="0"/>
          <w:sz w:val="20"/>
        </w:rPr>
        <w:t xml:space="preserve">, </w:t>
      </w:r>
      <w:r>
        <w:rPr>
          <w:rFonts w:ascii="Arial" w:eastAsia="Arial" w:hAnsi="Arial" w:cs="Arial"/>
          <w:b w:val="0"/>
          <w:i w:val="0"/>
          <w:sz w:val="20"/>
        </w:rPr>
        <w:t>Brockman</w:t>
      </w:r>
      <w:r>
        <w:rPr>
          <w:rFonts w:ascii="Arial" w:eastAsia="Arial" w:hAnsi="Arial" w:cs="Arial"/>
          <w:b w:val="0"/>
          <w:i w:val="0"/>
          <w:sz w:val="20"/>
        </w:rPr>
        <w:t xml:space="preserve"> and Alobaidat</w:t>
      </w:r>
      <w:r>
        <w:rPr>
          <w:rFonts w:ascii="Arial" w:eastAsia="Arial" w:hAnsi="Arial" w:cs="Arial"/>
          <w:b w:val="0"/>
          <w:i w:val="0"/>
          <w:sz w:val="20"/>
        </w:rPr>
        <w:t>)</w:t>
      </w:r>
      <w:r>
        <w:rPr>
          <w:rFonts w:ascii="Arial" w:eastAsia="Arial" w:hAnsi="Arial" w:cs="Arial"/>
          <w:b w:val="0"/>
          <w:i w:val="0"/>
          <w:sz w:val="20"/>
        </w:rPr>
        <w:t xml:space="preserve">; and (C) a </w:t>
      </w:r>
      <w:r>
        <w:rPr>
          <w:rFonts w:ascii="Arial" w:eastAsia="Arial" w:hAnsi="Arial" w:cs="Arial"/>
          <w:b w:val="0"/>
          <w:i w:val="0"/>
          <w:sz w:val="20"/>
        </w:rPr>
        <w:t xml:space="preserve">Target </w:t>
      </w:r>
      <w:r>
        <w:rPr>
          <w:rFonts w:ascii="Arial" w:eastAsia="Arial" w:hAnsi="Arial" w:cs="Arial"/>
          <w:b w:val="0"/>
          <w:i w:val="0"/>
          <w:sz w:val="20"/>
        </w:rPr>
        <w:t>P</w:t>
      </w:r>
      <w:r>
        <w:rPr>
          <w:rFonts w:ascii="Arial" w:eastAsia="Arial" w:hAnsi="Arial" w:cs="Arial"/>
          <w:b w:val="0"/>
          <w:i w:val="0"/>
          <w:sz w:val="20"/>
        </w:rPr>
        <w:t xml:space="preserve">ro </w:t>
      </w:r>
      <w:r>
        <w:rPr>
          <w:rFonts w:ascii="Arial" w:eastAsia="Arial" w:hAnsi="Arial" w:cs="Arial"/>
          <w:b w:val="0"/>
          <w:i w:val="0"/>
          <w:sz w:val="20"/>
        </w:rPr>
        <w:t>R</w:t>
      </w:r>
      <w:r>
        <w:rPr>
          <w:rFonts w:ascii="Arial" w:eastAsia="Arial" w:hAnsi="Arial" w:cs="Arial"/>
          <w:b w:val="0"/>
          <w:i w:val="0"/>
          <w:sz w:val="20"/>
        </w:rPr>
        <w:t xml:space="preserve">ata </w:t>
      </w:r>
      <w:r>
        <w:rPr>
          <w:rFonts w:ascii="Arial" w:eastAsia="Arial" w:hAnsi="Arial" w:cs="Arial"/>
          <w:b w:val="0"/>
          <w:i w:val="0"/>
          <w:sz w:val="20"/>
        </w:rPr>
        <w:t>I</w:t>
      </w:r>
      <w:r>
        <w:rPr>
          <w:rFonts w:ascii="Arial" w:eastAsia="Arial" w:hAnsi="Arial" w:cs="Arial"/>
          <w:b w:val="0"/>
          <w:i w:val="0"/>
          <w:sz w:val="20"/>
        </w:rPr>
        <w:t xml:space="preserve">ncentive </w:t>
      </w:r>
      <w:r>
        <w:rPr>
          <w:rFonts w:ascii="Arial" w:eastAsia="Arial" w:hAnsi="Arial" w:cs="Arial"/>
          <w:b w:val="0"/>
          <w:i w:val="0"/>
          <w:sz w:val="20"/>
        </w:rPr>
        <w:t>P</w:t>
      </w:r>
      <w:r>
        <w:rPr>
          <w:rFonts w:ascii="Arial" w:eastAsia="Arial" w:hAnsi="Arial" w:cs="Arial"/>
          <w:b w:val="0"/>
          <w:i w:val="0"/>
          <w:sz w:val="20"/>
        </w:rPr>
        <w:t xml:space="preserve">lan </w:t>
      </w:r>
      <w:r>
        <w:rPr>
          <w:rFonts w:ascii="Arial" w:eastAsia="Arial" w:hAnsi="Arial" w:cs="Arial"/>
          <w:b w:val="0"/>
          <w:i w:val="0"/>
          <w:sz w:val="20"/>
        </w:rPr>
        <w:t>P</w:t>
      </w:r>
      <w:r>
        <w:rPr>
          <w:rFonts w:ascii="Arial" w:eastAsia="Arial" w:hAnsi="Arial" w:cs="Arial"/>
          <w:b w:val="0"/>
          <w:i w:val="0"/>
          <w:sz w:val="20"/>
        </w:rPr>
        <w:t>ayment</w:t>
      </w:r>
      <w:r>
        <w:rPr>
          <w:rFonts w:ascii="Arial" w:eastAsia="Arial" w:hAnsi="Arial" w:cs="Arial"/>
          <w:b w:val="0"/>
          <w:i w:val="0"/>
          <w:sz w:val="20"/>
        </w:rPr>
        <w:t xml:space="preserve"> (f</w:t>
      </w:r>
      <w:r>
        <w:rPr>
          <w:rFonts w:ascii="Arial" w:eastAsia="Arial" w:hAnsi="Arial" w:cs="Arial"/>
          <w:b w:val="0"/>
          <w:i w:val="0"/>
          <w:sz w:val="20"/>
        </w:rPr>
        <w:t>or Messr</w:t>
      </w:r>
      <w:r>
        <w:rPr>
          <w:rFonts w:ascii="Arial" w:eastAsia="Arial" w:hAnsi="Arial" w:cs="Arial"/>
          <w:b w:val="0"/>
          <w:i w:val="0"/>
          <w:sz w:val="20"/>
        </w:rPr>
        <w:t>s. Kirk</w:t>
      </w:r>
      <w:r>
        <w:rPr>
          <w:rFonts w:ascii="Arial" w:eastAsia="Arial" w:hAnsi="Arial" w:cs="Arial"/>
          <w:b w:val="0"/>
          <w:i w:val="0"/>
          <w:sz w:val="20"/>
        </w:rPr>
        <w:t xml:space="preserve"> and Alobaidat</w:t>
      </w:r>
      <w:r>
        <w:rPr>
          <w:rFonts w:ascii="Arial" w:eastAsia="Arial" w:hAnsi="Arial" w:cs="Arial"/>
          <w:b w:val="0"/>
          <w:i w:val="0"/>
          <w:sz w:val="20"/>
        </w:rPr>
        <w:t>)</w:t>
      </w:r>
      <w:r>
        <w:rPr>
          <w:rFonts w:ascii="Arial" w:eastAsia="Arial" w:hAnsi="Arial" w:cs="Arial"/>
          <w:b w:val="0"/>
          <w:i w:val="0"/>
          <w:sz w:val="20"/>
        </w:rPr>
        <w:t xml:space="preserve"> </w:t>
      </w:r>
      <w:r>
        <w:rPr>
          <w:rFonts w:ascii="Arial" w:eastAsia="Arial" w:hAnsi="Arial" w:cs="Arial"/>
          <w:b w:val="0"/>
          <w:i w:val="0"/>
          <w:sz w:val="20"/>
        </w:rPr>
        <w:t>or</w:t>
      </w:r>
      <w:r>
        <w:rPr>
          <w:rFonts w:ascii="Arial" w:eastAsia="Arial" w:hAnsi="Arial" w:cs="Arial"/>
          <w:b w:val="0"/>
          <w:i w:val="0"/>
          <w:sz w:val="20"/>
        </w:rPr>
        <w:t xml:space="preserve"> a Pro Rata Incentive P</w:t>
      </w:r>
      <w:r>
        <w:rPr>
          <w:rFonts w:ascii="Arial" w:eastAsia="Arial" w:hAnsi="Arial" w:cs="Arial"/>
          <w:b w:val="0"/>
          <w:i w:val="0"/>
          <w:sz w:val="20"/>
        </w:rPr>
        <w:t xml:space="preserve">lan Payment </w:t>
      </w:r>
      <w:r>
        <w:rPr>
          <w:rFonts w:ascii="Arial" w:eastAsia="Arial" w:hAnsi="Arial" w:cs="Arial"/>
          <w:b w:val="0"/>
          <w:i w:val="0"/>
          <w:sz w:val="20"/>
        </w:rPr>
        <w:t>(</w:t>
      </w:r>
      <w:r>
        <w:rPr>
          <w:rFonts w:ascii="Arial" w:eastAsia="Arial" w:hAnsi="Arial" w:cs="Arial"/>
          <w:b w:val="0"/>
          <w:i w:val="0"/>
          <w:sz w:val="20"/>
        </w:rPr>
        <w:t xml:space="preserve">for </w:t>
      </w:r>
      <w:r>
        <w:rPr>
          <w:rFonts w:ascii="Arial" w:eastAsia="Arial" w:hAnsi="Arial" w:cs="Arial"/>
          <w:b w:val="0"/>
          <w:i w:val="0"/>
          <w:sz w:val="20"/>
        </w:rPr>
        <w:t>Mr. Brockman)</w:t>
      </w:r>
      <w:r>
        <w:rPr>
          <w:rFonts w:ascii="Arial" w:eastAsia="Arial" w:hAnsi="Arial" w:cs="Arial"/>
          <w:b w:val="0"/>
          <w:i w:val="0"/>
          <w:sz w:val="20"/>
        </w:rPr>
        <w:t xml:space="preserve">.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color w:val="1D64A3"/>
          <w:sz w:val="18"/>
          <w:u w:val="none"/>
        </w:rPr>
      </w:pPr>
      <w:r>
        <w:rPr>
          <w:rFonts w:ascii="Arial" w:eastAsia="Arial" w:hAnsi="Arial" w:cs="Arial"/>
          <w:b w:val="0"/>
          <w:i/>
          <w:color w:val="1D64A3"/>
          <w:sz w:val="20"/>
          <w:u w:val="none"/>
        </w:rPr>
        <w:t>Restrictive Covenants.</w:t>
      </w:r>
      <w:r>
        <w:rPr>
          <w:rFonts w:ascii="Arial" w:eastAsia="Arial" w:hAnsi="Arial" w:cs="Arial"/>
          <w:b w:val="0"/>
          <w:i w:val="0"/>
          <w:sz w:val="20"/>
        </w:rPr>
        <w:t xml:space="preserve"> In addition, the employment agreements of M</w:t>
      </w:r>
      <w:r>
        <w:rPr>
          <w:rFonts w:ascii="Arial" w:eastAsia="Arial" w:hAnsi="Arial" w:cs="Arial"/>
          <w:b w:val="0"/>
          <w:i w:val="0"/>
          <w:sz w:val="20"/>
        </w:rPr>
        <w:t>essrs. Ni</w:t>
      </w:r>
      <w:r>
        <w:rPr>
          <w:rFonts w:ascii="Arial" w:eastAsia="Arial" w:hAnsi="Arial" w:cs="Arial"/>
          <w:b w:val="0"/>
          <w:i w:val="0"/>
          <w:sz w:val="20"/>
        </w:rPr>
        <w:t xml:space="preserve"> and </w:t>
      </w:r>
      <w:r>
        <w:rPr>
          <w:rFonts w:ascii="Arial" w:eastAsia="Arial" w:hAnsi="Arial" w:cs="Arial"/>
          <w:b w:val="0"/>
          <w:i w:val="0"/>
          <w:sz w:val="20"/>
        </w:rPr>
        <w:t>Alobaidat and</w:t>
      </w:r>
      <w:r>
        <w:rPr>
          <w:rFonts w:ascii="Arial" w:eastAsia="Arial" w:hAnsi="Arial" w:cs="Arial"/>
          <w:b w:val="0"/>
          <w:i w:val="0"/>
          <w:sz w:val="20"/>
        </w:rPr>
        <w:t xml:space="preserve"> Ms. Gregory provide the Company with certain protections in the form of restrictive covenants regarding non-competition as follows: during the term of their employment agreement and for a period of </w:t>
      </w:r>
      <w:r>
        <w:rPr>
          <w:rFonts w:ascii="Arial" w:eastAsia="Arial" w:hAnsi="Arial" w:cs="Arial"/>
          <w:b w:val="0"/>
          <w:i w:val="0"/>
          <w:sz w:val="20"/>
        </w:rPr>
        <w:t xml:space="preserve">(A) </w:t>
      </w:r>
      <w:r>
        <w:rPr>
          <w:rFonts w:ascii="Arial" w:eastAsia="Arial" w:hAnsi="Arial" w:cs="Arial"/>
          <w:b w:val="0"/>
          <w:i w:val="0"/>
          <w:sz w:val="20"/>
        </w:rPr>
        <w:t>12 months</w:t>
      </w:r>
      <w:r>
        <w:rPr>
          <w:rFonts w:ascii="Arial" w:eastAsia="Arial" w:hAnsi="Arial" w:cs="Arial"/>
          <w:b w:val="0"/>
          <w:i w:val="0"/>
          <w:sz w:val="20"/>
        </w:rPr>
        <w:t xml:space="preserve"> (</w:t>
      </w:r>
      <w:r>
        <w:rPr>
          <w:rFonts w:ascii="Arial" w:eastAsia="Arial" w:hAnsi="Arial" w:cs="Arial"/>
          <w:b w:val="0"/>
          <w:i w:val="0"/>
          <w:sz w:val="20"/>
        </w:rPr>
        <w:t>f</w:t>
      </w:r>
      <w:r>
        <w:rPr>
          <w:rFonts w:ascii="Arial" w:eastAsia="Arial" w:hAnsi="Arial" w:cs="Arial"/>
          <w:b w:val="0"/>
          <w:i w:val="0"/>
          <w:sz w:val="20"/>
        </w:rPr>
        <w:t>or M</w:t>
      </w:r>
      <w:r>
        <w:rPr>
          <w:rFonts w:ascii="Arial" w:eastAsia="Arial" w:hAnsi="Arial" w:cs="Arial"/>
          <w:b w:val="0"/>
          <w:i w:val="0"/>
          <w:sz w:val="20"/>
        </w:rPr>
        <w:t>s</w:t>
      </w:r>
      <w:r>
        <w:rPr>
          <w:rFonts w:ascii="Arial" w:eastAsia="Arial" w:hAnsi="Arial" w:cs="Arial"/>
          <w:b w:val="0"/>
          <w:i w:val="0"/>
          <w:sz w:val="20"/>
        </w:rPr>
        <w:t>. Gregory</w:t>
      </w:r>
      <w:r>
        <w:rPr>
          <w:rFonts w:ascii="Arial" w:eastAsia="Arial" w:hAnsi="Arial" w:cs="Arial"/>
          <w:b w:val="0"/>
          <w:i w:val="0"/>
          <w:sz w:val="20"/>
        </w:rPr>
        <w:t xml:space="preserve">, </w:t>
      </w:r>
      <w:r>
        <w:rPr>
          <w:rFonts w:ascii="Arial" w:eastAsia="Arial" w:hAnsi="Arial" w:cs="Arial"/>
          <w:b w:val="0"/>
          <w:i w:val="0"/>
          <w:sz w:val="20"/>
        </w:rPr>
        <w:t>Mr. Ni</w:t>
      </w:r>
      <w:r>
        <w:rPr>
          <w:rFonts w:ascii="Arial" w:eastAsia="Arial" w:hAnsi="Arial" w:cs="Arial"/>
          <w:b w:val="0"/>
          <w:i w:val="0"/>
          <w:sz w:val="20"/>
        </w:rPr>
        <w:t xml:space="preserve"> a</w:t>
      </w:r>
      <w:r>
        <w:rPr>
          <w:rFonts w:ascii="Arial" w:eastAsia="Arial" w:hAnsi="Arial" w:cs="Arial"/>
          <w:b w:val="0"/>
          <w:i w:val="0"/>
          <w:sz w:val="20"/>
        </w:rPr>
        <w:t>nd Mr. Alobaidat</w:t>
      </w:r>
      <w:r>
        <w:rPr>
          <w:rFonts w:ascii="Arial" w:eastAsia="Arial" w:hAnsi="Arial" w:cs="Arial"/>
          <w:b w:val="0"/>
          <w:i w:val="0"/>
          <w:sz w:val="20"/>
        </w:rPr>
        <w:t xml:space="preserve">) </w:t>
      </w:r>
      <w:r>
        <w:rPr>
          <w:rFonts w:ascii="Arial" w:eastAsia="Arial" w:hAnsi="Arial" w:cs="Arial"/>
          <w:b w:val="0"/>
          <w:i w:val="0"/>
          <w:sz w:val="20"/>
        </w:rPr>
        <w:t>following (x) the date of termination of employment (other than in the event of termination by the Company “without cause” or, in the case of Ms. Gregory</w:t>
      </w:r>
      <w:r>
        <w:rPr>
          <w:rFonts w:ascii="Arial" w:eastAsia="Arial" w:hAnsi="Arial" w:cs="Arial"/>
          <w:b w:val="0"/>
          <w:i w:val="0"/>
          <w:sz w:val="20"/>
        </w:rPr>
        <w:t xml:space="preserve"> </w:t>
      </w:r>
      <w:r>
        <w:rPr>
          <w:rFonts w:ascii="Arial" w:eastAsia="Arial" w:hAnsi="Arial" w:cs="Arial"/>
          <w:b w:val="0"/>
          <w:i w:val="0"/>
          <w:sz w:val="20"/>
        </w:rPr>
        <w:t>and</w:t>
      </w:r>
      <w:r>
        <w:rPr>
          <w:rFonts w:ascii="Arial" w:eastAsia="Arial" w:hAnsi="Arial" w:cs="Arial"/>
          <w:b w:val="0"/>
          <w:i w:val="0"/>
          <w:sz w:val="20"/>
        </w:rPr>
        <w:t xml:space="preserve"> Mr. Alobaidat</w:t>
      </w:r>
      <w:r>
        <w:rPr>
          <w:rFonts w:ascii="Arial" w:eastAsia="Arial" w:hAnsi="Arial" w:cs="Arial"/>
          <w:b w:val="0"/>
          <w:i w:val="0"/>
          <w:sz w:val="20"/>
        </w:rPr>
        <w:t>, by the executive with “good reason”), or (y) alternatively, in the case of Mr. Ni, the date he provides notice to the Company pursuant to his employment agreement of his voluntary termination for any reason</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t</w:t>
      </w:r>
      <w:r>
        <w:rPr>
          <w:rFonts w:ascii="Arial" w:eastAsia="Arial" w:hAnsi="Arial" w:cs="Arial"/>
          <w:b w:val="0"/>
          <w:i w:val="0"/>
          <w:color w:val="000000"/>
          <w:sz w:val="20"/>
          <w:u w:val="none"/>
        </w:rPr>
        <w:t xml:space="preserve">he </w:t>
      </w:r>
      <w:r>
        <w:rPr>
          <w:rFonts w:ascii="Arial" w:eastAsia="Arial" w:hAnsi="Arial" w:cs="Arial"/>
          <w:b w:val="0"/>
          <w:i w:val="0"/>
          <w:color w:val="000000"/>
          <w:sz w:val="20"/>
          <w:u w:val="none"/>
        </w:rPr>
        <w:t>executive</w:t>
      </w:r>
      <w:r>
        <w:rPr>
          <w:rFonts w:ascii="Arial" w:eastAsia="Arial" w:hAnsi="Arial" w:cs="Arial"/>
          <w:b w:val="0"/>
          <w:i w:val="0"/>
          <w:color w:val="000000"/>
          <w:sz w:val="20"/>
          <w:u w:val="none"/>
        </w:rPr>
        <w:t xml:space="preserve"> may not compete with us</w:t>
      </w:r>
      <w:r>
        <w:rPr>
          <w:rFonts w:ascii="Arial" w:eastAsia="Arial" w:hAnsi="Arial" w:cs="Arial"/>
          <w:b w:val="0"/>
          <w:i w:val="0"/>
          <w:sz w:val="20"/>
        </w:rPr>
        <w:t>. These agreements, and the agreement</w:t>
      </w:r>
      <w:r>
        <w:rPr>
          <w:rFonts w:ascii="Arial" w:eastAsia="Arial" w:hAnsi="Arial" w:cs="Arial"/>
          <w:b w:val="0"/>
          <w:i w:val="0"/>
          <w:sz w:val="20"/>
        </w:rPr>
        <w:t>s</w:t>
      </w:r>
      <w:r>
        <w:rPr>
          <w:rFonts w:ascii="Arial" w:eastAsia="Arial" w:hAnsi="Arial" w:cs="Arial"/>
          <w:b w:val="0"/>
          <w:i w:val="0"/>
          <w:sz w:val="20"/>
        </w:rPr>
        <w:t xml:space="preserve"> for M</w:t>
      </w:r>
      <w:r>
        <w:rPr>
          <w:rFonts w:ascii="Arial" w:eastAsia="Arial" w:hAnsi="Arial" w:cs="Arial"/>
          <w:b w:val="0"/>
          <w:i w:val="0"/>
          <w:sz w:val="20"/>
        </w:rPr>
        <w:t>ess</w:t>
      </w:r>
      <w:r>
        <w:rPr>
          <w:rFonts w:ascii="Arial" w:eastAsia="Arial" w:hAnsi="Arial" w:cs="Arial"/>
          <w:b w:val="0"/>
          <w:i w:val="0"/>
          <w:sz w:val="20"/>
        </w:rPr>
        <w:t>r</w:t>
      </w:r>
      <w:r>
        <w:rPr>
          <w:rFonts w:ascii="Arial" w:eastAsia="Arial" w:hAnsi="Arial" w:cs="Arial"/>
          <w:b w:val="0"/>
          <w:i w:val="0"/>
          <w:sz w:val="20"/>
        </w:rPr>
        <w:t>s</w:t>
      </w:r>
      <w:r>
        <w:rPr>
          <w:rFonts w:ascii="Arial" w:eastAsia="Arial" w:hAnsi="Arial" w:cs="Arial"/>
          <w:b w:val="0"/>
          <w:i w:val="0"/>
          <w:sz w:val="20"/>
        </w:rPr>
        <w:t xml:space="preserve">. </w:t>
      </w:r>
      <w:r>
        <w:rPr>
          <w:rFonts w:ascii="Arial" w:eastAsia="Arial" w:hAnsi="Arial" w:cs="Arial"/>
          <w:b w:val="0"/>
          <w:i w:val="0"/>
          <w:sz w:val="20"/>
        </w:rPr>
        <w:t xml:space="preserve">Kirk and </w:t>
      </w:r>
      <w:r>
        <w:rPr>
          <w:rFonts w:ascii="Arial" w:eastAsia="Arial" w:hAnsi="Arial" w:cs="Arial"/>
          <w:b w:val="0"/>
          <w:i w:val="0"/>
          <w:sz w:val="20"/>
        </w:rPr>
        <w:t xml:space="preserve">Brockman, also include restrictive covenants regarding non-solicitation, confidentiality, and non-disparagement. </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297"/>
          <w:footerReference w:type="default" r:id="rId298"/>
          <w:type w:val="continuous"/>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0"/>
          <w:u w:val="none"/>
        </w:rPr>
      </w:pPr>
      <w:bookmarkStart w:id="110" w:name="Section113"/>
      <w:bookmarkEnd w:id="110"/>
    </w:p>
    <w:p>
      <w:pPr>
        <w:keepNext/>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Annual Incentive Compensation Program</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Under the Annual Incentive Compensation Program, a change in control would change the measurement period used to determine bonuses from the calendar year to a period that begins on the first day of the calendar year and ends on the date of the change in control.</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299"/>
          <w:footerReference w:type="default" r:id="rId300"/>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color w:val="4495D1"/>
          <w:sz w:val="20"/>
          <w:u w:val="none"/>
        </w:rPr>
      </w:pPr>
      <w:bookmarkStart w:id="111" w:name="Section114"/>
      <w:bookmarkEnd w:id="111"/>
    </w:p>
    <w:p>
      <w:pPr>
        <w:keepNext w:val="0"/>
        <w:keepLines w:val="0"/>
        <w:pageBreakBefore w:val="0"/>
        <w:widowControl/>
        <w:numPr>
          <w:ilvl w:val="0"/>
          <w:numId w:val="0"/>
        </w:numPr>
        <w:spacing w:before="0" w:after="60" w:line="288" w:lineRule="auto"/>
        <w:ind w:left="0" w:right="0" w:firstLine="0"/>
        <w:jc w:val="both"/>
        <w:outlineLvl w:val="3"/>
        <w:rPr>
          <w:rFonts w:ascii="Arial" w:eastAsia="Arial" w:hAnsi="Arial" w:cs="Arial"/>
          <w:b/>
          <w:i w:val="0"/>
          <w:color w:val="4495D1"/>
          <w:sz w:val="20"/>
          <w:u w:val="none"/>
        </w:rPr>
      </w:pPr>
      <w:r>
        <w:rPr>
          <w:rFonts w:ascii="Arial" w:eastAsia="Arial" w:hAnsi="Arial" w:cs="Arial"/>
          <w:b/>
          <w:i w:val="0"/>
          <w:color w:val="4495D1"/>
          <w:sz w:val="20"/>
          <w:u w:val="none"/>
        </w:rPr>
        <w:t>Equity Incentive Plan</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color w:val="1D64A3"/>
          <w:sz w:val="18"/>
          <w:u w:val="none"/>
        </w:rPr>
      </w:pPr>
      <w:r>
        <w:rPr>
          <w:rFonts w:ascii="Arial" w:eastAsia="Arial" w:hAnsi="Arial" w:cs="Arial"/>
          <w:b w:val="0"/>
          <w:i/>
          <w:color w:val="1D64A3"/>
          <w:sz w:val="20"/>
          <w:u w:val="none"/>
        </w:rPr>
        <w:t>JSOP Award.</w:t>
      </w:r>
      <w:r>
        <w:rPr>
          <w:rFonts w:ascii="Arial" w:eastAsia="Arial" w:hAnsi="Arial" w:cs="Arial"/>
          <w:b w:val="0"/>
          <w:i w:val="0"/>
          <w:sz w:val="20"/>
        </w:rPr>
        <w:t xml:space="preserve"> In the event of a change in control of the Company, the JSOP Agreement provides that Mr. Silvester's Executive Interest in the JSOP Award would vest in full on the date of such change in control unless the parties agree to roll-over the Executive Interest into shares in the acquiring company, in which case the Executive Interest would not vest and would remain outstanding, subject to the terms of the JSOP Agreement. Upon vesting in connection with a change in control, provided that the Hurdle is met, the value of the Executive Interest would be determined by reference to the applicable price per ordinary share of the Company (or equivalent value where the consideration is not in cash) agreed in the change in control transaction. Upon a change in control, the Hurdle would be the price per share that represents a compound annual growth rate of 8.9136% above an initial share price of $205.89 for the period from and including January 21, 2020 to the date </w:t>
      </w:r>
      <w:r>
        <w:rPr>
          <w:rFonts w:ascii="Arial" w:eastAsia="Arial" w:hAnsi="Arial" w:cs="Arial"/>
          <w:b w:val="0"/>
          <w:i w:val="0"/>
          <w:sz w:val="20"/>
        </w:rPr>
        <w:t xml:space="preserve">a final offer is made that subsequently results in a </w:t>
      </w:r>
      <w:r>
        <w:rPr>
          <w:rFonts w:ascii="Arial" w:eastAsia="Arial" w:hAnsi="Arial" w:cs="Arial"/>
          <w:b w:val="0"/>
          <w:i w:val="0"/>
          <w:sz w:val="20"/>
        </w:rPr>
        <w:t xml:space="preserve">change in control. If the Hurdle is not met as of the date of a change in control, the Executive Interest would have no value.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color w:val="1D64A3"/>
          <w:sz w:val="18"/>
          <w:u w:val="none"/>
        </w:rPr>
      </w:pPr>
      <w:r>
        <w:rPr>
          <w:rFonts w:ascii="Arial" w:eastAsia="Arial" w:hAnsi="Arial" w:cs="Arial"/>
          <w:b w:val="0"/>
          <w:i/>
          <w:color w:val="1D64A3"/>
          <w:sz w:val="20"/>
          <w:u w:val="none"/>
        </w:rPr>
        <w:t xml:space="preserve">PSUs and RSUs. </w:t>
      </w:r>
      <w:r>
        <w:rPr>
          <w:rFonts w:ascii="Arial" w:eastAsia="Arial" w:hAnsi="Arial" w:cs="Arial"/>
          <w:b w:val="0"/>
          <w:i w:val="0"/>
          <w:sz w:val="20"/>
        </w:rPr>
        <w:t>Our Equity Plan provides that PSU and RSU awards will not fully vest, nor will payments be made in respect of outstanding PSU and RSU awards, if the Human Resources and Compensation Committee determines, prior to a change in control, that the surviving or successor corporation will assume all such outstanding awards, or substitute a new award of the same type for each such outstanding award. If such assumption or substitution does not occur, the Human Resources and Compensation Committee may fully vest all such outstanding awards in the event of a change in control and may terminate such outstanding awards in exchange for a settlement payment based upon the price per share received in connection with the change in control. The Equity Plan further provides that, unless otherwise determined by the Human Resources and Compensation Committee, PSUs with respect to completed performance periods shall be paid if earned and with respect to in-progress performance periods, a pro-rata portion of the target award opportunity shall be paid based on the portion of the performance period that has been completed as of the date of the change in control.</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01"/>
          <w:footerReference w:type="default" r:id="rId302"/>
          <w:type w:val="continuous"/>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0"/>
          <w:u w:val="none"/>
        </w:rPr>
      </w:pPr>
      <w:bookmarkStart w:id="112" w:name="Section115"/>
      <w:bookmarkEnd w:id="112"/>
    </w:p>
    <w:p>
      <w:pPr>
        <w:keepNext/>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Hypothetical Payments and Benefits</w:t>
      </w:r>
    </w:p>
    <w:p>
      <w:pPr>
        <w:keepNext/>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following table sets forth the benefits payable to each executive officer assuming the occurrence of certain hypothetical events on </w:t>
      </w:r>
      <w:r>
        <w:rPr>
          <w:rFonts w:ascii="Arial" w:eastAsia="Arial" w:hAnsi="Arial" w:cs="Arial"/>
          <w:b w:val="0"/>
          <w:i w:val="0"/>
          <w:color w:val="000000"/>
          <w:sz w:val="20"/>
          <w:u w:val="none"/>
        </w:rPr>
        <w:t>December 31, 2023</w:t>
      </w:r>
      <w:r>
        <w:rPr>
          <w:rFonts w:ascii="Arial" w:eastAsia="Arial" w:hAnsi="Arial" w:cs="Arial"/>
          <w:b w:val="0"/>
          <w:i w:val="0"/>
          <w:sz w:val="20"/>
        </w:rPr>
        <w:t xml:space="preserve">. </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135"/>
        <w:gridCol w:w="1395"/>
        <w:gridCol w:w="1395"/>
        <w:gridCol w:w="1155"/>
        <w:gridCol w:w="1365"/>
        <w:gridCol w:w="1455"/>
      </w:tblGrid>
      <w:tr>
        <w:tblPrEx>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200"/>
          <w:jc w:val="center"/>
        </w:trPr>
        <w:tc>
          <w:tcPr>
            <w:tcW w:w="313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ind w:left="90"/>
              <w:jc w:val="left"/>
            </w:pPr>
            <w:r>
              <w:rPr>
                <w:rFonts w:ascii="Arial" w:eastAsia="Arial" w:hAnsi="Arial" w:cs="Arial"/>
                <w:b/>
                <w:i w:val="0"/>
                <w:color w:val="FFFFFF"/>
                <w:sz w:val="16"/>
                <w:u w:val="none"/>
              </w:rPr>
              <w:t>Name</w:t>
            </w:r>
          </w:p>
        </w:tc>
        <w:tc>
          <w:tcPr>
            <w:tcW w:w="139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Executive Voluntary</w:t>
            </w:r>
          </w:p>
          <w:p>
            <w:pPr>
              <w:pageBreakBefore w:val="0"/>
              <w:numPr>
                <w:ilvl w:val="0"/>
                <w:numId w:val="0"/>
              </w:numPr>
              <w:spacing w:before="0" w:after="3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Termination or Company Termination for Cause</w:t>
            </w:r>
            <w:r>
              <w:rPr>
                <w:rFonts w:ascii="Arial" w:eastAsia="Arial" w:hAnsi="Arial" w:cs="Arial"/>
                <w:b/>
                <w:i w:val="0"/>
                <w:color w:val="FFFFFF"/>
                <w:sz w:val="16"/>
                <w:u w:val="none"/>
                <w:vertAlign w:val="superscript"/>
              </w:rPr>
              <w:t>(1)</w:t>
            </w:r>
          </w:p>
        </w:tc>
        <w:tc>
          <w:tcPr>
            <w:tcW w:w="1395" w:type="dxa"/>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after="30" w:line="288" w:lineRule="auto"/>
              <w:jc w:val="right"/>
            </w:pPr>
            <w:r>
              <w:rPr>
                <w:rFonts w:ascii="Arial" w:eastAsia="Arial" w:hAnsi="Arial" w:cs="Arial"/>
                <w:b/>
                <w:i w:val="0"/>
                <w:color w:val="FFFFFF"/>
                <w:sz w:val="16"/>
                <w:u w:val="none"/>
              </w:rPr>
              <w:t>Executive Voluntary Termination for Good Reason, Company Termination Without Cause</w:t>
            </w:r>
          </w:p>
        </w:tc>
        <w:tc>
          <w:tcPr>
            <w:tcW w:w="1155" w:type="dxa"/>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line="288" w:lineRule="auto"/>
              <w:jc w:val="right"/>
            </w:pPr>
            <w:r>
              <w:rPr>
                <w:rFonts w:ascii="Arial" w:eastAsia="Arial" w:hAnsi="Arial" w:cs="Arial"/>
                <w:b/>
                <w:i w:val="0"/>
                <w:color w:val="FFFFFF"/>
                <w:sz w:val="16"/>
                <w:u w:val="none"/>
              </w:rPr>
              <w:t>Change in</w:t>
            </w:r>
          </w:p>
          <w:p>
            <w:pPr>
              <w:spacing w:after="30" w:line="288" w:lineRule="auto"/>
              <w:jc w:val="right"/>
            </w:pPr>
            <w:r>
              <w:rPr>
                <w:rFonts w:ascii="Arial" w:eastAsia="Arial" w:hAnsi="Arial" w:cs="Arial"/>
                <w:b/>
                <w:i w:val="0"/>
                <w:color w:val="FFFFFF"/>
                <w:sz w:val="16"/>
                <w:u w:val="none"/>
              </w:rPr>
              <w:t>Control</w:t>
            </w:r>
          </w:p>
        </w:tc>
        <w:tc>
          <w:tcPr>
            <w:tcW w:w="1365" w:type="dxa"/>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after="30" w:line="288" w:lineRule="auto"/>
              <w:jc w:val="right"/>
            </w:pPr>
            <w:r>
              <w:rPr>
                <w:rFonts w:ascii="Arial" w:eastAsia="Arial" w:hAnsi="Arial" w:cs="Arial"/>
                <w:b/>
                <w:i w:val="0"/>
                <w:color w:val="FFFFFF"/>
                <w:sz w:val="16"/>
                <w:u w:val="none"/>
              </w:rPr>
              <w:t>Death</w:t>
            </w:r>
          </w:p>
        </w:tc>
        <w:tc>
          <w:tcPr>
            <w:tcW w:w="1455" w:type="dxa"/>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after="30" w:line="288" w:lineRule="auto"/>
              <w:jc w:val="right"/>
            </w:pPr>
            <w:r>
              <w:rPr>
                <w:rFonts w:ascii="Arial" w:eastAsia="Arial" w:hAnsi="Arial" w:cs="Arial"/>
                <w:b/>
                <w:i w:val="0"/>
                <w:color w:val="FFFFFF"/>
                <w:sz w:val="16"/>
                <w:u w:val="none"/>
              </w:rPr>
              <w:t>Disability</w:t>
            </w:r>
          </w:p>
        </w:tc>
      </w:tr>
      <w:tr>
        <w:tblPrEx>
          <w:tblW w:w="9900" w:type="dxa"/>
          <w:jc w:val="center"/>
          <w:tblLayout w:type="fixed"/>
          <w:tblCellMar>
            <w:left w:w="108" w:type="dxa"/>
            <w:right w:w="108" w:type="dxa"/>
          </w:tblCellMar>
        </w:tblPrEx>
        <w:trPr>
          <w:cantSplit/>
          <w:trHeight w:hRule="exact" w:val="105"/>
          <w:jc w:val="center"/>
        </w:trPr>
        <w:tc>
          <w:tcPr>
            <w:tcW w:w="313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39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39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15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i w:val="0"/>
                <w:color w:val="000000"/>
                <w:sz w:val="20"/>
                <w:u w:val="none"/>
              </w:rPr>
              <w:t>Dominic Silvester</w:t>
            </w:r>
          </w:p>
        </w:tc>
        <w:tc>
          <w:tcPr>
            <w:tcW w:w="1395" w:type="dxa"/>
            <w:tcBorders>
              <w:top w:val="nil"/>
              <w:left w:val="nil"/>
              <w:bottom w:val="nil"/>
              <w:right w:val="nil"/>
            </w:tcBorders>
            <w:shd w:val="clear" w:color="auto" w:fill="DFDDDE"/>
            <w:tcMar>
              <w:top w:w="0" w:type="dxa"/>
              <w:left w:w="0" w:type="dxa"/>
              <w:bottom w:w="0" w:type="dxa"/>
              <w:right w:w="53" w:type="dxa"/>
            </w:tcMar>
            <w:vAlign w:val="center"/>
          </w:tcPr>
          <w:p>
            <w:pPr>
              <w:keepNext/>
              <w:pageBreakBefore w:val="0"/>
              <w:spacing w:before="0" w:after="0" w:line="288" w:lineRule="auto"/>
              <w:ind w:right="90"/>
              <w:jc w:val="right"/>
            </w:pPr>
          </w:p>
        </w:tc>
        <w:tc>
          <w:tcPr>
            <w:tcW w:w="1395" w:type="dxa"/>
            <w:tcBorders>
              <w:top w:val="nil"/>
              <w:left w:val="nil"/>
              <w:bottom w:val="nil"/>
              <w:right w:val="nil"/>
            </w:tcBorders>
            <w:shd w:val="clear" w:color="auto" w:fill="DFDDDE"/>
            <w:tcMar>
              <w:top w:w="0" w:type="dxa"/>
              <w:left w:w="0" w:type="dxa"/>
              <w:bottom w:w="0" w:type="dxa"/>
              <w:right w:w="53" w:type="dxa"/>
            </w:tcMar>
            <w:vAlign w:val="center"/>
          </w:tcPr>
          <w:p>
            <w:pPr>
              <w:keepNext/>
              <w:pageBreakBefore w:val="0"/>
              <w:spacing w:before="0" w:after="0" w:line="288" w:lineRule="auto"/>
              <w:ind w:right="90"/>
              <w:jc w:val="right"/>
            </w:pPr>
          </w:p>
        </w:tc>
        <w:tc>
          <w:tcPr>
            <w:tcW w:w="115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spacing w:before="0" w:after="0" w:line="288" w:lineRule="auto"/>
              <w:ind w:right="90"/>
              <w:jc w:val="right"/>
            </w:pPr>
          </w:p>
        </w:tc>
        <w:tc>
          <w:tcPr>
            <w:tcW w:w="136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spacing w:before="0" w:after="0" w:line="288" w:lineRule="auto"/>
              <w:ind w:right="90"/>
              <w:jc w:val="right"/>
            </w:pPr>
          </w:p>
        </w:tc>
        <w:tc>
          <w:tcPr>
            <w:tcW w:w="145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spacing w:before="0" w:after="0" w:line="288" w:lineRule="auto"/>
              <w:ind w:right="90"/>
              <w:jc w:val="right"/>
            </w:pPr>
          </w:p>
        </w:tc>
      </w:tr>
      <w:tr>
        <w:tblPrEx>
          <w:tblW w:w="9900" w:type="dxa"/>
          <w:jc w:val="center"/>
          <w:tblLayout w:type="fixed"/>
          <w:tblCellMar>
            <w:left w:w="108" w:type="dxa"/>
            <w:right w:w="108" w:type="dxa"/>
          </w:tblCellMar>
        </w:tblPrEx>
        <w:trPr>
          <w:cantSplit/>
          <w:trHeight w:hRule="exact" w:val="285"/>
          <w:jc w:val="center"/>
        </w:trPr>
        <w:tc>
          <w:tcPr>
            <w:tcW w:w="313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Base Salary</w:t>
            </w:r>
            <w:r>
              <w:rPr>
                <w:rFonts w:ascii="Arial" w:eastAsia="Arial" w:hAnsi="Arial" w:cs="Arial"/>
                <w:b w:val="0"/>
                <w:i w:val="0"/>
                <w:sz w:val="20"/>
                <w:vertAlign w:val="superscript"/>
              </w:rPr>
              <w:t>(2)</w:t>
            </w:r>
          </w:p>
        </w:tc>
        <w:tc>
          <w:tcPr>
            <w:tcW w:w="139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350"/>
              </w:tabs>
              <w:spacing w:before="0" w:after="0" w:line="288" w:lineRule="auto"/>
              <w:ind w:right="90"/>
              <w:jc w:val="right"/>
            </w:pPr>
            <w:r>
              <w:rPr>
                <w:rFonts w:ascii="Arial" w:eastAsia="Arial" w:hAnsi="Arial" w:cs="Arial"/>
                <w:b w:val="0"/>
                <w:i w:val="0"/>
                <w:color w:val="000000"/>
                <w:sz w:val="20"/>
                <w:u w:val="none"/>
              </w:rPr>
              <w:t>$</w:t>
              <w:tab/>
              <w:t>7,500,000</w:t>
            </w:r>
          </w:p>
        </w:tc>
        <w:tc>
          <w:tcPr>
            <w:tcW w:w="115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13"/>
              </w:tabs>
              <w:spacing w:before="0" w:after="0" w:line="288" w:lineRule="auto"/>
              <w:ind w:right="90"/>
              <w:jc w:val="right"/>
            </w:pPr>
            <w:r>
              <w:rPr>
                <w:rFonts w:ascii="Arial" w:eastAsia="Arial" w:hAnsi="Arial" w:cs="Arial"/>
                <w:b w:val="0"/>
                <w:i w:val="0"/>
                <w:color w:val="000000"/>
                <w:sz w:val="20"/>
                <w:u w:val="none"/>
              </w:rPr>
              <w:t>$</w:t>
              <w:tab/>
              <w:t>7,500,000</w:t>
            </w:r>
          </w:p>
        </w:tc>
        <w:tc>
          <w:tcPr>
            <w:tcW w:w="136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45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410"/>
              </w:tabs>
              <w:spacing w:before="0" w:after="0" w:line="288" w:lineRule="auto"/>
              <w:ind w:right="90"/>
              <w:jc w:val="right"/>
            </w:pPr>
            <w:r>
              <w:rPr>
                <w:rFonts w:ascii="Arial" w:eastAsia="Arial" w:hAnsi="Arial" w:cs="Arial"/>
                <w:b w:val="0"/>
                <w:i w:val="0"/>
                <w:color w:val="000000"/>
                <w:sz w:val="20"/>
                <w:u w:val="none"/>
              </w:rPr>
              <w:t>$</w:t>
              <w:tab/>
              <w:t>7,500,000</w:t>
            </w: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Bonus</w:t>
            </w:r>
            <w:r>
              <w:rPr>
                <w:rFonts w:ascii="Arial" w:eastAsia="Arial" w:hAnsi="Arial" w:cs="Arial"/>
                <w:b w:val="0"/>
                <w:i w:val="0"/>
                <w:sz w:val="20"/>
                <w:vertAlign w:val="superscript"/>
              </w:rPr>
              <w:t>(3)</w:t>
            </w:r>
          </w:p>
        </w:tc>
        <w:tc>
          <w:tcPr>
            <w:tcW w:w="139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350"/>
              </w:tabs>
              <w:spacing w:before="0" w:after="0" w:line="288" w:lineRule="auto"/>
              <w:ind w:right="90"/>
              <w:jc w:val="right"/>
            </w:pPr>
            <w:r>
              <w:rPr>
                <w:rFonts w:ascii="Arial" w:eastAsia="Arial" w:hAnsi="Arial" w:cs="Arial"/>
                <w:b w:val="0"/>
                <w:i w:val="0"/>
                <w:color w:val="000000"/>
                <w:sz w:val="20"/>
                <w:u w:val="none"/>
              </w:rPr>
              <w:t>$</w:t>
              <w:tab/>
              <w:t>3,821,959</w:t>
            </w:r>
          </w:p>
        </w:tc>
        <w:tc>
          <w:tcPr>
            <w:tcW w:w="115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13"/>
              </w:tabs>
              <w:spacing w:before="0" w:after="0" w:line="288" w:lineRule="auto"/>
              <w:ind w:right="90"/>
              <w:jc w:val="right"/>
            </w:pPr>
            <w:r>
              <w:rPr>
                <w:rFonts w:ascii="Arial" w:eastAsia="Arial" w:hAnsi="Arial" w:cs="Arial"/>
                <w:b w:val="0"/>
                <w:i w:val="0"/>
                <w:color w:val="000000"/>
                <w:sz w:val="20"/>
                <w:u w:val="none"/>
              </w:rPr>
              <w:t>$</w:t>
              <w:tab/>
              <w:t>3,821,959</w:t>
            </w:r>
          </w:p>
        </w:tc>
        <w:tc>
          <w:tcPr>
            <w:tcW w:w="136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320"/>
              </w:tabs>
              <w:spacing w:before="0" w:after="0" w:line="288" w:lineRule="auto"/>
              <w:ind w:right="90"/>
              <w:jc w:val="right"/>
            </w:pPr>
            <w:r>
              <w:rPr>
                <w:rFonts w:ascii="Arial" w:eastAsia="Arial" w:hAnsi="Arial" w:cs="Arial"/>
                <w:b w:val="0"/>
                <w:i w:val="0"/>
                <w:color w:val="000000"/>
                <w:sz w:val="20"/>
                <w:u w:val="none"/>
              </w:rPr>
              <w:t>$</w:t>
              <w:tab/>
              <w:t>3,821,959</w:t>
            </w:r>
          </w:p>
        </w:tc>
        <w:tc>
          <w:tcPr>
            <w:tcW w:w="145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410"/>
              </w:tabs>
              <w:spacing w:before="0" w:after="0" w:line="288" w:lineRule="auto"/>
              <w:ind w:right="90"/>
              <w:jc w:val="right"/>
            </w:pPr>
            <w:r>
              <w:rPr>
                <w:rFonts w:ascii="Arial" w:eastAsia="Arial" w:hAnsi="Arial" w:cs="Arial"/>
                <w:b w:val="0"/>
                <w:i w:val="0"/>
                <w:color w:val="000000"/>
                <w:sz w:val="20"/>
                <w:u w:val="none"/>
              </w:rPr>
              <w:t>$</w:t>
              <w:tab/>
              <w:t>3,821,959</w:t>
            </w: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Medical Benefits</w:t>
            </w:r>
            <w:r>
              <w:rPr>
                <w:rFonts w:ascii="Arial" w:eastAsia="Arial" w:hAnsi="Arial" w:cs="Arial"/>
                <w:b w:val="0"/>
                <w:i w:val="0"/>
                <w:sz w:val="20"/>
                <w:vertAlign w:val="superscript"/>
              </w:rPr>
              <w:t>(4)</w:t>
            </w:r>
          </w:p>
        </w:tc>
        <w:tc>
          <w:tcPr>
            <w:tcW w:w="139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516"/>
              </w:tabs>
              <w:spacing w:before="0" w:after="0" w:line="288" w:lineRule="auto"/>
              <w:ind w:right="90"/>
              <w:jc w:val="right"/>
            </w:pPr>
            <w:r>
              <w:rPr>
                <w:rFonts w:ascii="Arial" w:eastAsia="Arial" w:hAnsi="Arial" w:cs="Arial"/>
                <w:b w:val="0"/>
                <w:i w:val="0"/>
                <w:color w:val="000000"/>
                <w:sz w:val="20"/>
                <w:u w:val="none"/>
              </w:rPr>
              <w:t>$</w:t>
              <w:tab/>
              <w:t>121,876</w:t>
            </w:r>
          </w:p>
        </w:tc>
        <w:tc>
          <w:tcPr>
            <w:tcW w:w="115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799"/>
              </w:tabs>
              <w:spacing w:before="0" w:after="0" w:line="288" w:lineRule="auto"/>
              <w:ind w:right="90"/>
              <w:jc w:val="right"/>
            </w:pPr>
            <w:r>
              <w:rPr>
                <w:rFonts w:ascii="Arial" w:eastAsia="Arial" w:hAnsi="Arial" w:cs="Arial"/>
                <w:b w:val="0"/>
                <w:i w:val="0"/>
                <w:color w:val="000000"/>
                <w:sz w:val="20"/>
                <w:u w:val="none"/>
              </w:rPr>
              <w:t>$</w:t>
              <w:tab/>
              <w:t>—</w:t>
            </w:r>
          </w:p>
        </w:tc>
        <w:tc>
          <w:tcPr>
            <w:tcW w:w="136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486"/>
              </w:tabs>
              <w:spacing w:before="0" w:after="0" w:line="288" w:lineRule="auto"/>
              <w:ind w:right="90"/>
              <w:jc w:val="right"/>
            </w:pPr>
            <w:r>
              <w:rPr>
                <w:rFonts w:ascii="Arial" w:eastAsia="Arial" w:hAnsi="Arial" w:cs="Arial"/>
                <w:b w:val="0"/>
                <w:i w:val="0"/>
                <w:color w:val="000000"/>
                <w:sz w:val="20"/>
                <w:u w:val="none"/>
              </w:rPr>
              <w:t>$</w:t>
              <w:tab/>
              <w:t>121,876</w:t>
            </w:r>
          </w:p>
        </w:tc>
        <w:tc>
          <w:tcPr>
            <w:tcW w:w="145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576"/>
              </w:tabs>
              <w:spacing w:before="0" w:after="0" w:line="288" w:lineRule="auto"/>
              <w:ind w:right="90"/>
              <w:jc w:val="right"/>
            </w:pPr>
            <w:r>
              <w:rPr>
                <w:rFonts w:ascii="Arial" w:eastAsia="Arial" w:hAnsi="Arial" w:cs="Arial"/>
                <w:b w:val="0"/>
                <w:i w:val="0"/>
                <w:color w:val="000000"/>
                <w:sz w:val="20"/>
                <w:u w:val="none"/>
              </w:rPr>
              <w:t>$</w:t>
              <w:tab/>
              <w:t>121,876</w:t>
            </w: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Contractual Life Benefit</w:t>
            </w:r>
            <w:r>
              <w:rPr>
                <w:rFonts w:ascii="Arial" w:eastAsia="Arial" w:hAnsi="Arial" w:cs="Arial"/>
                <w:b w:val="0"/>
                <w:i w:val="0"/>
                <w:sz w:val="20"/>
                <w:vertAlign w:val="superscript"/>
              </w:rPr>
              <w:t>(5)</w:t>
            </w:r>
          </w:p>
        </w:tc>
        <w:tc>
          <w:tcPr>
            <w:tcW w:w="139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15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799"/>
              </w:tabs>
              <w:spacing w:before="0" w:after="0" w:line="288" w:lineRule="auto"/>
              <w:ind w:right="90"/>
              <w:jc w:val="right"/>
            </w:pPr>
            <w:r>
              <w:rPr>
                <w:rFonts w:ascii="Arial" w:eastAsia="Arial" w:hAnsi="Arial" w:cs="Arial"/>
                <w:b w:val="0"/>
                <w:i w:val="0"/>
                <w:color w:val="000000"/>
                <w:sz w:val="20"/>
                <w:u w:val="none"/>
              </w:rPr>
              <w:t>$</w:t>
              <w:tab/>
              <w:t>—</w:t>
            </w:r>
          </w:p>
        </w:tc>
        <w:tc>
          <w:tcPr>
            <w:tcW w:w="136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208"/>
              </w:tabs>
              <w:spacing w:before="0" w:after="0" w:line="288" w:lineRule="auto"/>
              <w:ind w:right="90"/>
              <w:jc w:val="right"/>
            </w:pPr>
            <w:r>
              <w:rPr>
                <w:rFonts w:ascii="Arial" w:eastAsia="Arial" w:hAnsi="Arial" w:cs="Arial"/>
                <w:b w:val="0"/>
                <w:i w:val="0"/>
                <w:color w:val="000000"/>
                <w:sz w:val="20"/>
                <w:u w:val="none"/>
              </w:rPr>
              <w:t>$</w:t>
              <w:tab/>
              <w:t>12,500,000</w:t>
            </w:r>
          </w:p>
        </w:tc>
        <w:tc>
          <w:tcPr>
            <w:tcW w:w="145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099"/>
              </w:tabs>
              <w:spacing w:before="0" w:after="0" w:line="288" w:lineRule="auto"/>
              <w:ind w:right="90"/>
              <w:jc w:val="right"/>
            </w:pPr>
            <w:r>
              <w:rPr>
                <w:rFonts w:ascii="Arial" w:eastAsia="Arial" w:hAnsi="Arial" w:cs="Arial"/>
                <w:b w:val="0"/>
                <w:i w:val="0"/>
                <w:color w:val="000000"/>
                <w:sz w:val="20"/>
                <w:u w:val="none"/>
              </w:rPr>
              <w:t>$</w:t>
              <w:tab/>
              <w:t>—</w:t>
            </w:r>
          </w:p>
        </w:tc>
      </w:tr>
      <w:tr>
        <w:tblPrEx>
          <w:tblW w:w="9900" w:type="dxa"/>
          <w:jc w:val="center"/>
          <w:tblLayout w:type="fixed"/>
          <w:tblCellMar>
            <w:left w:w="108" w:type="dxa"/>
            <w:right w:w="108" w:type="dxa"/>
          </w:tblCellMar>
        </w:tblPrEx>
        <w:trPr>
          <w:cantSplit/>
          <w:trHeight w:hRule="exact" w:val="525"/>
          <w:jc w:val="center"/>
        </w:trPr>
        <w:tc>
          <w:tcPr>
            <w:tcW w:w="313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JSOP Settlement</w:t>
            </w:r>
            <w:r>
              <w:rPr>
                <w:rFonts w:ascii="Arial" w:eastAsia="Arial" w:hAnsi="Arial" w:cs="Arial"/>
                <w:b w:val="0"/>
                <w:i w:val="0"/>
                <w:sz w:val="20"/>
              </w:rPr>
              <w:t xml:space="preserve"> and Contract Benefit</w:t>
            </w:r>
            <w:r>
              <w:rPr>
                <w:rFonts w:ascii="Arial" w:eastAsia="Arial" w:hAnsi="Arial" w:cs="Arial"/>
                <w:b w:val="0"/>
                <w:i w:val="0"/>
                <w:sz w:val="20"/>
                <w:vertAlign w:val="superscript"/>
              </w:rPr>
              <w:t>(6)</w:t>
            </w:r>
          </w:p>
        </w:tc>
        <w:tc>
          <w:tcPr>
            <w:tcW w:w="139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238"/>
              </w:tabs>
              <w:spacing w:before="0" w:after="0" w:line="288" w:lineRule="auto"/>
              <w:ind w:right="90"/>
              <w:jc w:val="right"/>
            </w:pPr>
            <w:r>
              <w:rPr>
                <w:rFonts w:ascii="Arial" w:eastAsia="Arial" w:hAnsi="Arial" w:cs="Arial"/>
                <w:b w:val="0"/>
                <w:i w:val="0"/>
                <w:color w:val="000000"/>
                <w:sz w:val="20"/>
                <w:u w:val="none"/>
              </w:rPr>
              <w:t>$</w:t>
              <w:tab/>
              <w:t>37,332,603</w:t>
            </w:r>
          </w:p>
        </w:tc>
        <w:tc>
          <w:tcPr>
            <w:tcW w:w="115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13"/>
              </w:tabs>
              <w:spacing w:before="0" w:after="0" w:line="288" w:lineRule="auto"/>
              <w:ind w:right="90"/>
              <w:jc w:val="right"/>
            </w:pPr>
            <w:r>
              <w:rPr>
                <w:rFonts w:ascii="Arial" w:eastAsia="Arial" w:hAnsi="Arial" w:cs="Arial"/>
                <w:b w:val="0"/>
                <w:i w:val="0"/>
                <w:color w:val="000000"/>
                <w:sz w:val="20"/>
                <w:u w:val="none"/>
              </w:rPr>
              <w:t>$</w:t>
              <w:tab/>
              <w:t>37,332,603</w:t>
            </w:r>
          </w:p>
        </w:tc>
        <w:tc>
          <w:tcPr>
            <w:tcW w:w="136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45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099"/>
              </w:tabs>
              <w:spacing w:before="0" w:after="0" w:line="288" w:lineRule="auto"/>
              <w:ind w:right="90"/>
              <w:jc w:val="right"/>
            </w:pPr>
            <w:r>
              <w:rPr>
                <w:rFonts w:ascii="Arial" w:eastAsia="Arial" w:hAnsi="Arial" w:cs="Arial"/>
                <w:b w:val="0"/>
                <w:i w:val="0"/>
                <w:color w:val="000000"/>
                <w:sz w:val="20"/>
                <w:u w:val="none"/>
              </w:rPr>
              <w:t>$</w:t>
              <w:tab/>
              <w:t>—</w:t>
            </w: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i w:val="0"/>
                <w:color w:val="000000"/>
                <w:sz w:val="20"/>
                <w:u w:val="none"/>
              </w:rPr>
              <w:t>TOTAL</w:t>
            </w:r>
          </w:p>
        </w:tc>
        <w:tc>
          <w:tcPr>
            <w:tcW w:w="139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238"/>
              </w:tabs>
              <w:spacing w:before="0" w:after="0" w:line="288" w:lineRule="auto"/>
              <w:ind w:right="90"/>
              <w:jc w:val="right"/>
            </w:pPr>
            <w:r>
              <w:rPr>
                <w:rFonts w:ascii="Arial" w:eastAsia="Arial" w:hAnsi="Arial" w:cs="Arial"/>
                <w:b w:val="0"/>
                <w:i w:val="0"/>
                <w:color w:val="000000"/>
                <w:sz w:val="20"/>
                <w:u w:val="none"/>
              </w:rPr>
              <w:t>$</w:t>
              <w:tab/>
              <w:t>48,776,438</w:t>
            </w:r>
          </w:p>
        </w:tc>
        <w:tc>
          <w:tcPr>
            <w:tcW w:w="115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13"/>
              </w:tabs>
              <w:spacing w:before="0" w:after="0" w:line="288" w:lineRule="auto"/>
              <w:ind w:right="90"/>
              <w:jc w:val="right"/>
            </w:pPr>
            <w:r>
              <w:rPr>
                <w:rFonts w:ascii="Arial" w:eastAsia="Arial" w:hAnsi="Arial" w:cs="Arial"/>
                <w:b w:val="0"/>
                <w:i w:val="0"/>
                <w:color w:val="000000"/>
                <w:sz w:val="20"/>
                <w:u w:val="none"/>
              </w:rPr>
              <w:t>$</w:t>
              <w:tab/>
              <w:t>48,654,562</w:t>
            </w:r>
          </w:p>
        </w:tc>
        <w:tc>
          <w:tcPr>
            <w:tcW w:w="136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208"/>
              </w:tabs>
              <w:spacing w:before="0" w:after="0" w:line="288" w:lineRule="auto"/>
              <w:ind w:right="90"/>
              <w:jc w:val="right"/>
            </w:pPr>
            <w:r>
              <w:rPr>
                <w:rFonts w:ascii="Arial" w:eastAsia="Arial" w:hAnsi="Arial" w:cs="Arial"/>
                <w:b w:val="0"/>
                <w:i w:val="0"/>
                <w:color w:val="000000"/>
                <w:sz w:val="20"/>
                <w:u w:val="none"/>
              </w:rPr>
              <w:t>$</w:t>
              <w:tab/>
              <w:t>16,443,835</w:t>
            </w:r>
          </w:p>
        </w:tc>
        <w:tc>
          <w:tcPr>
            <w:tcW w:w="145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298"/>
              </w:tabs>
              <w:spacing w:before="0" w:after="0" w:line="288" w:lineRule="auto"/>
              <w:ind w:right="90"/>
              <w:jc w:val="right"/>
            </w:pPr>
            <w:r>
              <w:rPr>
                <w:rFonts w:ascii="Arial" w:eastAsia="Arial" w:hAnsi="Arial" w:cs="Arial"/>
                <w:b w:val="0"/>
                <w:i w:val="0"/>
                <w:color w:val="000000"/>
                <w:sz w:val="20"/>
                <w:u w:val="none"/>
              </w:rPr>
              <w:t>$</w:t>
              <w:tab/>
              <w:t>11,443,835</w:t>
            </w:r>
          </w:p>
        </w:tc>
      </w:tr>
      <w:tr>
        <w:tblPrEx>
          <w:tblW w:w="9900" w:type="dxa"/>
          <w:jc w:val="center"/>
          <w:tblLayout w:type="fixed"/>
          <w:tblCellMar>
            <w:left w:w="108" w:type="dxa"/>
            <w:right w:w="108" w:type="dxa"/>
          </w:tblCellMar>
        </w:tblPrEx>
        <w:trPr>
          <w:cantSplit/>
          <w:trHeight w:hRule="exact" w:val="105"/>
          <w:jc w:val="center"/>
        </w:trPr>
        <w:tc>
          <w:tcPr>
            <w:tcW w:w="313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39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39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15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r>
      <w:tr>
        <w:tblPrEx>
          <w:tblW w:w="9900" w:type="dxa"/>
          <w:jc w:val="center"/>
          <w:tblLayout w:type="fixed"/>
          <w:tblCellMar>
            <w:left w:w="108" w:type="dxa"/>
            <w:right w:w="108" w:type="dxa"/>
          </w:tblCellMar>
        </w:tblPrEx>
        <w:trPr>
          <w:cantSplit/>
          <w:trHeight w:hRule="exact" w:val="285"/>
          <w:jc w:val="center"/>
        </w:trPr>
        <w:tc>
          <w:tcPr>
            <w:tcW w:w="313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i w:val="0"/>
                <w:color w:val="000000"/>
                <w:sz w:val="20"/>
                <w:u w:val="none"/>
              </w:rPr>
              <w:t>Matthew Kirk</w:t>
            </w:r>
          </w:p>
        </w:tc>
        <w:tc>
          <w:tcPr>
            <w:tcW w:w="139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spacing w:before="0" w:after="0" w:line="288" w:lineRule="auto"/>
              <w:ind w:right="90"/>
              <w:jc w:val="right"/>
            </w:pPr>
          </w:p>
        </w:tc>
        <w:tc>
          <w:tcPr>
            <w:tcW w:w="139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spacing w:before="0" w:after="0" w:line="288" w:lineRule="auto"/>
              <w:ind w:right="90"/>
              <w:jc w:val="right"/>
            </w:pPr>
          </w:p>
        </w:tc>
        <w:tc>
          <w:tcPr>
            <w:tcW w:w="115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spacing w:before="0" w:after="0" w:line="288" w:lineRule="auto"/>
              <w:ind w:right="90"/>
              <w:jc w:val="right"/>
            </w:pPr>
          </w:p>
        </w:tc>
        <w:tc>
          <w:tcPr>
            <w:tcW w:w="136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spacing w:before="0" w:after="0" w:line="288" w:lineRule="auto"/>
              <w:ind w:right="90"/>
              <w:jc w:val="right"/>
            </w:pPr>
          </w:p>
        </w:tc>
        <w:tc>
          <w:tcPr>
            <w:tcW w:w="145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spacing w:before="0" w:after="0" w:line="288" w:lineRule="auto"/>
              <w:ind w:right="90"/>
              <w:jc w:val="right"/>
            </w:pPr>
          </w:p>
        </w:tc>
      </w:tr>
      <w:tr>
        <w:tblPrEx>
          <w:tblW w:w="9900" w:type="dxa"/>
          <w:jc w:val="center"/>
          <w:tblLayout w:type="fixed"/>
          <w:tblCellMar>
            <w:left w:w="108" w:type="dxa"/>
            <w:right w:w="108" w:type="dxa"/>
          </w:tblCellMar>
        </w:tblPrEx>
        <w:trPr>
          <w:cantSplit/>
          <w:trHeight w:hRule="exact" w:val="285"/>
          <w:jc w:val="center"/>
        </w:trPr>
        <w:tc>
          <w:tcPr>
            <w:tcW w:w="313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Base Salary</w:t>
            </w:r>
            <w:r>
              <w:rPr>
                <w:rFonts w:ascii="Arial" w:eastAsia="Arial" w:hAnsi="Arial" w:cs="Arial"/>
                <w:b w:val="0"/>
                <w:i w:val="0"/>
                <w:sz w:val="20"/>
                <w:vertAlign w:val="superscript"/>
              </w:rPr>
              <w:t>(2)</w:t>
            </w:r>
          </w:p>
        </w:tc>
        <w:tc>
          <w:tcPr>
            <w:tcW w:w="139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16"/>
              </w:tabs>
              <w:spacing w:before="0" w:after="0" w:line="288" w:lineRule="auto"/>
              <w:ind w:right="90"/>
              <w:jc w:val="right"/>
            </w:pPr>
            <w:r>
              <w:rPr>
                <w:rFonts w:ascii="Arial" w:eastAsia="Arial" w:hAnsi="Arial" w:cs="Arial"/>
                <w:b w:val="0"/>
                <w:i w:val="0"/>
                <w:color w:val="000000"/>
                <w:sz w:val="20"/>
                <w:u w:val="none"/>
              </w:rPr>
              <w:t>$</w:t>
              <w:tab/>
              <w:t>550,000</w:t>
            </w:r>
          </w:p>
        </w:tc>
        <w:tc>
          <w:tcPr>
            <w:tcW w:w="115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99"/>
              </w:tabs>
              <w:spacing w:before="0" w:after="0" w:line="288" w:lineRule="auto"/>
              <w:ind w:right="90"/>
              <w:jc w:val="right"/>
            </w:pPr>
            <w:r>
              <w:rPr>
                <w:rFonts w:ascii="Arial" w:eastAsia="Arial" w:hAnsi="Arial" w:cs="Arial"/>
                <w:b w:val="0"/>
                <w:i w:val="0"/>
                <w:color w:val="000000"/>
                <w:sz w:val="20"/>
                <w:u w:val="none"/>
              </w:rPr>
              <w:t>$</w:t>
              <w:tab/>
              <w:t>—</w:t>
            </w:r>
          </w:p>
        </w:tc>
        <w:tc>
          <w:tcPr>
            <w:tcW w:w="136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45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76"/>
              </w:tabs>
              <w:spacing w:before="0" w:after="0" w:line="288" w:lineRule="auto"/>
              <w:ind w:right="90"/>
              <w:jc w:val="right"/>
            </w:pPr>
            <w:r>
              <w:rPr>
                <w:rFonts w:ascii="Arial" w:eastAsia="Arial" w:hAnsi="Arial" w:cs="Arial"/>
                <w:b w:val="0"/>
                <w:i w:val="0"/>
                <w:color w:val="000000"/>
                <w:sz w:val="20"/>
                <w:u w:val="none"/>
              </w:rPr>
              <w:t>$</w:t>
              <w:tab/>
              <w:t>275,000</w:t>
            </w:r>
          </w:p>
        </w:tc>
      </w:tr>
      <w:tr>
        <w:tblPrEx>
          <w:tblW w:w="9900" w:type="dxa"/>
          <w:jc w:val="center"/>
          <w:tblLayout w:type="fixed"/>
          <w:tblCellMar>
            <w:left w:w="108" w:type="dxa"/>
            <w:right w:w="108" w:type="dxa"/>
          </w:tblCellMar>
        </w:tblPrEx>
        <w:trPr>
          <w:cantSplit/>
          <w:trHeight w:hRule="exact" w:val="285"/>
          <w:jc w:val="center"/>
        </w:trPr>
        <w:tc>
          <w:tcPr>
            <w:tcW w:w="313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Bonus</w:t>
            </w:r>
            <w:r>
              <w:rPr>
                <w:rFonts w:ascii="Arial" w:eastAsia="Arial" w:hAnsi="Arial" w:cs="Arial"/>
                <w:b w:val="0"/>
                <w:i w:val="0"/>
                <w:sz w:val="20"/>
                <w:vertAlign w:val="superscript"/>
              </w:rPr>
              <w:t>(3)</w:t>
            </w:r>
          </w:p>
        </w:tc>
        <w:tc>
          <w:tcPr>
            <w:tcW w:w="139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16"/>
              </w:tabs>
              <w:spacing w:before="0" w:after="0" w:line="288" w:lineRule="auto"/>
              <w:ind w:right="90"/>
              <w:jc w:val="right"/>
            </w:pPr>
            <w:r>
              <w:rPr>
                <w:rFonts w:ascii="Arial" w:eastAsia="Arial" w:hAnsi="Arial" w:cs="Arial"/>
                <w:b w:val="0"/>
                <w:i w:val="0"/>
                <w:color w:val="000000"/>
                <w:sz w:val="20"/>
                <w:u w:val="none"/>
              </w:rPr>
              <w:t>$</w:t>
              <w:tab/>
              <w:t>550,000</w:t>
            </w:r>
          </w:p>
        </w:tc>
        <w:tc>
          <w:tcPr>
            <w:tcW w:w="115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276"/>
              </w:tabs>
              <w:spacing w:before="0" w:after="0" w:line="288" w:lineRule="auto"/>
              <w:ind w:right="90"/>
              <w:jc w:val="right"/>
            </w:pPr>
            <w:r>
              <w:rPr>
                <w:rFonts w:ascii="Arial" w:eastAsia="Arial" w:hAnsi="Arial" w:cs="Arial"/>
                <w:b w:val="0"/>
                <w:i w:val="0"/>
                <w:color w:val="000000"/>
                <w:sz w:val="20"/>
                <w:u w:val="none"/>
              </w:rPr>
              <w:t>$</w:t>
              <w:tab/>
              <w:t>551,070</w:t>
            </w:r>
          </w:p>
        </w:tc>
        <w:tc>
          <w:tcPr>
            <w:tcW w:w="136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45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576"/>
              </w:tabs>
              <w:spacing w:before="0" w:after="0" w:line="288" w:lineRule="auto"/>
              <w:ind w:right="90"/>
              <w:jc w:val="right"/>
            </w:pPr>
            <w:r>
              <w:rPr>
                <w:rFonts w:ascii="Arial" w:eastAsia="Arial" w:hAnsi="Arial" w:cs="Arial"/>
                <w:b w:val="0"/>
                <w:i w:val="0"/>
                <w:color w:val="000000"/>
                <w:sz w:val="20"/>
                <w:u w:val="none"/>
              </w:rPr>
              <w:t>$</w:t>
              <w:tab/>
              <w:t>550,000</w:t>
            </w:r>
          </w:p>
        </w:tc>
      </w:tr>
      <w:tr>
        <w:tblPrEx>
          <w:tblW w:w="9900" w:type="dxa"/>
          <w:jc w:val="center"/>
          <w:tblLayout w:type="fixed"/>
          <w:tblCellMar>
            <w:left w:w="108" w:type="dxa"/>
            <w:right w:w="108" w:type="dxa"/>
          </w:tblCellMar>
        </w:tblPrEx>
        <w:trPr>
          <w:cantSplit/>
          <w:trHeight w:hRule="exact" w:val="285"/>
          <w:jc w:val="center"/>
        </w:trPr>
        <w:tc>
          <w:tcPr>
            <w:tcW w:w="313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Medical Benefits</w:t>
            </w:r>
            <w:r>
              <w:rPr>
                <w:rFonts w:ascii="Arial" w:eastAsia="Arial" w:hAnsi="Arial" w:cs="Arial"/>
                <w:b w:val="0"/>
                <w:i w:val="0"/>
                <w:sz w:val="20"/>
                <w:vertAlign w:val="superscript"/>
              </w:rPr>
              <w:t>(4)</w:t>
            </w:r>
          </w:p>
        </w:tc>
        <w:tc>
          <w:tcPr>
            <w:tcW w:w="139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627"/>
              </w:tabs>
              <w:spacing w:before="0" w:after="0" w:line="288" w:lineRule="auto"/>
              <w:ind w:right="90"/>
              <w:jc w:val="right"/>
            </w:pPr>
            <w:r>
              <w:rPr>
                <w:rFonts w:ascii="Arial" w:eastAsia="Arial" w:hAnsi="Arial" w:cs="Arial"/>
                <w:b w:val="0"/>
                <w:i w:val="0"/>
                <w:color w:val="000000"/>
                <w:sz w:val="20"/>
                <w:u w:val="none"/>
              </w:rPr>
              <w:t>$</w:t>
              <w:tab/>
              <w:t>25,961</w:t>
            </w:r>
          </w:p>
        </w:tc>
        <w:tc>
          <w:tcPr>
            <w:tcW w:w="115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99"/>
              </w:tabs>
              <w:spacing w:before="0" w:after="0" w:line="288" w:lineRule="auto"/>
              <w:ind w:right="90"/>
              <w:jc w:val="right"/>
            </w:pPr>
            <w:r>
              <w:rPr>
                <w:rFonts w:ascii="Arial" w:eastAsia="Arial" w:hAnsi="Arial" w:cs="Arial"/>
                <w:b w:val="0"/>
                <w:i w:val="0"/>
                <w:color w:val="000000"/>
                <w:sz w:val="20"/>
                <w:u w:val="none"/>
              </w:rPr>
              <w:t>$</w:t>
              <w:tab/>
              <w:t>—</w:t>
            </w:r>
          </w:p>
        </w:tc>
        <w:tc>
          <w:tcPr>
            <w:tcW w:w="136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45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099"/>
              </w:tabs>
              <w:spacing w:before="0" w:after="0" w:line="288" w:lineRule="auto"/>
              <w:ind w:right="90"/>
              <w:jc w:val="right"/>
            </w:pPr>
            <w:r>
              <w:rPr>
                <w:rFonts w:ascii="Arial" w:eastAsia="Arial" w:hAnsi="Arial" w:cs="Arial"/>
                <w:b w:val="0"/>
                <w:i w:val="0"/>
                <w:color w:val="000000"/>
                <w:sz w:val="20"/>
                <w:u w:val="none"/>
              </w:rPr>
              <w:t>$</w:t>
              <w:tab/>
              <w:t>—</w:t>
            </w:r>
          </w:p>
        </w:tc>
      </w:tr>
      <w:tr>
        <w:tblPrEx>
          <w:tblW w:w="9900" w:type="dxa"/>
          <w:jc w:val="center"/>
          <w:tblLayout w:type="fixed"/>
          <w:tblCellMar>
            <w:left w:w="108" w:type="dxa"/>
            <w:right w:w="108" w:type="dxa"/>
          </w:tblCellMar>
        </w:tblPrEx>
        <w:trPr>
          <w:cantSplit/>
          <w:trHeight w:hRule="exact" w:val="285"/>
          <w:jc w:val="center"/>
        </w:trPr>
        <w:tc>
          <w:tcPr>
            <w:tcW w:w="313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Contractual Life Benefit</w:t>
            </w:r>
            <w:r>
              <w:rPr>
                <w:rFonts w:ascii="Arial" w:eastAsia="Arial" w:hAnsi="Arial" w:cs="Arial"/>
                <w:b w:val="0"/>
                <w:i w:val="0"/>
                <w:sz w:val="20"/>
                <w:vertAlign w:val="superscript"/>
              </w:rPr>
              <w:t>(5)</w:t>
            </w:r>
          </w:p>
        </w:tc>
        <w:tc>
          <w:tcPr>
            <w:tcW w:w="139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15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799"/>
              </w:tabs>
              <w:spacing w:before="0" w:after="0" w:line="288" w:lineRule="auto"/>
              <w:ind w:right="90"/>
              <w:jc w:val="right"/>
            </w:pPr>
            <w:r>
              <w:rPr>
                <w:rFonts w:ascii="Arial" w:eastAsia="Arial" w:hAnsi="Arial" w:cs="Arial"/>
                <w:b w:val="0"/>
                <w:i w:val="0"/>
                <w:color w:val="000000"/>
                <w:sz w:val="20"/>
                <w:u w:val="none"/>
              </w:rPr>
              <w:t>$</w:t>
              <w:tab/>
              <w:t>—</w:t>
            </w:r>
          </w:p>
        </w:tc>
        <w:tc>
          <w:tcPr>
            <w:tcW w:w="136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45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099"/>
              </w:tabs>
              <w:spacing w:before="0" w:after="0" w:line="288" w:lineRule="auto"/>
              <w:ind w:right="90"/>
              <w:jc w:val="right"/>
            </w:pPr>
            <w:r>
              <w:rPr>
                <w:rFonts w:ascii="Arial" w:eastAsia="Arial" w:hAnsi="Arial" w:cs="Arial"/>
                <w:b w:val="0"/>
                <w:i w:val="0"/>
                <w:color w:val="000000"/>
                <w:sz w:val="20"/>
                <w:u w:val="none"/>
              </w:rPr>
              <w:t>$</w:t>
              <w:tab/>
              <w:t>—</w:t>
            </w:r>
          </w:p>
        </w:tc>
      </w:tr>
      <w:tr>
        <w:tblPrEx>
          <w:tblW w:w="9900" w:type="dxa"/>
          <w:jc w:val="center"/>
          <w:tblLayout w:type="fixed"/>
          <w:tblCellMar>
            <w:left w:w="108" w:type="dxa"/>
            <w:right w:w="108" w:type="dxa"/>
          </w:tblCellMar>
        </w:tblPrEx>
        <w:trPr>
          <w:cantSplit/>
          <w:trHeight w:hRule="exact" w:val="285"/>
          <w:jc w:val="center"/>
        </w:trPr>
        <w:tc>
          <w:tcPr>
            <w:tcW w:w="313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Accelerated Vesting</w:t>
            </w:r>
            <w:r>
              <w:rPr>
                <w:rFonts w:ascii="Arial" w:eastAsia="Arial" w:hAnsi="Arial" w:cs="Arial"/>
                <w:b w:val="0"/>
                <w:i w:val="0"/>
                <w:sz w:val="20"/>
                <w:vertAlign w:val="superscript"/>
              </w:rPr>
              <w:t>(</w:t>
            </w:r>
            <w:r>
              <w:rPr>
                <w:rFonts w:ascii="Arial" w:eastAsia="Arial" w:hAnsi="Arial" w:cs="Arial"/>
                <w:b w:val="0"/>
                <w:i w:val="0"/>
                <w:sz w:val="20"/>
                <w:vertAlign w:val="superscript"/>
              </w:rPr>
              <w:t>7</w:t>
            </w:r>
            <w:r>
              <w:rPr>
                <w:rFonts w:ascii="Arial" w:eastAsia="Arial" w:hAnsi="Arial" w:cs="Arial"/>
                <w:b w:val="0"/>
                <w:i w:val="0"/>
                <w:sz w:val="20"/>
                <w:vertAlign w:val="superscript"/>
              </w:rPr>
              <w:t>)</w:t>
            </w:r>
          </w:p>
        </w:tc>
        <w:tc>
          <w:tcPr>
            <w:tcW w:w="139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350"/>
              </w:tabs>
              <w:spacing w:before="0" w:after="0" w:line="288" w:lineRule="auto"/>
              <w:ind w:right="90"/>
              <w:jc w:val="right"/>
            </w:pPr>
            <w:r>
              <w:rPr>
                <w:rFonts w:ascii="Arial" w:eastAsia="Arial" w:hAnsi="Arial" w:cs="Arial"/>
                <w:b w:val="0"/>
                <w:i w:val="0"/>
                <w:color w:val="000000"/>
                <w:sz w:val="20"/>
                <w:u w:val="none"/>
              </w:rPr>
              <w:t>$</w:t>
              <w:tab/>
              <w:t>2,394,243</w:t>
            </w:r>
          </w:p>
        </w:tc>
        <w:tc>
          <w:tcPr>
            <w:tcW w:w="115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13"/>
              </w:tabs>
              <w:spacing w:before="0" w:after="0" w:line="288" w:lineRule="auto"/>
              <w:ind w:right="90"/>
              <w:jc w:val="right"/>
            </w:pPr>
            <w:r>
              <w:rPr>
                <w:rFonts w:ascii="Arial" w:eastAsia="Arial" w:hAnsi="Arial" w:cs="Arial"/>
                <w:b w:val="0"/>
                <w:i w:val="0"/>
                <w:color w:val="000000"/>
                <w:sz w:val="20"/>
                <w:u w:val="none"/>
              </w:rPr>
              <w:t>$</w:t>
              <w:tab/>
              <w:t>2,465,181</w:t>
            </w:r>
          </w:p>
        </w:tc>
        <w:tc>
          <w:tcPr>
            <w:tcW w:w="136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320"/>
              </w:tabs>
              <w:spacing w:before="0" w:after="0" w:line="288" w:lineRule="auto"/>
              <w:ind w:right="90"/>
              <w:jc w:val="right"/>
            </w:pPr>
            <w:r>
              <w:rPr>
                <w:rFonts w:ascii="Arial" w:eastAsia="Arial" w:hAnsi="Arial" w:cs="Arial"/>
                <w:b w:val="0"/>
                <w:i w:val="0"/>
                <w:color w:val="000000"/>
                <w:sz w:val="20"/>
                <w:u w:val="none"/>
              </w:rPr>
              <w:t>$</w:t>
              <w:tab/>
              <w:t>2,394,243</w:t>
            </w:r>
          </w:p>
        </w:tc>
        <w:tc>
          <w:tcPr>
            <w:tcW w:w="145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410"/>
              </w:tabs>
              <w:spacing w:before="0" w:after="0" w:line="288" w:lineRule="auto"/>
              <w:ind w:right="90"/>
              <w:jc w:val="right"/>
            </w:pPr>
            <w:r>
              <w:rPr>
                <w:rFonts w:ascii="Arial" w:eastAsia="Arial" w:hAnsi="Arial" w:cs="Arial"/>
                <w:b w:val="0"/>
                <w:i w:val="0"/>
                <w:color w:val="000000"/>
                <w:sz w:val="20"/>
                <w:u w:val="none"/>
              </w:rPr>
              <w:t>$</w:t>
              <w:tab/>
              <w:t>2,394,243</w:t>
            </w:r>
          </w:p>
        </w:tc>
      </w:tr>
      <w:tr>
        <w:tblPrEx>
          <w:tblW w:w="9900" w:type="dxa"/>
          <w:jc w:val="center"/>
          <w:tblLayout w:type="fixed"/>
          <w:tblCellMar>
            <w:left w:w="108" w:type="dxa"/>
            <w:right w:w="108" w:type="dxa"/>
          </w:tblCellMar>
        </w:tblPrEx>
        <w:trPr>
          <w:cantSplit/>
          <w:trHeight w:hRule="exact" w:val="285"/>
          <w:jc w:val="center"/>
        </w:trPr>
        <w:tc>
          <w:tcPr>
            <w:tcW w:w="313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i w:val="0"/>
                <w:color w:val="000000"/>
                <w:sz w:val="20"/>
                <w:u w:val="none"/>
              </w:rPr>
              <w:t>TOTAL</w:t>
            </w:r>
          </w:p>
        </w:tc>
        <w:tc>
          <w:tcPr>
            <w:tcW w:w="139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350"/>
              </w:tabs>
              <w:spacing w:before="0" w:after="0" w:line="288" w:lineRule="auto"/>
              <w:ind w:right="90"/>
              <w:jc w:val="right"/>
            </w:pPr>
            <w:r>
              <w:rPr>
                <w:rFonts w:ascii="Arial" w:eastAsia="Arial" w:hAnsi="Arial" w:cs="Arial"/>
                <w:b w:val="0"/>
                <w:i w:val="0"/>
                <w:color w:val="000000"/>
                <w:sz w:val="20"/>
                <w:u w:val="none"/>
              </w:rPr>
              <w:t>$</w:t>
              <w:tab/>
              <w:t>3,520,204</w:t>
            </w:r>
          </w:p>
        </w:tc>
        <w:tc>
          <w:tcPr>
            <w:tcW w:w="115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13"/>
              </w:tabs>
              <w:spacing w:before="0" w:after="0" w:line="288" w:lineRule="auto"/>
              <w:ind w:right="90"/>
              <w:jc w:val="right"/>
            </w:pPr>
            <w:r>
              <w:rPr>
                <w:rFonts w:ascii="Arial" w:eastAsia="Arial" w:hAnsi="Arial" w:cs="Arial"/>
                <w:b w:val="0"/>
                <w:i w:val="0"/>
                <w:color w:val="000000"/>
                <w:sz w:val="20"/>
                <w:u w:val="none"/>
              </w:rPr>
              <w:t>$</w:t>
              <w:tab/>
              <w:t>3,016,252</w:t>
            </w:r>
          </w:p>
        </w:tc>
        <w:tc>
          <w:tcPr>
            <w:tcW w:w="136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320"/>
              </w:tabs>
              <w:spacing w:before="0" w:after="0" w:line="288" w:lineRule="auto"/>
              <w:ind w:right="90"/>
              <w:jc w:val="right"/>
            </w:pPr>
            <w:r>
              <w:rPr>
                <w:rFonts w:ascii="Arial" w:eastAsia="Arial" w:hAnsi="Arial" w:cs="Arial"/>
                <w:b w:val="0"/>
                <w:i w:val="0"/>
                <w:color w:val="000000"/>
                <w:sz w:val="20"/>
                <w:u w:val="none"/>
              </w:rPr>
              <w:t>$</w:t>
              <w:tab/>
              <w:t>2,394,243</w:t>
            </w:r>
          </w:p>
        </w:tc>
        <w:tc>
          <w:tcPr>
            <w:tcW w:w="145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410"/>
              </w:tabs>
              <w:spacing w:before="0" w:after="0" w:line="288" w:lineRule="auto"/>
              <w:ind w:right="90"/>
              <w:jc w:val="right"/>
            </w:pPr>
            <w:r>
              <w:rPr>
                <w:rFonts w:ascii="Arial" w:eastAsia="Arial" w:hAnsi="Arial" w:cs="Arial"/>
                <w:b w:val="0"/>
                <w:i w:val="0"/>
                <w:color w:val="000000"/>
                <w:sz w:val="20"/>
                <w:u w:val="none"/>
              </w:rPr>
              <w:t>$</w:t>
              <w:tab/>
              <w:t>3,219,243</w:t>
            </w:r>
          </w:p>
        </w:tc>
      </w:tr>
      <w:tr>
        <w:tblPrEx>
          <w:tblW w:w="9900" w:type="dxa"/>
          <w:jc w:val="center"/>
          <w:tblLayout w:type="fixed"/>
          <w:tblCellMar>
            <w:left w:w="108" w:type="dxa"/>
            <w:right w:w="108" w:type="dxa"/>
          </w:tblCellMar>
        </w:tblPrEx>
        <w:trPr>
          <w:cantSplit/>
          <w:trHeight w:hRule="exact" w:val="60"/>
          <w:jc w:val="center"/>
        </w:trPr>
        <w:tc>
          <w:tcPr>
            <w:tcW w:w="313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9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9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15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r>
      <w:tr>
        <w:tblPrEx>
          <w:tblW w:w="9900" w:type="dxa"/>
          <w:jc w:val="center"/>
          <w:tblLayout w:type="fixed"/>
          <w:tblCellMar>
            <w:left w:w="108" w:type="dxa"/>
            <w:right w:w="108" w:type="dxa"/>
          </w:tblCellMar>
        </w:tblPrEx>
        <w:trPr>
          <w:cantSplit/>
          <w:trHeight w:hRule="exact" w:val="285"/>
          <w:jc w:val="center"/>
        </w:trPr>
        <w:tc>
          <w:tcPr>
            <w:tcW w:w="313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i w:val="0"/>
                <w:color w:val="000000"/>
                <w:sz w:val="20"/>
                <w:u w:val="none"/>
              </w:rPr>
              <w:t>Orla Gregory</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spacing w:before="0" w:after="0" w:line="288" w:lineRule="auto"/>
              <w:ind w:right="90"/>
              <w:jc w:val="right"/>
            </w:pP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spacing w:before="0" w:after="0" w:line="288" w:lineRule="auto"/>
              <w:ind w:right="90"/>
              <w:jc w:val="right"/>
            </w:pPr>
          </w:p>
        </w:tc>
        <w:tc>
          <w:tcPr>
            <w:tcW w:w="11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spacing w:before="0" w:after="0" w:line="288" w:lineRule="auto"/>
              <w:ind w:right="90"/>
              <w:jc w:val="right"/>
            </w:pPr>
          </w:p>
        </w:tc>
        <w:tc>
          <w:tcPr>
            <w:tcW w:w="136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spacing w:before="0" w:after="0" w:line="288" w:lineRule="auto"/>
              <w:ind w:right="90"/>
              <w:jc w:val="right"/>
            </w:pPr>
          </w:p>
        </w:tc>
        <w:tc>
          <w:tcPr>
            <w:tcW w:w="14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spacing w:before="0" w:after="0" w:line="288" w:lineRule="auto"/>
              <w:ind w:right="90"/>
              <w:jc w:val="right"/>
            </w:pP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Base Salary</w:t>
            </w:r>
            <w:r>
              <w:rPr>
                <w:rFonts w:ascii="Arial" w:eastAsia="Arial" w:hAnsi="Arial" w:cs="Arial"/>
                <w:b w:val="0"/>
                <w:i w:val="0"/>
                <w:sz w:val="20"/>
                <w:vertAlign w:val="superscript"/>
              </w:rPr>
              <w:t>(2)</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350"/>
              </w:tabs>
              <w:spacing w:before="0" w:after="0" w:line="288" w:lineRule="auto"/>
              <w:ind w:right="90"/>
              <w:jc w:val="right"/>
            </w:pPr>
            <w:r>
              <w:rPr>
                <w:rFonts w:ascii="Arial" w:eastAsia="Arial" w:hAnsi="Arial" w:cs="Arial"/>
                <w:b w:val="0"/>
                <w:i w:val="0"/>
                <w:color w:val="000000"/>
                <w:sz w:val="20"/>
                <w:u w:val="none"/>
              </w:rPr>
              <w:t>$</w:t>
              <w:tab/>
              <w:t>2,800,000</w:t>
            </w:r>
          </w:p>
        </w:tc>
        <w:tc>
          <w:tcPr>
            <w:tcW w:w="11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799"/>
              </w:tabs>
              <w:spacing w:before="0" w:after="0" w:line="288" w:lineRule="auto"/>
              <w:ind w:right="90"/>
              <w:jc w:val="right"/>
            </w:pPr>
            <w:r>
              <w:rPr>
                <w:rFonts w:ascii="Arial" w:eastAsia="Arial" w:hAnsi="Arial" w:cs="Arial"/>
                <w:b w:val="0"/>
                <w:i w:val="0"/>
                <w:color w:val="000000"/>
                <w:sz w:val="20"/>
                <w:u w:val="none"/>
              </w:rPr>
              <w:t>$</w:t>
              <w:tab/>
              <w:t>—</w:t>
            </w:r>
          </w:p>
        </w:tc>
        <w:tc>
          <w:tcPr>
            <w:tcW w:w="136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4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410"/>
              </w:tabs>
              <w:spacing w:before="0" w:after="0" w:line="288" w:lineRule="auto"/>
              <w:ind w:right="90"/>
              <w:jc w:val="right"/>
            </w:pPr>
            <w:r>
              <w:rPr>
                <w:rFonts w:ascii="Arial" w:eastAsia="Arial" w:hAnsi="Arial" w:cs="Arial"/>
                <w:b w:val="0"/>
                <w:i w:val="0"/>
                <w:color w:val="000000"/>
                <w:sz w:val="20"/>
                <w:u w:val="none"/>
              </w:rPr>
              <w:t>$</w:t>
              <w:tab/>
              <w:t>2,800,000</w:t>
            </w: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Bonus</w:t>
            </w:r>
            <w:r>
              <w:rPr>
                <w:rFonts w:ascii="Arial" w:eastAsia="Arial" w:hAnsi="Arial" w:cs="Arial"/>
                <w:b w:val="0"/>
                <w:i w:val="0"/>
                <w:sz w:val="20"/>
                <w:vertAlign w:val="superscript"/>
              </w:rPr>
              <w:t>(3)</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350"/>
              </w:tabs>
              <w:spacing w:before="0" w:after="0" w:line="288" w:lineRule="auto"/>
              <w:ind w:right="90"/>
              <w:jc w:val="right"/>
            </w:pPr>
            <w:r>
              <w:rPr>
                <w:rFonts w:ascii="Arial" w:eastAsia="Arial" w:hAnsi="Arial" w:cs="Arial"/>
                <w:b w:val="0"/>
                <w:i w:val="0"/>
                <w:color w:val="000000"/>
                <w:sz w:val="20"/>
                <w:u w:val="none"/>
              </w:rPr>
              <w:t>$</w:t>
              <w:tab/>
              <w:t>2,042,297</w:t>
            </w:r>
          </w:p>
        </w:tc>
        <w:tc>
          <w:tcPr>
            <w:tcW w:w="11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13"/>
              </w:tabs>
              <w:spacing w:before="0" w:after="0" w:line="288" w:lineRule="auto"/>
              <w:ind w:right="90"/>
              <w:jc w:val="right"/>
            </w:pPr>
            <w:r>
              <w:rPr>
                <w:rFonts w:ascii="Arial" w:eastAsia="Arial" w:hAnsi="Arial" w:cs="Arial"/>
                <w:b w:val="0"/>
                <w:i w:val="0"/>
                <w:color w:val="000000"/>
                <w:sz w:val="20"/>
                <w:u w:val="none"/>
              </w:rPr>
              <w:t>$</w:t>
              <w:tab/>
              <w:t>2,042,297</w:t>
            </w:r>
          </w:p>
        </w:tc>
        <w:tc>
          <w:tcPr>
            <w:tcW w:w="136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320"/>
              </w:tabs>
              <w:spacing w:before="0" w:after="0" w:line="288" w:lineRule="auto"/>
              <w:ind w:right="90"/>
              <w:jc w:val="right"/>
            </w:pPr>
            <w:r>
              <w:rPr>
                <w:rFonts w:ascii="Arial" w:eastAsia="Arial" w:hAnsi="Arial" w:cs="Arial"/>
                <w:b w:val="0"/>
                <w:i w:val="0"/>
                <w:color w:val="000000"/>
                <w:sz w:val="20"/>
                <w:u w:val="none"/>
              </w:rPr>
              <w:t>$</w:t>
              <w:tab/>
              <w:t>2,042,297</w:t>
            </w:r>
          </w:p>
        </w:tc>
        <w:tc>
          <w:tcPr>
            <w:tcW w:w="14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410"/>
              </w:tabs>
              <w:spacing w:before="0" w:after="0" w:line="288" w:lineRule="auto"/>
              <w:ind w:right="90"/>
              <w:jc w:val="right"/>
            </w:pPr>
            <w:r>
              <w:rPr>
                <w:rFonts w:ascii="Arial" w:eastAsia="Arial" w:hAnsi="Arial" w:cs="Arial"/>
                <w:b w:val="0"/>
                <w:i w:val="0"/>
                <w:color w:val="000000"/>
                <w:sz w:val="20"/>
                <w:u w:val="none"/>
              </w:rPr>
              <w:t>$</w:t>
              <w:tab/>
              <w:t>2,042,297</w:t>
            </w: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Medical Benefits</w:t>
            </w:r>
            <w:r>
              <w:rPr>
                <w:rFonts w:ascii="Arial" w:eastAsia="Arial" w:hAnsi="Arial" w:cs="Arial"/>
                <w:b w:val="0"/>
                <w:i w:val="0"/>
                <w:sz w:val="20"/>
                <w:vertAlign w:val="superscript"/>
              </w:rPr>
              <w:t>(4)</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627"/>
              </w:tabs>
              <w:spacing w:before="0" w:after="0" w:line="288" w:lineRule="auto"/>
              <w:ind w:right="90"/>
              <w:jc w:val="right"/>
            </w:pPr>
            <w:r>
              <w:rPr>
                <w:rFonts w:ascii="Arial" w:eastAsia="Arial" w:hAnsi="Arial" w:cs="Arial"/>
                <w:b w:val="0"/>
                <w:i w:val="0"/>
                <w:color w:val="000000"/>
                <w:sz w:val="20"/>
                <w:u w:val="none"/>
              </w:rPr>
              <w:t>$</w:t>
              <w:tab/>
              <w:t>30,173</w:t>
            </w:r>
          </w:p>
        </w:tc>
        <w:tc>
          <w:tcPr>
            <w:tcW w:w="11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799"/>
              </w:tabs>
              <w:spacing w:before="0" w:after="0" w:line="288" w:lineRule="auto"/>
              <w:ind w:right="90"/>
              <w:jc w:val="right"/>
            </w:pPr>
            <w:r>
              <w:rPr>
                <w:rFonts w:ascii="Arial" w:eastAsia="Arial" w:hAnsi="Arial" w:cs="Arial"/>
                <w:b w:val="0"/>
                <w:i w:val="0"/>
                <w:color w:val="000000"/>
                <w:sz w:val="20"/>
                <w:u w:val="none"/>
              </w:rPr>
              <w:t>$</w:t>
              <w:tab/>
              <w:t>—</w:t>
            </w:r>
          </w:p>
        </w:tc>
        <w:tc>
          <w:tcPr>
            <w:tcW w:w="136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597"/>
              </w:tabs>
              <w:spacing w:before="0" w:after="0" w:line="288" w:lineRule="auto"/>
              <w:ind w:right="90"/>
              <w:jc w:val="right"/>
            </w:pPr>
            <w:r>
              <w:rPr>
                <w:rFonts w:ascii="Arial" w:eastAsia="Arial" w:hAnsi="Arial" w:cs="Arial"/>
                <w:b w:val="0"/>
                <w:i w:val="0"/>
                <w:color w:val="000000"/>
                <w:sz w:val="20"/>
                <w:u w:val="none"/>
              </w:rPr>
              <w:t>$</w:t>
              <w:tab/>
              <w:t>30,173</w:t>
            </w:r>
          </w:p>
        </w:tc>
        <w:tc>
          <w:tcPr>
            <w:tcW w:w="14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687"/>
              </w:tabs>
              <w:spacing w:before="0" w:after="0" w:line="288" w:lineRule="auto"/>
              <w:ind w:right="90"/>
              <w:jc w:val="right"/>
            </w:pPr>
            <w:r>
              <w:rPr>
                <w:rFonts w:ascii="Arial" w:eastAsia="Arial" w:hAnsi="Arial" w:cs="Arial"/>
                <w:b w:val="0"/>
                <w:i w:val="0"/>
                <w:color w:val="000000"/>
                <w:sz w:val="20"/>
                <w:u w:val="none"/>
              </w:rPr>
              <w:t>$</w:t>
              <w:tab/>
              <w:t>30,173</w:t>
            </w: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Contractual Life Benefit</w:t>
            </w:r>
            <w:r>
              <w:rPr>
                <w:rFonts w:ascii="Arial" w:eastAsia="Arial" w:hAnsi="Arial" w:cs="Arial"/>
                <w:b w:val="0"/>
                <w:i w:val="0"/>
                <w:sz w:val="20"/>
                <w:vertAlign w:val="superscript"/>
              </w:rPr>
              <w:t>(5)</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1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799"/>
              </w:tabs>
              <w:spacing w:before="0" w:after="0" w:line="288" w:lineRule="auto"/>
              <w:ind w:right="90"/>
              <w:jc w:val="right"/>
            </w:pPr>
            <w:r>
              <w:rPr>
                <w:rFonts w:ascii="Arial" w:eastAsia="Arial" w:hAnsi="Arial" w:cs="Arial"/>
                <w:b w:val="0"/>
                <w:i w:val="0"/>
                <w:color w:val="000000"/>
                <w:sz w:val="20"/>
                <w:u w:val="none"/>
              </w:rPr>
              <w:t>$</w:t>
              <w:tab/>
              <w:t>—</w:t>
            </w:r>
          </w:p>
        </w:tc>
        <w:tc>
          <w:tcPr>
            <w:tcW w:w="136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320"/>
              </w:tabs>
              <w:spacing w:before="0" w:after="0" w:line="288" w:lineRule="auto"/>
              <w:ind w:right="90"/>
              <w:jc w:val="right"/>
            </w:pPr>
            <w:r>
              <w:rPr>
                <w:rFonts w:ascii="Arial" w:eastAsia="Arial" w:hAnsi="Arial" w:cs="Arial"/>
                <w:b w:val="0"/>
                <w:i w:val="0"/>
                <w:color w:val="000000"/>
                <w:sz w:val="20"/>
                <w:u w:val="none"/>
              </w:rPr>
              <w:t>$</w:t>
              <w:tab/>
              <w:t>7,000,000</w:t>
            </w:r>
          </w:p>
        </w:tc>
        <w:tc>
          <w:tcPr>
            <w:tcW w:w="14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99"/>
              </w:tabs>
              <w:spacing w:before="0" w:after="0" w:line="288" w:lineRule="auto"/>
              <w:ind w:right="90"/>
              <w:jc w:val="right"/>
            </w:pPr>
            <w:r>
              <w:rPr>
                <w:rFonts w:ascii="Arial" w:eastAsia="Arial" w:hAnsi="Arial" w:cs="Arial"/>
                <w:b w:val="0"/>
                <w:i w:val="0"/>
                <w:color w:val="000000"/>
                <w:sz w:val="20"/>
                <w:u w:val="none"/>
              </w:rPr>
              <w:t>$</w:t>
              <w:tab/>
              <w:t>—</w:t>
            </w: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Accelerated Vesting</w:t>
            </w:r>
            <w:r>
              <w:rPr>
                <w:rFonts w:ascii="Arial" w:eastAsia="Arial" w:hAnsi="Arial" w:cs="Arial"/>
                <w:b w:val="0"/>
                <w:i w:val="0"/>
                <w:sz w:val="20"/>
                <w:vertAlign w:val="superscript"/>
              </w:rPr>
              <w:t>(</w:t>
            </w:r>
            <w:r>
              <w:rPr>
                <w:rFonts w:ascii="Arial" w:eastAsia="Arial" w:hAnsi="Arial" w:cs="Arial"/>
                <w:b w:val="0"/>
                <w:i w:val="0"/>
                <w:sz w:val="20"/>
                <w:vertAlign w:val="superscript"/>
              </w:rPr>
              <w:t>7</w:t>
            </w:r>
            <w:r>
              <w:rPr>
                <w:rFonts w:ascii="Arial" w:eastAsia="Arial" w:hAnsi="Arial" w:cs="Arial"/>
                <w:b w:val="0"/>
                <w:i w:val="0"/>
                <w:sz w:val="20"/>
                <w:vertAlign w:val="superscript"/>
              </w:rPr>
              <w:t>)</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238"/>
              </w:tabs>
              <w:spacing w:before="0" w:after="0" w:line="288" w:lineRule="auto"/>
              <w:ind w:right="90"/>
              <w:jc w:val="right"/>
            </w:pPr>
            <w:r>
              <w:rPr>
                <w:rFonts w:ascii="Arial" w:eastAsia="Arial" w:hAnsi="Arial" w:cs="Arial"/>
                <w:b w:val="0"/>
                <w:i w:val="0"/>
                <w:color w:val="000000"/>
                <w:sz w:val="20"/>
                <w:u w:val="none"/>
              </w:rPr>
              <w:t>$</w:t>
              <w:tab/>
              <w:t>15,853,691</w:t>
            </w:r>
          </w:p>
        </w:tc>
        <w:tc>
          <w:tcPr>
            <w:tcW w:w="11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13"/>
              </w:tabs>
              <w:spacing w:before="0" w:after="0" w:line="288" w:lineRule="auto"/>
              <w:ind w:right="90"/>
              <w:jc w:val="right"/>
            </w:pPr>
            <w:r>
              <w:rPr>
                <w:rFonts w:ascii="Arial" w:eastAsia="Arial" w:hAnsi="Arial" w:cs="Arial"/>
                <w:b w:val="0"/>
                <w:i w:val="0"/>
                <w:color w:val="000000"/>
                <w:sz w:val="20"/>
                <w:u w:val="none"/>
              </w:rPr>
              <w:t>$</w:t>
              <w:tab/>
              <w:t>15,853,691</w:t>
            </w:r>
          </w:p>
        </w:tc>
        <w:tc>
          <w:tcPr>
            <w:tcW w:w="136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208"/>
              </w:tabs>
              <w:spacing w:before="0" w:after="0" w:line="288" w:lineRule="auto"/>
              <w:ind w:right="90"/>
              <w:jc w:val="right"/>
            </w:pPr>
            <w:r>
              <w:rPr>
                <w:rFonts w:ascii="Arial" w:eastAsia="Arial" w:hAnsi="Arial" w:cs="Arial"/>
                <w:b w:val="0"/>
                <w:i w:val="0"/>
                <w:color w:val="000000"/>
                <w:sz w:val="20"/>
                <w:u w:val="none"/>
              </w:rPr>
              <w:t>$</w:t>
              <w:tab/>
              <w:t>15,853,691</w:t>
            </w:r>
          </w:p>
        </w:tc>
        <w:tc>
          <w:tcPr>
            <w:tcW w:w="14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298"/>
              </w:tabs>
              <w:spacing w:before="0" w:after="0" w:line="288" w:lineRule="auto"/>
              <w:ind w:right="90"/>
              <w:jc w:val="right"/>
            </w:pPr>
            <w:r>
              <w:rPr>
                <w:rFonts w:ascii="Arial" w:eastAsia="Arial" w:hAnsi="Arial" w:cs="Arial"/>
                <w:b w:val="0"/>
                <w:i w:val="0"/>
                <w:color w:val="000000"/>
                <w:sz w:val="20"/>
                <w:u w:val="none"/>
              </w:rPr>
              <w:t>$</w:t>
              <w:tab/>
              <w:t>15,853,691</w:t>
            </w: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i w:val="0"/>
                <w:color w:val="000000"/>
                <w:sz w:val="20"/>
                <w:u w:val="none"/>
              </w:rPr>
              <w:t>TOTAL</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238"/>
              </w:tabs>
              <w:spacing w:before="0" w:after="0" w:line="288" w:lineRule="auto"/>
              <w:ind w:right="90"/>
              <w:jc w:val="right"/>
            </w:pPr>
            <w:r>
              <w:rPr>
                <w:rFonts w:ascii="Arial" w:eastAsia="Arial" w:hAnsi="Arial" w:cs="Arial"/>
                <w:b w:val="0"/>
                <w:i w:val="0"/>
                <w:color w:val="000000"/>
                <w:sz w:val="20"/>
                <w:u w:val="none"/>
              </w:rPr>
              <w:t>$</w:t>
              <w:tab/>
              <w:t>20,726,162</w:t>
            </w:r>
          </w:p>
        </w:tc>
        <w:tc>
          <w:tcPr>
            <w:tcW w:w="11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13"/>
              </w:tabs>
              <w:spacing w:before="0" w:after="0" w:line="288" w:lineRule="auto"/>
              <w:ind w:right="90"/>
              <w:jc w:val="right"/>
            </w:pPr>
            <w:r>
              <w:rPr>
                <w:rFonts w:ascii="Arial" w:eastAsia="Arial" w:hAnsi="Arial" w:cs="Arial"/>
                <w:b w:val="0"/>
                <w:i w:val="0"/>
                <w:color w:val="000000"/>
                <w:sz w:val="20"/>
                <w:u w:val="none"/>
              </w:rPr>
              <w:t>$</w:t>
              <w:tab/>
              <w:t>17,895,988</w:t>
            </w:r>
          </w:p>
        </w:tc>
        <w:tc>
          <w:tcPr>
            <w:tcW w:w="136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208"/>
              </w:tabs>
              <w:spacing w:before="0" w:after="0" w:line="288" w:lineRule="auto"/>
              <w:ind w:right="90"/>
              <w:jc w:val="right"/>
            </w:pPr>
            <w:r>
              <w:rPr>
                <w:rFonts w:ascii="Arial" w:eastAsia="Arial" w:hAnsi="Arial" w:cs="Arial"/>
                <w:b w:val="0"/>
                <w:i w:val="0"/>
                <w:color w:val="000000"/>
                <w:sz w:val="20"/>
                <w:u w:val="none"/>
              </w:rPr>
              <w:t>$</w:t>
              <w:tab/>
              <w:t>24,926,162</w:t>
            </w:r>
          </w:p>
        </w:tc>
        <w:tc>
          <w:tcPr>
            <w:tcW w:w="14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298"/>
              </w:tabs>
              <w:spacing w:before="0" w:after="0" w:line="288" w:lineRule="auto"/>
              <w:ind w:right="90"/>
              <w:jc w:val="right"/>
            </w:pPr>
            <w:r>
              <w:rPr>
                <w:rFonts w:ascii="Arial" w:eastAsia="Arial" w:hAnsi="Arial" w:cs="Arial"/>
                <w:b w:val="0"/>
                <w:i w:val="0"/>
                <w:color w:val="000000"/>
                <w:sz w:val="20"/>
                <w:u w:val="none"/>
              </w:rPr>
              <w:t>$</w:t>
              <w:tab/>
              <w:t>20,726,162</w:t>
            </w:r>
          </w:p>
        </w:tc>
      </w:tr>
      <w:tr>
        <w:tblPrEx>
          <w:tblW w:w="9900" w:type="dxa"/>
          <w:jc w:val="center"/>
          <w:tblLayout w:type="fixed"/>
          <w:tblCellMar>
            <w:left w:w="108" w:type="dxa"/>
            <w:right w:w="108" w:type="dxa"/>
          </w:tblCellMar>
        </w:tblPrEx>
        <w:trPr>
          <w:cantSplit/>
          <w:trHeight w:hRule="exact" w:val="105"/>
          <w:jc w:val="center"/>
        </w:trPr>
        <w:tc>
          <w:tcPr>
            <w:tcW w:w="313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spacing w:before="0" w:after="0" w:line="288" w:lineRule="auto"/>
              <w:ind w:right="90"/>
              <w:jc w:val="right"/>
            </w:pP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spacing w:before="0" w:after="0" w:line="288" w:lineRule="auto"/>
              <w:ind w:right="90"/>
              <w:jc w:val="right"/>
            </w:pPr>
          </w:p>
        </w:tc>
        <w:tc>
          <w:tcPr>
            <w:tcW w:w="11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spacing w:before="0" w:after="0" w:line="288" w:lineRule="auto"/>
              <w:ind w:right="90"/>
              <w:jc w:val="right"/>
            </w:pPr>
          </w:p>
        </w:tc>
        <w:tc>
          <w:tcPr>
            <w:tcW w:w="136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spacing w:before="0" w:after="0" w:line="288" w:lineRule="auto"/>
              <w:ind w:right="90"/>
              <w:jc w:val="right"/>
            </w:pPr>
          </w:p>
        </w:tc>
        <w:tc>
          <w:tcPr>
            <w:tcW w:w="14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spacing w:before="0" w:after="0" w:line="288" w:lineRule="auto"/>
              <w:ind w:right="90"/>
              <w:jc w:val="right"/>
            </w:pP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i w:val="0"/>
                <w:color w:val="000000"/>
                <w:sz w:val="20"/>
                <w:u w:val="none"/>
              </w:rPr>
              <w:t>David Ni</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spacing w:before="0" w:after="0" w:line="288" w:lineRule="auto"/>
              <w:ind w:right="90"/>
              <w:jc w:val="right"/>
            </w:pP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spacing w:before="0" w:after="0" w:line="288" w:lineRule="auto"/>
              <w:ind w:right="90"/>
              <w:jc w:val="right"/>
            </w:pPr>
          </w:p>
        </w:tc>
        <w:tc>
          <w:tcPr>
            <w:tcW w:w="1155" w:type="dxa"/>
            <w:tcBorders>
              <w:top w:val="nil"/>
              <w:left w:val="nil"/>
              <w:bottom w:val="nil"/>
              <w:right w:val="nil"/>
            </w:tcBorders>
            <w:tcMar>
              <w:top w:w="0" w:type="dxa"/>
              <w:left w:w="0" w:type="dxa"/>
              <w:bottom w:w="0" w:type="dxa"/>
              <w:right w:w="15" w:type="dxa"/>
            </w:tcMar>
            <w:vAlign w:val="center"/>
          </w:tcPr>
          <w:p>
            <w:pPr>
              <w:keepNext/>
              <w:pageBreakBefore w:val="0"/>
              <w:spacing w:before="0" w:after="0" w:line="288" w:lineRule="auto"/>
              <w:ind w:right="90"/>
              <w:jc w:val="right"/>
            </w:pPr>
          </w:p>
        </w:tc>
        <w:tc>
          <w:tcPr>
            <w:tcW w:w="1365" w:type="dxa"/>
            <w:tcBorders>
              <w:top w:val="nil"/>
              <w:left w:val="nil"/>
              <w:bottom w:val="nil"/>
              <w:right w:val="nil"/>
            </w:tcBorders>
            <w:tcMar>
              <w:top w:w="0" w:type="dxa"/>
              <w:left w:w="0" w:type="dxa"/>
              <w:bottom w:w="0" w:type="dxa"/>
              <w:right w:w="15" w:type="dxa"/>
            </w:tcMar>
            <w:vAlign w:val="center"/>
          </w:tcPr>
          <w:p>
            <w:pPr>
              <w:keepNext/>
              <w:pageBreakBefore w:val="0"/>
              <w:spacing w:before="0" w:after="0" w:line="288" w:lineRule="auto"/>
              <w:ind w:right="90"/>
              <w:jc w:val="right"/>
            </w:pPr>
          </w:p>
        </w:tc>
        <w:tc>
          <w:tcPr>
            <w:tcW w:w="1455" w:type="dxa"/>
            <w:tcBorders>
              <w:top w:val="nil"/>
              <w:left w:val="nil"/>
              <w:bottom w:val="nil"/>
              <w:right w:val="nil"/>
            </w:tcBorders>
            <w:tcMar>
              <w:top w:w="0" w:type="dxa"/>
              <w:left w:w="0" w:type="dxa"/>
              <w:bottom w:w="0" w:type="dxa"/>
              <w:right w:w="15" w:type="dxa"/>
            </w:tcMar>
            <w:vAlign w:val="center"/>
          </w:tcPr>
          <w:p>
            <w:pPr>
              <w:keepNext/>
              <w:pageBreakBefore w:val="0"/>
              <w:spacing w:before="0" w:after="0" w:line="288" w:lineRule="auto"/>
              <w:ind w:right="90"/>
              <w:jc w:val="right"/>
            </w:pP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Base Salary</w:t>
            </w:r>
            <w:r>
              <w:rPr>
                <w:rFonts w:ascii="Arial" w:eastAsia="Arial" w:hAnsi="Arial" w:cs="Arial"/>
                <w:b w:val="0"/>
                <w:i w:val="0"/>
                <w:sz w:val="20"/>
                <w:vertAlign w:val="superscript"/>
              </w:rPr>
              <w:t>(2)</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tabs>
                <w:tab w:val="left" w:pos="516"/>
              </w:tabs>
              <w:spacing w:before="0" w:after="0" w:line="288" w:lineRule="auto"/>
              <w:ind w:right="90"/>
              <w:jc w:val="right"/>
            </w:pPr>
            <w:r>
              <w:rPr>
                <w:rFonts w:ascii="Arial" w:eastAsia="Arial" w:hAnsi="Arial" w:cs="Arial"/>
                <w:b w:val="0"/>
                <w:i w:val="0"/>
                <w:color w:val="000000"/>
                <w:sz w:val="20"/>
                <w:u w:val="none"/>
              </w:rPr>
              <w:t>$</w:t>
              <w:tab/>
              <w:t>900,000</w:t>
            </w:r>
          </w:p>
        </w:tc>
        <w:tc>
          <w:tcPr>
            <w:tcW w:w="1155" w:type="dxa"/>
            <w:tcBorders>
              <w:top w:val="nil"/>
              <w:left w:val="nil"/>
              <w:bottom w:val="nil"/>
              <w:right w:val="nil"/>
            </w:tcBorders>
            <w:tcMar>
              <w:top w:w="0" w:type="dxa"/>
              <w:left w:w="0" w:type="dxa"/>
              <w:bottom w:w="0" w:type="dxa"/>
              <w:right w:w="15" w:type="dxa"/>
            </w:tcMar>
            <w:vAlign w:val="center"/>
          </w:tcPr>
          <w:p>
            <w:pPr>
              <w:keepNext/>
              <w:pageBreakBefore w:val="0"/>
              <w:tabs>
                <w:tab w:val="left" w:pos="799"/>
              </w:tabs>
              <w:spacing w:before="0" w:after="0" w:line="288" w:lineRule="auto"/>
              <w:ind w:right="90"/>
              <w:jc w:val="right"/>
            </w:pPr>
            <w:r>
              <w:rPr>
                <w:rFonts w:ascii="Arial" w:eastAsia="Arial" w:hAnsi="Arial" w:cs="Arial"/>
                <w:b w:val="0"/>
                <w:i w:val="0"/>
                <w:color w:val="000000"/>
                <w:sz w:val="20"/>
                <w:u w:val="none"/>
              </w:rPr>
              <w:t>$</w:t>
              <w:tab/>
              <w:t>—</w:t>
            </w:r>
          </w:p>
        </w:tc>
        <w:tc>
          <w:tcPr>
            <w:tcW w:w="1365" w:type="dxa"/>
            <w:tcBorders>
              <w:top w:val="nil"/>
              <w:left w:val="nil"/>
              <w:bottom w:val="nil"/>
              <w:right w:val="nil"/>
            </w:tcBorders>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455" w:type="dxa"/>
            <w:tcBorders>
              <w:top w:val="nil"/>
              <w:left w:val="nil"/>
              <w:bottom w:val="nil"/>
              <w:right w:val="nil"/>
            </w:tcBorders>
            <w:tcMar>
              <w:top w:w="0" w:type="dxa"/>
              <w:left w:w="0" w:type="dxa"/>
              <w:bottom w:w="0" w:type="dxa"/>
              <w:right w:w="15" w:type="dxa"/>
            </w:tcMar>
            <w:vAlign w:val="center"/>
          </w:tcPr>
          <w:p>
            <w:pPr>
              <w:keepNext/>
              <w:pageBreakBefore w:val="0"/>
              <w:tabs>
                <w:tab w:val="left" w:pos="1099"/>
              </w:tabs>
              <w:spacing w:before="0" w:after="0" w:line="288" w:lineRule="auto"/>
              <w:ind w:right="90"/>
              <w:jc w:val="right"/>
            </w:pPr>
            <w:r>
              <w:rPr>
                <w:rFonts w:ascii="Arial" w:eastAsia="Arial" w:hAnsi="Arial" w:cs="Arial"/>
                <w:b w:val="0"/>
                <w:i w:val="0"/>
                <w:color w:val="000000"/>
                <w:sz w:val="20"/>
                <w:u w:val="none"/>
              </w:rPr>
              <w:t>$</w:t>
              <w:tab/>
              <w:t>—</w:t>
            </w: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Bonus</w:t>
            </w:r>
            <w:r>
              <w:rPr>
                <w:rFonts w:ascii="Arial" w:eastAsia="Arial" w:hAnsi="Arial" w:cs="Arial"/>
                <w:b w:val="0"/>
                <w:i w:val="0"/>
                <w:sz w:val="20"/>
                <w:vertAlign w:val="superscript"/>
              </w:rPr>
              <w:t>(3)</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tabs>
                <w:tab w:val="left" w:pos="350"/>
              </w:tabs>
              <w:spacing w:before="0" w:after="0" w:line="288" w:lineRule="auto"/>
              <w:ind w:right="90"/>
              <w:jc w:val="right"/>
            </w:pPr>
            <w:r>
              <w:rPr>
                <w:rFonts w:ascii="Arial" w:eastAsia="Arial" w:hAnsi="Arial" w:cs="Arial"/>
                <w:b w:val="0"/>
                <w:i w:val="0"/>
                <w:color w:val="000000"/>
                <w:sz w:val="20"/>
                <w:u w:val="none"/>
              </w:rPr>
              <w:t>$</w:t>
              <w:tab/>
              <w:t>1,357,845</w:t>
            </w:r>
          </w:p>
        </w:tc>
        <w:tc>
          <w:tcPr>
            <w:tcW w:w="1155" w:type="dxa"/>
            <w:tcBorders>
              <w:top w:val="nil"/>
              <w:left w:val="nil"/>
              <w:bottom w:val="nil"/>
              <w:right w:val="nil"/>
            </w:tcBorders>
            <w:tcMar>
              <w:top w:w="0" w:type="dxa"/>
              <w:left w:w="0" w:type="dxa"/>
              <w:bottom w:w="0" w:type="dxa"/>
              <w:right w:w="15" w:type="dxa"/>
            </w:tcMar>
            <w:vAlign w:val="center"/>
          </w:tcPr>
          <w:p>
            <w:pPr>
              <w:keepNext/>
              <w:pageBreakBefore w:val="0"/>
              <w:tabs>
                <w:tab w:val="left" w:pos="113"/>
              </w:tabs>
              <w:spacing w:before="0" w:after="0" w:line="288" w:lineRule="auto"/>
              <w:ind w:right="90"/>
              <w:jc w:val="right"/>
            </w:pPr>
            <w:r>
              <w:rPr>
                <w:rFonts w:ascii="Arial" w:eastAsia="Arial" w:hAnsi="Arial" w:cs="Arial"/>
                <w:b w:val="0"/>
                <w:i w:val="0"/>
                <w:color w:val="000000"/>
                <w:sz w:val="20"/>
                <w:u w:val="none"/>
              </w:rPr>
              <w:t>$</w:t>
              <w:tab/>
              <w:t>1,357,845</w:t>
            </w:r>
          </w:p>
        </w:tc>
        <w:tc>
          <w:tcPr>
            <w:tcW w:w="1365" w:type="dxa"/>
            <w:tcBorders>
              <w:top w:val="nil"/>
              <w:left w:val="nil"/>
              <w:bottom w:val="nil"/>
              <w:right w:val="nil"/>
            </w:tcBorders>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455" w:type="dxa"/>
            <w:tcBorders>
              <w:top w:val="nil"/>
              <w:left w:val="nil"/>
              <w:bottom w:val="nil"/>
              <w:right w:val="nil"/>
            </w:tcBorders>
            <w:tcMar>
              <w:top w:w="0" w:type="dxa"/>
              <w:left w:w="0" w:type="dxa"/>
              <w:bottom w:w="0" w:type="dxa"/>
              <w:right w:w="15" w:type="dxa"/>
            </w:tcMar>
            <w:vAlign w:val="center"/>
          </w:tcPr>
          <w:p>
            <w:pPr>
              <w:keepNext/>
              <w:pageBreakBefore w:val="0"/>
              <w:tabs>
                <w:tab w:val="left" w:pos="1099"/>
              </w:tabs>
              <w:spacing w:before="0" w:after="0" w:line="288" w:lineRule="auto"/>
              <w:ind w:right="90"/>
              <w:jc w:val="right"/>
            </w:pPr>
            <w:r>
              <w:rPr>
                <w:rFonts w:ascii="Arial" w:eastAsia="Arial" w:hAnsi="Arial" w:cs="Arial"/>
                <w:b w:val="0"/>
                <w:i w:val="0"/>
                <w:color w:val="000000"/>
                <w:sz w:val="20"/>
                <w:u w:val="none"/>
              </w:rPr>
              <w:t>$</w:t>
              <w:tab/>
              <w:t>—</w:t>
            </w: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Medical Benefits</w:t>
            </w:r>
            <w:r>
              <w:rPr>
                <w:rFonts w:ascii="Arial" w:eastAsia="Arial" w:hAnsi="Arial" w:cs="Arial"/>
                <w:b w:val="0"/>
                <w:i w:val="0"/>
                <w:sz w:val="20"/>
                <w:vertAlign w:val="superscript"/>
              </w:rPr>
              <w:t>(4)</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155" w:type="dxa"/>
            <w:tcBorders>
              <w:top w:val="nil"/>
              <w:left w:val="nil"/>
              <w:bottom w:val="nil"/>
              <w:right w:val="nil"/>
            </w:tcBorders>
            <w:tcMar>
              <w:top w:w="0" w:type="dxa"/>
              <w:left w:w="0" w:type="dxa"/>
              <w:bottom w:w="0" w:type="dxa"/>
              <w:right w:w="15" w:type="dxa"/>
            </w:tcMar>
            <w:vAlign w:val="center"/>
          </w:tcPr>
          <w:p>
            <w:pPr>
              <w:keepNext/>
              <w:pageBreakBefore w:val="0"/>
              <w:tabs>
                <w:tab w:val="left" w:pos="799"/>
              </w:tabs>
              <w:spacing w:before="0" w:after="0" w:line="288" w:lineRule="auto"/>
              <w:ind w:right="90"/>
              <w:jc w:val="right"/>
            </w:pPr>
            <w:r>
              <w:rPr>
                <w:rFonts w:ascii="Arial" w:eastAsia="Arial" w:hAnsi="Arial" w:cs="Arial"/>
                <w:b w:val="0"/>
                <w:i w:val="0"/>
                <w:color w:val="000000"/>
                <w:sz w:val="20"/>
                <w:u w:val="none"/>
              </w:rPr>
              <w:t>$</w:t>
              <w:tab/>
              <w:t>—</w:t>
            </w:r>
          </w:p>
        </w:tc>
        <w:tc>
          <w:tcPr>
            <w:tcW w:w="1365" w:type="dxa"/>
            <w:tcBorders>
              <w:top w:val="nil"/>
              <w:left w:val="nil"/>
              <w:bottom w:val="nil"/>
              <w:right w:val="nil"/>
            </w:tcBorders>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455" w:type="dxa"/>
            <w:tcBorders>
              <w:top w:val="nil"/>
              <w:left w:val="nil"/>
              <w:bottom w:val="nil"/>
              <w:right w:val="nil"/>
            </w:tcBorders>
            <w:tcMar>
              <w:top w:w="0" w:type="dxa"/>
              <w:left w:w="0" w:type="dxa"/>
              <w:bottom w:w="0" w:type="dxa"/>
              <w:right w:w="15" w:type="dxa"/>
            </w:tcMar>
            <w:vAlign w:val="center"/>
          </w:tcPr>
          <w:p>
            <w:pPr>
              <w:keepNext/>
              <w:pageBreakBefore w:val="0"/>
              <w:tabs>
                <w:tab w:val="left" w:pos="1099"/>
              </w:tabs>
              <w:spacing w:before="0" w:after="0" w:line="288" w:lineRule="auto"/>
              <w:ind w:right="90"/>
              <w:jc w:val="right"/>
            </w:pPr>
            <w:r>
              <w:rPr>
                <w:rFonts w:ascii="Arial" w:eastAsia="Arial" w:hAnsi="Arial" w:cs="Arial"/>
                <w:b w:val="0"/>
                <w:i w:val="0"/>
                <w:color w:val="000000"/>
                <w:sz w:val="20"/>
                <w:u w:val="none"/>
              </w:rPr>
              <w:t>$</w:t>
              <w:tab/>
              <w:t>—</w:t>
            </w: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Contractual Life Benefit</w:t>
            </w:r>
            <w:r>
              <w:rPr>
                <w:rFonts w:ascii="Arial" w:eastAsia="Arial" w:hAnsi="Arial" w:cs="Arial"/>
                <w:b w:val="0"/>
                <w:i w:val="0"/>
                <w:sz w:val="20"/>
                <w:vertAlign w:val="superscript"/>
              </w:rPr>
              <w:t>(5)</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155" w:type="dxa"/>
            <w:tcBorders>
              <w:top w:val="nil"/>
              <w:left w:val="nil"/>
              <w:bottom w:val="nil"/>
              <w:right w:val="nil"/>
            </w:tcBorders>
            <w:tcMar>
              <w:top w:w="0" w:type="dxa"/>
              <w:left w:w="0" w:type="dxa"/>
              <w:bottom w:w="0" w:type="dxa"/>
              <w:right w:w="15" w:type="dxa"/>
            </w:tcMar>
            <w:vAlign w:val="center"/>
          </w:tcPr>
          <w:p>
            <w:pPr>
              <w:keepNext/>
              <w:pageBreakBefore w:val="0"/>
              <w:tabs>
                <w:tab w:val="left" w:pos="799"/>
              </w:tabs>
              <w:spacing w:before="0" w:after="0" w:line="288" w:lineRule="auto"/>
              <w:ind w:right="90"/>
              <w:jc w:val="right"/>
            </w:pPr>
            <w:r>
              <w:rPr>
                <w:rFonts w:ascii="Arial" w:eastAsia="Arial" w:hAnsi="Arial" w:cs="Arial"/>
                <w:b w:val="0"/>
                <w:i w:val="0"/>
                <w:color w:val="000000"/>
                <w:sz w:val="20"/>
                <w:u w:val="none"/>
              </w:rPr>
              <w:t>$</w:t>
              <w:tab/>
              <w:t>—</w:t>
            </w:r>
          </w:p>
        </w:tc>
        <w:tc>
          <w:tcPr>
            <w:tcW w:w="1365" w:type="dxa"/>
            <w:tcBorders>
              <w:top w:val="nil"/>
              <w:left w:val="nil"/>
              <w:bottom w:val="nil"/>
              <w:right w:val="nil"/>
            </w:tcBorders>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455" w:type="dxa"/>
            <w:tcBorders>
              <w:top w:val="nil"/>
              <w:left w:val="nil"/>
              <w:bottom w:val="nil"/>
              <w:right w:val="nil"/>
            </w:tcBorders>
            <w:tcMar>
              <w:top w:w="0" w:type="dxa"/>
              <w:left w:w="0" w:type="dxa"/>
              <w:bottom w:w="0" w:type="dxa"/>
              <w:right w:w="15" w:type="dxa"/>
            </w:tcMar>
            <w:vAlign w:val="center"/>
          </w:tcPr>
          <w:p>
            <w:pPr>
              <w:keepNext/>
              <w:pageBreakBefore w:val="0"/>
              <w:tabs>
                <w:tab w:val="left" w:pos="1099"/>
              </w:tabs>
              <w:spacing w:before="0" w:after="0" w:line="288" w:lineRule="auto"/>
              <w:ind w:right="90"/>
              <w:jc w:val="right"/>
            </w:pPr>
            <w:r>
              <w:rPr>
                <w:rFonts w:ascii="Arial" w:eastAsia="Arial" w:hAnsi="Arial" w:cs="Arial"/>
                <w:b w:val="0"/>
                <w:i w:val="0"/>
                <w:color w:val="000000"/>
                <w:sz w:val="20"/>
                <w:u w:val="none"/>
              </w:rPr>
              <w:t>$</w:t>
              <w:tab/>
              <w:t>—</w:t>
            </w: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Accelerated Vesting</w:t>
            </w:r>
            <w:r>
              <w:rPr>
                <w:rFonts w:ascii="Arial" w:eastAsia="Arial" w:hAnsi="Arial" w:cs="Arial"/>
                <w:b w:val="0"/>
                <w:i w:val="0"/>
                <w:sz w:val="20"/>
                <w:vertAlign w:val="superscript"/>
              </w:rPr>
              <w:t>(</w:t>
            </w:r>
            <w:r>
              <w:rPr>
                <w:rFonts w:ascii="Arial" w:eastAsia="Arial" w:hAnsi="Arial" w:cs="Arial"/>
                <w:b w:val="0"/>
                <w:i w:val="0"/>
                <w:sz w:val="20"/>
                <w:vertAlign w:val="superscript"/>
              </w:rPr>
              <w:t>7</w:t>
            </w:r>
            <w:r>
              <w:rPr>
                <w:rFonts w:ascii="Arial" w:eastAsia="Arial" w:hAnsi="Arial" w:cs="Arial"/>
                <w:b w:val="0"/>
                <w:i w:val="0"/>
                <w:sz w:val="20"/>
                <w:vertAlign w:val="superscript"/>
              </w:rPr>
              <w:t>)</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tabs>
                <w:tab w:val="left" w:pos="350"/>
              </w:tabs>
              <w:spacing w:before="0" w:after="0" w:line="288" w:lineRule="auto"/>
              <w:ind w:right="90"/>
              <w:jc w:val="right"/>
            </w:pPr>
            <w:r>
              <w:rPr>
                <w:rFonts w:ascii="Arial" w:eastAsia="Arial" w:hAnsi="Arial" w:cs="Arial"/>
                <w:b w:val="0"/>
                <w:i w:val="0"/>
                <w:color w:val="000000"/>
                <w:sz w:val="20"/>
                <w:u w:val="none"/>
              </w:rPr>
              <w:t>$</w:t>
              <w:tab/>
              <w:t>5,856,289</w:t>
            </w:r>
          </w:p>
        </w:tc>
        <w:tc>
          <w:tcPr>
            <w:tcW w:w="1155" w:type="dxa"/>
            <w:tcBorders>
              <w:top w:val="nil"/>
              <w:left w:val="nil"/>
              <w:bottom w:val="nil"/>
              <w:right w:val="nil"/>
            </w:tcBorders>
            <w:tcMar>
              <w:top w:w="0" w:type="dxa"/>
              <w:left w:w="0" w:type="dxa"/>
              <w:bottom w:w="0" w:type="dxa"/>
              <w:right w:w="15" w:type="dxa"/>
            </w:tcMar>
            <w:vAlign w:val="center"/>
          </w:tcPr>
          <w:p>
            <w:pPr>
              <w:keepNext/>
              <w:pageBreakBefore w:val="0"/>
              <w:tabs>
                <w:tab w:val="left" w:pos="113"/>
              </w:tabs>
              <w:spacing w:before="0" w:after="0" w:line="288" w:lineRule="auto"/>
              <w:ind w:right="90"/>
              <w:jc w:val="right"/>
            </w:pPr>
            <w:r>
              <w:rPr>
                <w:rFonts w:ascii="Arial" w:eastAsia="Arial" w:hAnsi="Arial" w:cs="Arial"/>
                <w:b w:val="0"/>
                <w:i w:val="0"/>
                <w:color w:val="000000"/>
                <w:sz w:val="20"/>
                <w:u w:val="none"/>
              </w:rPr>
              <w:t>$</w:t>
              <w:tab/>
              <w:t>5,991,985</w:t>
            </w:r>
          </w:p>
        </w:tc>
        <w:tc>
          <w:tcPr>
            <w:tcW w:w="1365" w:type="dxa"/>
            <w:tcBorders>
              <w:top w:val="nil"/>
              <w:left w:val="nil"/>
              <w:bottom w:val="nil"/>
              <w:right w:val="nil"/>
            </w:tcBorders>
            <w:tcMar>
              <w:top w:w="0" w:type="dxa"/>
              <w:left w:w="0" w:type="dxa"/>
              <w:bottom w:w="0" w:type="dxa"/>
              <w:right w:w="15" w:type="dxa"/>
            </w:tcMar>
            <w:vAlign w:val="center"/>
          </w:tcPr>
          <w:p>
            <w:pPr>
              <w:keepNext/>
              <w:pageBreakBefore w:val="0"/>
              <w:tabs>
                <w:tab w:val="left" w:pos="320"/>
              </w:tabs>
              <w:spacing w:before="0" w:after="0" w:line="288" w:lineRule="auto"/>
              <w:ind w:right="90"/>
              <w:jc w:val="right"/>
            </w:pPr>
            <w:r>
              <w:rPr>
                <w:rFonts w:ascii="Arial" w:eastAsia="Arial" w:hAnsi="Arial" w:cs="Arial"/>
                <w:b w:val="0"/>
                <w:i w:val="0"/>
                <w:color w:val="000000"/>
                <w:sz w:val="20"/>
                <w:u w:val="none"/>
              </w:rPr>
              <w:t>$</w:t>
              <w:tab/>
              <w:t>5,856,289</w:t>
            </w:r>
          </w:p>
        </w:tc>
        <w:tc>
          <w:tcPr>
            <w:tcW w:w="1455" w:type="dxa"/>
            <w:tcBorders>
              <w:top w:val="nil"/>
              <w:left w:val="nil"/>
              <w:bottom w:val="nil"/>
              <w:right w:val="nil"/>
            </w:tcBorders>
            <w:tcMar>
              <w:top w:w="0" w:type="dxa"/>
              <w:left w:w="0" w:type="dxa"/>
              <w:bottom w:w="0" w:type="dxa"/>
              <w:right w:w="15" w:type="dxa"/>
            </w:tcMar>
            <w:vAlign w:val="center"/>
          </w:tcPr>
          <w:p>
            <w:pPr>
              <w:keepNext/>
              <w:pageBreakBefore w:val="0"/>
              <w:tabs>
                <w:tab w:val="left" w:pos="410"/>
              </w:tabs>
              <w:spacing w:before="0" w:after="0" w:line="288" w:lineRule="auto"/>
              <w:ind w:right="90"/>
              <w:jc w:val="right"/>
            </w:pPr>
            <w:r>
              <w:rPr>
                <w:rFonts w:ascii="Arial" w:eastAsia="Arial" w:hAnsi="Arial" w:cs="Arial"/>
                <w:b w:val="0"/>
                <w:i w:val="0"/>
                <w:color w:val="000000"/>
                <w:sz w:val="20"/>
                <w:u w:val="none"/>
              </w:rPr>
              <w:t>$</w:t>
              <w:tab/>
              <w:t>5,856,289</w:t>
            </w: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i w:val="0"/>
                <w:color w:val="000000"/>
                <w:sz w:val="20"/>
                <w:u w:val="none"/>
              </w:rPr>
              <w:t>TOTAL</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tabs>
                <w:tab w:val="left" w:pos="350"/>
              </w:tabs>
              <w:spacing w:before="0" w:after="0" w:line="288" w:lineRule="auto"/>
              <w:ind w:right="90"/>
              <w:jc w:val="right"/>
            </w:pPr>
            <w:r>
              <w:rPr>
                <w:rFonts w:ascii="Arial" w:eastAsia="Arial" w:hAnsi="Arial" w:cs="Arial"/>
                <w:b w:val="0"/>
                <w:i w:val="0"/>
                <w:color w:val="000000"/>
                <w:sz w:val="20"/>
                <w:u w:val="none"/>
              </w:rPr>
              <w:t>$</w:t>
              <w:tab/>
              <w:t>8,114,134</w:t>
            </w:r>
          </w:p>
        </w:tc>
        <w:tc>
          <w:tcPr>
            <w:tcW w:w="1155" w:type="dxa"/>
            <w:tcBorders>
              <w:top w:val="nil"/>
              <w:left w:val="nil"/>
              <w:bottom w:val="nil"/>
              <w:right w:val="nil"/>
            </w:tcBorders>
            <w:tcMar>
              <w:top w:w="0" w:type="dxa"/>
              <w:left w:w="0" w:type="dxa"/>
              <w:bottom w:w="0" w:type="dxa"/>
              <w:right w:w="15" w:type="dxa"/>
            </w:tcMar>
            <w:vAlign w:val="center"/>
          </w:tcPr>
          <w:p>
            <w:pPr>
              <w:keepNext/>
              <w:pageBreakBefore w:val="0"/>
              <w:tabs>
                <w:tab w:val="left" w:pos="113"/>
              </w:tabs>
              <w:spacing w:before="0" w:after="0" w:line="288" w:lineRule="auto"/>
              <w:ind w:right="90"/>
              <w:jc w:val="right"/>
            </w:pPr>
            <w:r>
              <w:rPr>
                <w:rFonts w:ascii="Arial" w:eastAsia="Arial" w:hAnsi="Arial" w:cs="Arial"/>
                <w:b w:val="0"/>
                <w:i w:val="0"/>
                <w:color w:val="000000"/>
                <w:sz w:val="20"/>
                <w:u w:val="none"/>
              </w:rPr>
              <w:t>$</w:t>
              <w:tab/>
              <w:t>7,349,829</w:t>
            </w:r>
          </w:p>
        </w:tc>
        <w:tc>
          <w:tcPr>
            <w:tcW w:w="1365" w:type="dxa"/>
            <w:tcBorders>
              <w:top w:val="nil"/>
              <w:left w:val="nil"/>
              <w:bottom w:val="nil"/>
              <w:right w:val="nil"/>
            </w:tcBorders>
            <w:tcMar>
              <w:top w:w="0" w:type="dxa"/>
              <w:left w:w="0" w:type="dxa"/>
              <w:bottom w:w="0" w:type="dxa"/>
              <w:right w:w="15" w:type="dxa"/>
            </w:tcMar>
            <w:vAlign w:val="center"/>
          </w:tcPr>
          <w:p>
            <w:pPr>
              <w:keepNext/>
              <w:pageBreakBefore w:val="0"/>
              <w:tabs>
                <w:tab w:val="left" w:pos="320"/>
              </w:tabs>
              <w:spacing w:before="0" w:after="0" w:line="288" w:lineRule="auto"/>
              <w:ind w:right="90"/>
              <w:jc w:val="right"/>
            </w:pPr>
            <w:r>
              <w:rPr>
                <w:rFonts w:ascii="Arial" w:eastAsia="Arial" w:hAnsi="Arial" w:cs="Arial"/>
                <w:b w:val="0"/>
                <w:i w:val="0"/>
                <w:color w:val="000000"/>
                <w:sz w:val="20"/>
                <w:u w:val="none"/>
              </w:rPr>
              <w:t>$</w:t>
              <w:tab/>
              <w:t>5,856,289</w:t>
            </w:r>
          </w:p>
        </w:tc>
        <w:tc>
          <w:tcPr>
            <w:tcW w:w="1455" w:type="dxa"/>
            <w:tcBorders>
              <w:top w:val="nil"/>
              <w:left w:val="nil"/>
              <w:bottom w:val="nil"/>
              <w:right w:val="nil"/>
            </w:tcBorders>
            <w:tcMar>
              <w:top w:w="0" w:type="dxa"/>
              <w:left w:w="0" w:type="dxa"/>
              <w:bottom w:w="0" w:type="dxa"/>
              <w:right w:w="15" w:type="dxa"/>
            </w:tcMar>
            <w:vAlign w:val="center"/>
          </w:tcPr>
          <w:p>
            <w:pPr>
              <w:keepNext/>
              <w:pageBreakBefore w:val="0"/>
              <w:tabs>
                <w:tab w:val="left" w:pos="410"/>
              </w:tabs>
              <w:spacing w:before="0" w:after="0" w:line="288" w:lineRule="auto"/>
              <w:ind w:right="90"/>
              <w:jc w:val="right"/>
            </w:pPr>
            <w:r>
              <w:rPr>
                <w:rFonts w:ascii="Arial" w:eastAsia="Arial" w:hAnsi="Arial" w:cs="Arial"/>
                <w:b w:val="0"/>
                <w:i w:val="0"/>
                <w:color w:val="000000"/>
                <w:sz w:val="20"/>
                <w:u w:val="none"/>
              </w:rPr>
              <w:t>$</w:t>
              <w:tab/>
              <w:t>5,856,289</w:t>
            </w:r>
          </w:p>
        </w:tc>
      </w:tr>
      <w:tr>
        <w:tblPrEx>
          <w:tblW w:w="9900" w:type="dxa"/>
          <w:jc w:val="center"/>
          <w:tblLayout w:type="fixed"/>
          <w:tblCellMar>
            <w:left w:w="108" w:type="dxa"/>
            <w:right w:w="108" w:type="dxa"/>
          </w:tblCellMar>
        </w:tblPrEx>
        <w:trPr>
          <w:cantSplit/>
          <w:trHeight w:hRule="exact" w:val="105"/>
          <w:jc w:val="center"/>
        </w:trPr>
        <w:tc>
          <w:tcPr>
            <w:tcW w:w="31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i w:val="0"/>
                <w:sz w:val="20"/>
                <w:vertAlign w:val="superscript"/>
              </w:rPr>
            </w:pPr>
            <w:r>
              <w:rPr>
                <w:rFonts w:ascii="Arial" w:eastAsia="Arial" w:hAnsi="Arial" w:cs="Arial"/>
                <w:b/>
                <w:i w:val="0"/>
                <w:sz w:val="20"/>
              </w:rPr>
              <w:t>Paul Brockman</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spacing w:before="0" w:after="0" w:line="288" w:lineRule="auto"/>
              <w:ind w:right="90"/>
              <w:jc w:val="right"/>
            </w:pP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spacing w:before="0" w:after="0" w:line="288" w:lineRule="auto"/>
              <w:ind w:right="90"/>
              <w:jc w:val="right"/>
            </w:pPr>
          </w:p>
        </w:tc>
        <w:tc>
          <w:tcPr>
            <w:tcW w:w="11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spacing w:before="0" w:after="0" w:line="288" w:lineRule="auto"/>
              <w:ind w:right="90"/>
              <w:jc w:val="right"/>
            </w:pPr>
          </w:p>
        </w:tc>
        <w:tc>
          <w:tcPr>
            <w:tcW w:w="136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spacing w:before="0" w:after="0" w:line="288" w:lineRule="auto"/>
              <w:ind w:right="90"/>
              <w:jc w:val="right"/>
            </w:pPr>
          </w:p>
        </w:tc>
        <w:tc>
          <w:tcPr>
            <w:tcW w:w="14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spacing w:before="0" w:after="0" w:line="288" w:lineRule="auto"/>
              <w:ind w:right="90"/>
              <w:jc w:val="right"/>
            </w:pP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Base Salary</w:t>
            </w:r>
            <w:r>
              <w:rPr>
                <w:rFonts w:ascii="Arial" w:eastAsia="Arial" w:hAnsi="Arial" w:cs="Arial"/>
                <w:b w:val="0"/>
                <w:i w:val="0"/>
                <w:sz w:val="20"/>
                <w:vertAlign w:val="superscript"/>
              </w:rPr>
              <w:t>(2)</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516"/>
              </w:tabs>
              <w:spacing w:before="0" w:after="0" w:line="288" w:lineRule="auto"/>
              <w:ind w:right="90"/>
              <w:jc w:val="right"/>
            </w:pPr>
            <w:r>
              <w:rPr>
                <w:rFonts w:ascii="Arial" w:eastAsia="Arial" w:hAnsi="Arial" w:cs="Arial"/>
                <w:b w:val="0"/>
                <w:i w:val="0"/>
                <w:color w:val="000000"/>
                <w:sz w:val="20"/>
                <w:u w:val="none"/>
              </w:rPr>
              <w:t>$</w:t>
              <w:tab/>
              <w:t>800,000</w:t>
            </w:r>
          </w:p>
        </w:tc>
        <w:tc>
          <w:tcPr>
            <w:tcW w:w="11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799"/>
              </w:tabs>
              <w:spacing w:before="0" w:after="0" w:line="288" w:lineRule="auto"/>
              <w:ind w:right="90"/>
              <w:jc w:val="right"/>
            </w:pPr>
            <w:r>
              <w:rPr>
                <w:rFonts w:ascii="Arial" w:eastAsia="Arial" w:hAnsi="Arial" w:cs="Arial"/>
                <w:b w:val="0"/>
                <w:i w:val="0"/>
                <w:color w:val="000000"/>
                <w:sz w:val="20"/>
                <w:u w:val="none"/>
              </w:rPr>
              <w:t>$</w:t>
              <w:tab/>
              <w:t>—</w:t>
            </w:r>
          </w:p>
        </w:tc>
        <w:tc>
          <w:tcPr>
            <w:tcW w:w="136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4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576"/>
              </w:tabs>
              <w:spacing w:before="0" w:after="0" w:line="288" w:lineRule="auto"/>
              <w:ind w:right="90"/>
              <w:jc w:val="right"/>
            </w:pPr>
            <w:r>
              <w:rPr>
                <w:rFonts w:ascii="Arial" w:eastAsia="Arial" w:hAnsi="Arial" w:cs="Arial"/>
                <w:b w:val="0"/>
                <w:i w:val="0"/>
                <w:color w:val="000000"/>
                <w:sz w:val="20"/>
                <w:u w:val="none"/>
              </w:rPr>
              <w:t>$</w:t>
              <w:tab/>
              <w:t>400,000</w:t>
            </w: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Bonus</w:t>
            </w:r>
            <w:r>
              <w:rPr>
                <w:rFonts w:ascii="Arial" w:eastAsia="Arial" w:hAnsi="Arial" w:cs="Arial"/>
                <w:b w:val="0"/>
                <w:i w:val="0"/>
                <w:sz w:val="20"/>
                <w:vertAlign w:val="superscript"/>
              </w:rPr>
              <w:t>(3)</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350"/>
              </w:tabs>
              <w:spacing w:before="0" w:after="0" w:line="288" w:lineRule="auto"/>
              <w:ind w:right="90"/>
              <w:jc w:val="right"/>
            </w:pPr>
            <w:r>
              <w:rPr>
                <w:rFonts w:ascii="Arial" w:eastAsia="Arial" w:hAnsi="Arial" w:cs="Arial"/>
                <w:b w:val="0"/>
                <w:i w:val="0"/>
                <w:color w:val="000000"/>
                <w:sz w:val="20"/>
                <w:u w:val="none"/>
              </w:rPr>
              <w:t>$</w:t>
              <w:tab/>
              <w:t>1,041,670</w:t>
            </w:r>
          </w:p>
        </w:tc>
        <w:tc>
          <w:tcPr>
            <w:tcW w:w="11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13"/>
              </w:tabs>
              <w:spacing w:before="0" w:after="0" w:line="288" w:lineRule="auto"/>
              <w:ind w:right="90"/>
              <w:jc w:val="right"/>
            </w:pPr>
            <w:r>
              <w:rPr>
                <w:rFonts w:ascii="Arial" w:eastAsia="Arial" w:hAnsi="Arial" w:cs="Arial"/>
                <w:b w:val="0"/>
                <w:i w:val="0"/>
                <w:color w:val="000000"/>
                <w:sz w:val="20"/>
                <w:u w:val="none"/>
              </w:rPr>
              <w:t>$</w:t>
              <w:tab/>
              <w:t>1,041,670</w:t>
            </w:r>
          </w:p>
        </w:tc>
        <w:tc>
          <w:tcPr>
            <w:tcW w:w="136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4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410"/>
              </w:tabs>
              <w:spacing w:before="0" w:after="0" w:line="288" w:lineRule="auto"/>
              <w:ind w:right="90"/>
              <w:jc w:val="right"/>
            </w:pPr>
            <w:r>
              <w:rPr>
                <w:rFonts w:ascii="Arial" w:eastAsia="Arial" w:hAnsi="Arial" w:cs="Arial"/>
                <w:b w:val="0"/>
                <w:i w:val="0"/>
                <w:color w:val="000000"/>
                <w:sz w:val="20"/>
                <w:u w:val="none"/>
              </w:rPr>
              <w:t>$</w:t>
              <w:tab/>
              <w:t>1,041,670</w:t>
            </w: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Medical Benefits</w:t>
            </w:r>
            <w:r>
              <w:rPr>
                <w:rFonts w:ascii="Arial" w:eastAsia="Arial" w:hAnsi="Arial" w:cs="Arial"/>
                <w:b w:val="0"/>
                <w:i w:val="0"/>
                <w:sz w:val="20"/>
                <w:vertAlign w:val="superscript"/>
              </w:rPr>
              <w:t>(4)</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1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799"/>
              </w:tabs>
              <w:spacing w:before="0" w:after="0" w:line="288" w:lineRule="auto"/>
              <w:ind w:right="90"/>
              <w:jc w:val="right"/>
            </w:pPr>
            <w:r>
              <w:rPr>
                <w:rFonts w:ascii="Arial" w:eastAsia="Arial" w:hAnsi="Arial" w:cs="Arial"/>
                <w:b w:val="0"/>
                <w:i w:val="0"/>
                <w:color w:val="000000"/>
                <w:sz w:val="20"/>
                <w:u w:val="none"/>
              </w:rPr>
              <w:t>$</w:t>
              <w:tab/>
              <w:t>—</w:t>
            </w:r>
          </w:p>
        </w:tc>
        <w:tc>
          <w:tcPr>
            <w:tcW w:w="136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4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99"/>
              </w:tabs>
              <w:spacing w:before="0" w:after="0" w:line="288" w:lineRule="auto"/>
              <w:ind w:right="90"/>
              <w:jc w:val="right"/>
            </w:pPr>
            <w:r>
              <w:rPr>
                <w:rFonts w:ascii="Arial" w:eastAsia="Arial" w:hAnsi="Arial" w:cs="Arial"/>
                <w:b w:val="0"/>
                <w:i w:val="0"/>
                <w:color w:val="000000"/>
                <w:sz w:val="20"/>
                <w:u w:val="none"/>
              </w:rPr>
              <w:t>$</w:t>
              <w:tab/>
              <w:t>—</w:t>
            </w: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Contractual Life Benefit</w:t>
            </w:r>
            <w:r>
              <w:rPr>
                <w:rFonts w:ascii="Arial" w:eastAsia="Arial" w:hAnsi="Arial" w:cs="Arial"/>
                <w:b w:val="0"/>
                <w:i w:val="0"/>
                <w:sz w:val="20"/>
                <w:vertAlign w:val="superscript"/>
              </w:rPr>
              <w:t>(5)</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1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799"/>
              </w:tabs>
              <w:spacing w:before="0" w:after="0" w:line="288" w:lineRule="auto"/>
              <w:ind w:right="90"/>
              <w:jc w:val="right"/>
            </w:pPr>
            <w:r>
              <w:rPr>
                <w:rFonts w:ascii="Arial" w:eastAsia="Arial" w:hAnsi="Arial" w:cs="Arial"/>
                <w:b w:val="0"/>
                <w:i w:val="0"/>
                <w:color w:val="000000"/>
                <w:sz w:val="20"/>
                <w:u w:val="none"/>
              </w:rPr>
              <w:t>$</w:t>
              <w:tab/>
              <w:t>—</w:t>
            </w:r>
          </w:p>
        </w:tc>
        <w:tc>
          <w:tcPr>
            <w:tcW w:w="136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4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99"/>
              </w:tabs>
              <w:spacing w:before="0" w:after="0" w:line="288" w:lineRule="auto"/>
              <w:ind w:right="90"/>
              <w:jc w:val="right"/>
            </w:pPr>
            <w:r>
              <w:rPr>
                <w:rFonts w:ascii="Arial" w:eastAsia="Arial" w:hAnsi="Arial" w:cs="Arial"/>
                <w:b w:val="0"/>
                <w:i w:val="0"/>
                <w:color w:val="000000"/>
                <w:sz w:val="20"/>
                <w:u w:val="none"/>
              </w:rPr>
              <w:t>$</w:t>
              <w:tab/>
              <w:t>—</w:t>
            </w: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Accelerated Vesting</w:t>
            </w:r>
            <w:r>
              <w:rPr>
                <w:rFonts w:ascii="Arial" w:eastAsia="Arial" w:hAnsi="Arial" w:cs="Arial"/>
                <w:b w:val="0"/>
                <w:i w:val="0"/>
                <w:sz w:val="20"/>
                <w:vertAlign w:val="superscript"/>
              </w:rPr>
              <w:t>(</w:t>
            </w:r>
            <w:r>
              <w:rPr>
                <w:rFonts w:ascii="Arial" w:eastAsia="Arial" w:hAnsi="Arial" w:cs="Arial"/>
                <w:b w:val="0"/>
                <w:i w:val="0"/>
                <w:sz w:val="20"/>
                <w:vertAlign w:val="superscript"/>
              </w:rPr>
              <w:t>7</w:t>
            </w:r>
            <w:r>
              <w:rPr>
                <w:rFonts w:ascii="Arial" w:eastAsia="Arial" w:hAnsi="Arial" w:cs="Arial"/>
                <w:b w:val="0"/>
                <w:i w:val="0"/>
                <w:sz w:val="20"/>
                <w:vertAlign w:val="superscript"/>
              </w:rPr>
              <w:t>)</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350"/>
              </w:tabs>
              <w:spacing w:before="0" w:after="0" w:line="288" w:lineRule="auto"/>
              <w:ind w:right="90"/>
              <w:jc w:val="right"/>
            </w:pPr>
            <w:r>
              <w:rPr>
                <w:rFonts w:ascii="Arial" w:eastAsia="Arial" w:hAnsi="Arial" w:cs="Arial"/>
                <w:b w:val="0"/>
                <w:i w:val="0"/>
                <w:color w:val="000000"/>
                <w:sz w:val="20"/>
                <w:u w:val="none"/>
              </w:rPr>
              <w:t>$</w:t>
              <w:tab/>
              <w:t>5,085,779</w:t>
            </w:r>
          </w:p>
        </w:tc>
        <w:tc>
          <w:tcPr>
            <w:tcW w:w="11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13"/>
              </w:tabs>
              <w:spacing w:before="0" w:after="0" w:line="288" w:lineRule="auto"/>
              <w:ind w:right="90"/>
              <w:jc w:val="right"/>
            </w:pPr>
            <w:r>
              <w:rPr>
                <w:rFonts w:ascii="Arial" w:eastAsia="Arial" w:hAnsi="Arial" w:cs="Arial"/>
                <w:b w:val="0"/>
                <w:i w:val="0"/>
                <w:color w:val="000000"/>
                <w:sz w:val="20"/>
                <w:u w:val="none"/>
              </w:rPr>
              <w:t>$</w:t>
              <w:tab/>
              <w:t>5,300,360</w:t>
            </w:r>
          </w:p>
        </w:tc>
        <w:tc>
          <w:tcPr>
            <w:tcW w:w="136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320"/>
              </w:tabs>
              <w:spacing w:before="0" w:after="0" w:line="288" w:lineRule="auto"/>
              <w:ind w:right="90"/>
              <w:jc w:val="right"/>
            </w:pPr>
            <w:r>
              <w:rPr>
                <w:rFonts w:ascii="Arial" w:eastAsia="Arial" w:hAnsi="Arial" w:cs="Arial"/>
                <w:b w:val="0"/>
                <w:i w:val="0"/>
                <w:color w:val="000000"/>
                <w:sz w:val="20"/>
                <w:u w:val="none"/>
              </w:rPr>
              <w:t>$</w:t>
              <w:tab/>
              <w:t>5,085,779</w:t>
            </w:r>
          </w:p>
        </w:tc>
        <w:tc>
          <w:tcPr>
            <w:tcW w:w="14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410"/>
              </w:tabs>
              <w:spacing w:before="0" w:after="0" w:line="288" w:lineRule="auto"/>
              <w:ind w:right="90"/>
              <w:jc w:val="right"/>
            </w:pPr>
            <w:r>
              <w:rPr>
                <w:rFonts w:ascii="Arial" w:eastAsia="Arial" w:hAnsi="Arial" w:cs="Arial"/>
                <w:b w:val="0"/>
                <w:i w:val="0"/>
                <w:color w:val="000000"/>
                <w:sz w:val="20"/>
                <w:u w:val="none"/>
              </w:rPr>
              <w:t>$</w:t>
              <w:tab/>
              <w:t>5,085,779</w:t>
            </w:r>
          </w:p>
        </w:tc>
      </w:tr>
      <w:tr>
        <w:tblPrEx>
          <w:tblW w:w="9900" w:type="dxa"/>
          <w:jc w:val="center"/>
          <w:tblLayout w:type="fixed"/>
          <w:tblCellMar>
            <w:left w:w="108" w:type="dxa"/>
            <w:right w:w="108" w:type="dxa"/>
          </w:tblCellMar>
        </w:tblPrEx>
        <w:trPr>
          <w:cantSplit/>
          <w:trHeight w:hRule="exact" w:val="255"/>
          <w:jc w:val="center"/>
        </w:trPr>
        <w:tc>
          <w:tcPr>
            <w:tcW w:w="3135" w:type="dxa"/>
            <w:tcBorders>
              <w:top w:val="nil"/>
              <w:left w:val="nil"/>
              <w:bottom w:val="nil"/>
              <w:right w:val="nil"/>
            </w:tcBorders>
            <w:shd w:val="clear" w:color="auto" w:fill="DBDBDB"/>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i w:val="0"/>
                <w:color w:val="000000"/>
                <w:sz w:val="20"/>
                <w:u w:val="none"/>
              </w:rPr>
              <w:t>TOTAL</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350"/>
              </w:tabs>
              <w:spacing w:before="0" w:after="0" w:line="288" w:lineRule="auto"/>
              <w:ind w:right="90"/>
              <w:jc w:val="right"/>
            </w:pPr>
            <w:r>
              <w:rPr>
                <w:rFonts w:ascii="Arial" w:eastAsia="Arial" w:hAnsi="Arial" w:cs="Arial"/>
                <w:b w:val="0"/>
                <w:i w:val="0"/>
                <w:color w:val="000000"/>
                <w:sz w:val="20"/>
                <w:u w:val="none"/>
              </w:rPr>
              <w:t>$</w:t>
              <w:tab/>
              <w:t>6,927,449</w:t>
            </w:r>
          </w:p>
        </w:tc>
        <w:tc>
          <w:tcPr>
            <w:tcW w:w="11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113"/>
              </w:tabs>
              <w:spacing w:before="0" w:after="0" w:line="288" w:lineRule="auto"/>
              <w:ind w:right="90"/>
              <w:jc w:val="right"/>
            </w:pPr>
            <w:r>
              <w:rPr>
                <w:rFonts w:ascii="Arial" w:eastAsia="Arial" w:hAnsi="Arial" w:cs="Arial"/>
                <w:b w:val="0"/>
                <w:i w:val="0"/>
                <w:color w:val="000000"/>
                <w:sz w:val="20"/>
                <w:u w:val="none"/>
              </w:rPr>
              <w:t>$</w:t>
              <w:tab/>
              <w:t>6,342,030</w:t>
            </w:r>
          </w:p>
        </w:tc>
        <w:tc>
          <w:tcPr>
            <w:tcW w:w="136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320"/>
              </w:tabs>
              <w:spacing w:before="0" w:after="0" w:line="288" w:lineRule="auto"/>
              <w:ind w:right="90"/>
              <w:jc w:val="right"/>
            </w:pPr>
            <w:r>
              <w:rPr>
                <w:rFonts w:ascii="Arial" w:eastAsia="Arial" w:hAnsi="Arial" w:cs="Arial"/>
                <w:b w:val="0"/>
                <w:i w:val="0"/>
                <w:color w:val="000000"/>
                <w:sz w:val="20"/>
                <w:u w:val="none"/>
              </w:rPr>
              <w:t>$</w:t>
              <w:tab/>
              <w:t>5,085,779</w:t>
            </w:r>
          </w:p>
        </w:tc>
        <w:tc>
          <w:tcPr>
            <w:tcW w:w="1455" w:type="dxa"/>
            <w:tcBorders>
              <w:top w:val="nil"/>
              <w:left w:val="nil"/>
              <w:bottom w:val="nil"/>
              <w:right w:val="nil"/>
            </w:tcBorders>
            <w:shd w:val="clear" w:color="auto" w:fill="DBDBDB"/>
            <w:tcMar>
              <w:top w:w="0" w:type="dxa"/>
              <w:left w:w="0" w:type="dxa"/>
              <w:bottom w:w="0" w:type="dxa"/>
              <w:right w:w="15" w:type="dxa"/>
            </w:tcMar>
            <w:vAlign w:val="center"/>
          </w:tcPr>
          <w:p>
            <w:pPr>
              <w:keepNext/>
              <w:pageBreakBefore w:val="0"/>
              <w:tabs>
                <w:tab w:val="left" w:pos="410"/>
              </w:tabs>
              <w:spacing w:before="0" w:after="0" w:line="288" w:lineRule="auto"/>
              <w:ind w:right="90"/>
              <w:jc w:val="right"/>
            </w:pPr>
            <w:r>
              <w:rPr>
                <w:rFonts w:ascii="Arial" w:eastAsia="Arial" w:hAnsi="Arial" w:cs="Arial"/>
                <w:b w:val="0"/>
                <w:i w:val="0"/>
                <w:color w:val="000000"/>
                <w:sz w:val="20"/>
                <w:u w:val="none"/>
              </w:rPr>
              <w:t>$</w:t>
              <w:tab/>
              <w:t>6,527,449</w:t>
            </w:r>
          </w:p>
        </w:tc>
      </w:tr>
      <w:tr>
        <w:tblPrEx>
          <w:tblW w:w="9900" w:type="dxa"/>
          <w:jc w:val="center"/>
          <w:tblLayout w:type="fixed"/>
          <w:tblCellMar>
            <w:left w:w="108" w:type="dxa"/>
            <w:right w:w="108" w:type="dxa"/>
          </w:tblCellMar>
        </w:tblPrEx>
        <w:trPr>
          <w:cantSplit/>
          <w:trHeight w:hRule="exact" w:val="60"/>
          <w:jc w:val="center"/>
        </w:trPr>
        <w:tc>
          <w:tcPr>
            <w:tcW w:w="313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9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9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15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45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r>
      <w:tr>
        <w:tblPrEx>
          <w:tblW w:w="9900" w:type="dxa"/>
          <w:jc w:val="center"/>
          <w:tblLayout w:type="fixed"/>
          <w:tblCellMar>
            <w:left w:w="108" w:type="dxa"/>
            <w:right w:w="108" w:type="dxa"/>
          </w:tblCellMar>
        </w:tblPrEx>
        <w:trPr>
          <w:cantSplit/>
          <w:trHeight w:hRule="exact" w:val="315"/>
          <w:jc w:val="center"/>
        </w:trPr>
        <w:tc>
          <w:tcPr>
            <w:tcW w:w="313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i w:val="0"/>
                <w:sz w:val="20"/>
                <w:vertAlign w:val="superscript"/>
              </w:rPr>
            </w:pPr>
            <w:r>
              <w:rPr>
                <w:rFonts w:ascii="Arial" w:eastAsia="Arial" w:hAnsi="Arial" w:cs="Arial"/>
                <w:b/>
                <w:i w:val="0"/>
                <w:sz w:val="20"/>
              </w:rPr>
              <w:t>Nazar Alobaidat</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spacing w:before="0" w:after="0" w:line="288" w:lineRule="auto"/>
              <w:ind w:right="90"/>
              <w:jc w:val="right"/>
            </w:pP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spacing w:before="0" w:after="0" w:line="288" w:lineRule="auto"/>
              <w:ind w:right="90"/>
              <w:jc w:val="right"/>
            </w:pPr>
          </w:p>
        </w:tc>
        <w:tc>
          <w:tcPr>
            <w:tcW w:w="1155" w:type="dxa"/>
            <w:tcBorders>
              <w:top w:val="nil"/>
              <w:left w:val="nil"/>
              <w:bottom w:val="nil"/>
              <w:right w:val="nil"/>
            </w:tcBorders>
            <w:tcMar>
              <w:top w:w="0" w:type="dxa"/>
              <w:left w:w="0" w:type="dxa"/>
              <w:bottom w:w="0" w:type="dxa"/>
              <w:right w:w="15" w:type="dxa"/>
            </w:tcMar>
            <w:vAlign w:val="center"/>
          </w:tcPr>
          <w:p>
            <w:pPr>
              <w:keepNext/>
              <w:pageBreakBefore w:val="0"/>
              <w:spacing w:before="0" w:after="0" w:line="288" w:lineRule="auto"/>
              <w:ind w:right="90"/>
              <w:jc w:val="right"/>
            </w:pPr>
          </w:p>
        </w:tc>
        <w:tc>
          <w:tcPr>
            <w:tcW w:w="1365" w:type="dxa"/>
            <w:tcBorders>
              <w:top w:val="nil"/>
              <w:left w:val="nil"/>
              <w:bottom w:val="nil"/>
              <w:right w:val="nil"/>
            </w:tcBorders>
            <w:tcMar>
              <w:top w:w="0" w:type="dxa"/>
              <w:left w:w="0" w:type="dxa"/>
              <w:bottom w:w="0" w:type="dxa"/>
              <w:right w:w="15" w:type="dxa"/>
            </w:tcMar>
            <w:vAlign w:val="center"/>
          </w:tcPr>
          <w:p>
            <w:pPr>
              <w:keepNext/>
              <w:pageBreakBefore w:val="0"/>
              <w:spacing w:before="0" w:after="0" w:line="288" w:lineRule="auto"/>
              <w:ind w:right="90"/>
              <w:jc w:val="right"/>
            </w:pPr>
          </w:p>
        </w:tc>
        <w:tc>
          <w:tcPr>
            <w:tcW w:w="1455" w:type="dxa"/>
            <w:tcBorders>
              <w:top w:val="nil"/>
              <w:left w:val="nil"/>
              <w:bottom w:val="nil"/>
              <w:right w:val="nil"/>
            </w:tcBorders>
            <w:tcMar>
              <w:top w:w="0" w:type="dxa"/>
              <w:left w:w="0" w:type="dxa"/>
              <w:bottom w:w="0" w:type="dxa"/>
              <w:right w:w="15" w:type="dxa"/>
            </w:tcMar>
            <w:vAlign w:val="center"/>
          </w:tcPr>
          <w:p>
            <w:pPr>
              <w:keepNext/>
              <w:pageBreakBefore w:val="0"/>
              <w:spacing w:before="0" w:after="0" w:line="288" w:lineRule="auto"/>
              <w:ind w:right="90"/>
              <w:jc w:val="right"/>
            </w:pPr>
          </w:p>
        </w:tc>
      </w:tr>
      <w:tr>
        <w:tblPrEx>
          <w:tblW w:w="9900" w:type="dxa"/>
          <w:jc w:val="center"/>
          <w:tblLayout w:type="fixed"/>
          <w:tblCellMar>
            <w:left w:w="108" w:type="dxa"/>
            <w:right w:w="108" w:type="dxa"/>
          </w:tblCellMar>
        </w:tblPrEx>
        <w:trPr>
          <w:cantSplit/>
          <w:trHeight w:hRule="exact" w:val="315"/>
          <w:jc w:val="center"/>
        </w:trPr>
        <w:tc>
          <w:tcPr>
            <w:tcW w:w="313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Base Salary</w:t>
            </w:r>
            <w:r>
              <w:rPr>
                <w:rFonts w:ascii="Arial" w:eastAsia="Arial" w:hAnsi="Arial" w:cs="Arial"/>
                <w:b w:val="0"/>
                <w:i w:val="0"/>
                <w:sz w:val="20"/>
                <w:vertAlign w:val="superscript"/>
              </w:rPr>
              <w:t>(2)</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tabs>
                <w:tab w:val="left" w:pos="516"/>
              </w:tabs>
              <w:spacing w:before="0" w:after="0" w:line="288" w:lineRule="auto"/>
              <w:ind w:right="90"/>
              <w:jc w:val="right"/>
            </w:pPr>
            <w:r>
              <w:rPr>
                <w:rFonts w:ascii="Arial" w:eastAsia="Arial" w:hAnsi="Arial" w:cs="Arial"/>
                <w:b w:val="0"/>
                <w:i w:val="0"/>
                <w:color w:val="000000"/>
                <w:sz w:val="20"/>
                <w:u w:val="none"/>
              </w:rPr>
              <w:t>$</w:t>
              <w:tab/>
              <w:t>650,000</w:t>
            </w:r>
          </w:p>
        </w:tc>
        <w:tc>
          <w:tcPr>
            <w:tcW w:w="1155" w:type="dxa"/>
            <w:tcBorders>
              <w:top w:val="nil"/>
              <w:left w:val="nil"/>
              <w:bottom w:val="nil"/>
              <w:right w:val="nil"/>
            </w:tcBorders>
            <w:tcMar>
              <w:top w:w="0" w:type="dxa"/>
              <w:left w:w="0" w:type="dxa"/>
              <w:bottom w:w="0" w:type="dxa"/>
              <w:right w:w="15" w:type="dxa"/>
            </w:tcMar>
            <w:vAlign w:val="center"/>
          </w:tcPr>
          <w:p>
            <w:pPr>
              <w:keepNext/>
              <w:pageBreakBefore w:val="0"/>
              <w:tabs>
                <w:tab w:val="left" w:pos="799"/>
              </w:tabs>
              <w:spacing w:before="0" w:after="0" w:line="288" w:lineRule="auto"/>
              <w:ind w:right="90"/>
              <w:jc w:val="right"/>
            </w:pPr>
            <w:r>
              <w:rPr>
                <w:rFonts w:ascii="Arial" w:eastAsia="Arial" w:hAnsi="Arial" w:cs="Arial"/>
                <w:b w:val="0"/>
                <w:i w:val="0"/>
                <w:color w:val="000000"/>
                <w:sz w:val="20"/>
                <w:u w:val="none"/>
              </w:rPr>
              <w:t>$</w:t>
              <w:tab/>
              <w:t>—</w:t>
            </w:r>
          </w:p>
        </w:tc>
        <w:tc>
          <w:tcPr>
            <w:tcW w:w="1365" w:type="dxa"/>
            <w:tcBorders>
              <w:top w:val="nil"/>
              <w:left w:val="nil"/>
              <w:bottom w:val="nil"/>
              <w:right w:val="nil"/>
            </w:tcBorders>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455" w:type="dxa"/>
            <w:tcBorders>
              <w:top w:val="nil"/>
              <w:left w:val="nil"/>
              <w:bottom w:val="nil"/>
              <w:right w:val="nil"/>
            </w:tcBorders>
            <w:tcMar>
              <w:top w:w="0" w:type="dxa"/>
              <w:left w:w="0" w:type="dxa"/>
              <w:bottom w:w="0" w:type="dxa"/>
              <w:right w:w="15" w:type="dxa"/>
            </w:tcMar>
            <w:vAlign w:val="center"/>
          </w:tcPr>
          <w:p>
            <w:pPr>
              <w:keepNext/>
              <w:pageBreakBefore w:val="0"/>
              <w:tabs>
                <w:tab w:val="left" w:pos="576"/>
              </w:tabs>
              <w:spacing w:before="0" w:after="0" w:line="288" w:lineRule="auto"/>
              <w:ind w:right="90"/>
              <w:jc w:val="right"/>
            </w:pPr>
            <w:r>
              <w:rPr>
                <w:rFonts w:ascii="Arial" w:eastAsia="Arial" w:hAnsi="Arial" w:cs="Arial"/>
                <w:b w:val="0"/>
                <w:i w:val="0"/>
                <w:color w:val="000000"/>
                <w:sz w:val="20"/>
                <w:u w:val="none"/>
              </w:rPr>
              <w:t>$</w:t>
              <w:tab/>
              <w:t>325,000</w:t>
            </w:r>
          </w:p>
        </w:tc>
      </w:tr>
      <w:tr>
        <w:tblPrEx>
          <w:tblW w:w="9900" w:type="dxa"/>
          <w:jc w:val="center"/>
          <w:tblLayout w:type="fixed"/>
          <w:tblCellMar>
            <w:left w:w="108" w:type="dxa"/>
            <w:right w:w="108" w:type="dxa"/>
          </w:tblCellMar>
        </w:tblPrEx>
        <w:trPr>
          <w:cantSplit/>
          <w:trHeight w:hRule="exact" w:val="315"/>
          <w:jc w:val="center"/>
        </w:trPr>
        <w:tc>
          <w:tcPr>
            <w:tcW w:w="313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Bonus</w:t>
            </w:r>
            <w:r>
              <w:rPr>
                <w:rFonts w:ascii="Arial" w:eastAsia="Arial" w:hAnsi="Arial" w:cs="Arial"/>
                <w:b w:val="0"/>
                <w:i w:val="0"/>
                <w:sz w:val="20"/>
                <w:vertAlign w:val="superscript"/>
              </w:rPr>
              <w:t>(3)</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tabs>
                <w:tab w:val="left" w:pos="516"/>
              </w:tabs>
              <w:spacing w:before="0" w:after="0" w:line="288" w:lineRule="auto"/>
              <w:ind w:right="90"/>
              <w:jc w:val="right"/>
            </w:pPr>
            <w:r>
              <w:rPr>
                <w:rFonts w:ascii="Arial" w:eastAsia="Arial" w:hAnsi="Arial" w:cs="Arial"/>
                <w:b w:val="0"/>
                <w:i w:val="0"/>
                <w:color w:val="000000"/>
                <w:sz w:val="20"/>
                <w:u w:val="none"/>
              </w:rPr>
              <w:t>$</w:t>
              <w:tab/>
              <w:t>812,500</w:t>
            </w:r>
          </w:p>
        </w:tc>
        <w:tc>
          <w:tcPr>
            <w:tcW w:w="1155" w:type="dxa"/>
            <w:tcBorders>
              <w:top w:val="nil"/>
              <w:left w:val="nil"/>
              <w:bottom w:val="nil"/>
              <w:right w:val="nil"/>
            </w:tcBorders>
            <w:tcMar>
              <w:top w:w="0" w:type="dxa"/>
              <w:left w:w="0" w:type="dxa"/>
              <w:bottom w:w="0" w:type="dxa"/>
              <w:right w:w="15" w:type="dxa"/>
            </w:tcMar>
            <w:vAlign w:val="center"/>
          </w:tcPr>
          <w:p>
            <w:pPr>
              <w:keepNext/>
              <w:pageBreakBefore w:val="0"/>
              <w:tabs>
                <w:tab w:val="left" w:pos="276"/>
              </w:tabs>
              <w:spacing w:before="0" w:after="0" w:line="288" w:lineRule="auto"/>
              <w:ind w:right="90"/>
              <w:jc w:val="right"/>
            </w:pPr>
            <w:r>
              <w:rPr>
                <w:rFonts w:ascii="Arial" w:eastAsia="Arial" w:hAnsi="Arial" w:cs="Arial"/>
                <w:b w:val="0"/>
                <w:i w:val="0"/>
                <w:color w:val="000000"/>
                <w:sz w:val="20"/>
                <w:u w:val="none"/>
              </w:rPr>
              <w:t>$</w:t>
              <w:tab/>
              <w:t>818,166</w:t>
            </w:r>
          </w:p>
        </w:tc>
        <w:tc>
          <w:tcPr>
            <w:tcW w:w="1365" w:type="dxa"/>
            <w:tcBorders>
              <w:top w:val="nil"/>
              <w:left w:val="nil"/>
              <w:bottom w:val="nil"/>
              <w:right w:val="nil"/>
            </w:tcBorders>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455" w:type="dxa"/>
            <w:tcBorders>
              <w:top w:val="nil"/>
              <w:left w:val="nil"/>
              <w:bottom w:val="nil"/>
              <w:right w:val="nil"/>
            </w:tcBorders>
            <w:tcMar>
              <w:top w:w="0" w:type="dxa"/>
              <w:left w:w="0" w:type="dxa"/>
              <w:bottom w:w="0" w:type="dxa"/>
              <w:right w:w="15" w:type="dxa"/>
            </w:tcMar>
            <w:vAlign w:val="center"/>
          </w:tcPr>
          <w:p>
            <w:pPr>
              <w:keepNext/>
              <w:pageBreakBefore w:val="0"/>
              <w:tabs>
                <w:tab w:val="left" w:pos="576"/>
              </w:tabs>
              <w:spacing w:before="0" w:after="0" w:line="288" w:lineRule="auto"/>
              <w:ind w:right="90"/>
              <w:jc w:val="right"/>
            </w:pPr>
            <w:r>
              <w:rPr>
                <w:rFonts w:ascii="Arial" w:eastAsia="Arial" w:hAnsi="Arial" w:cs="Arial"/>
                <w:b w:val="0"/>
                <w:i w:val="0"/>
                <w:color w:val="000000"/>
                <w:sz w:val="20"/>
                <w:u w:val="none"/>
              </w:rPr>
              <w:t>$</w:t>
              <w:tab/>
              <w:t>812,500</w:t>
            </w:r>
          </w:p>
        </w:tc>
      </w:tr>
      <w:tr>
        <w:tblPrEx>
          <w:tblW w:w="9900" w:type="dxa"/>
          <w:jc w:val="center"/>
          <w:tblLayout w:type="fixed"/>
          <w:tblCellMar>
            <w:left w:w="108" w:type="dxa"/>
            <w:right w:w="108" w:type="dxa"/>
          </w:tblCellMar>
        </w:tblPrEx>
        <w:trPr>
          <w:cantSplit/>
          <w:trHeight w:hRule="exact" w:val="315"/>
          <w:jc w:val="center"/>
        </w:trPr>
        <w:tc>
          <w:tcPr>
            <w:tcW w:w="313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Medical Benefits</w:t>
            </w:r>
            <w:r>
              <w:rPr>
                <w:rFonts w:ascii="Arial" w:eastAsia="Arial" w:hAnsi="Arial" w:cs="Arial"/>
                <w:b w:val="0"/>
                <w:i w:val="0"/>
                <w:sz w:val="20"/>
                <w:vertAlign w:val="superscript"/>
              </w:rPr>
              <w:t>(4)</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tabs>
                <w:tab w:val="left" w:pos="627"/>
              </w:tabs>
              <w:spacing w:before="0" w:after="0" w:line="288" w:lineRule="auto"/>
              <w:ind w:right="90"/>
              <w:jc w:val="right"/>
            </w:pPr>
            <w:r>
              <w:rPr>
                <w:rFonts w:ascii="Arial" w:eastAsia="Arial" w:hAnsi="Arial" w:cs="Arial"/>
                <w:b w:val="0"/>
                <w:i w:val="0"/>
                <w:color w:val="000000"/>
                <w:sz w:val="20"/>
                <w:u w:val="none"/>
              </w:rPr>
              <w:t>$</w:t>
              <w:tab/>
              <w:t>25,961</w:t>
            </w:r>
          </w:p>
        </w:tc>
        <w:tc>
          <w:tcPr>
            <w:tcW w:w="1155" w:type="dxa"/>
            <w:tcBorders>
              <w:top w:val="nil"/>
              <w:left w:val="nil"/>
              <w:bottom w:val="nil"/>
              <w:right w:val="nil"/>
            </w:tcBorders>
            <w:tcMar>
              <w:top w:w="0" w:type="dxa"/>
              <w:left w:w="0" w:type="dxa"/>
              <w:bottom w:w="0" w:type="dxa"/>
              <w:right w:w="15" w:type="dxa"/>
            </w:tcMar>
            <w:vAlign w:val="center"/>
          </w:tcPr>
          <w:p>
            <w:pPr>
              <w:keepNext/>
              <w:pageBreakBefore w:val="0"/>
              <w:tabs>
                <w:tab w:val="left" w:pos="799"/>
              </w:tabs>
              <w:spacing w:before="0" w:after="0" w:line="288" w:lineRule="auto"/>
              <w:ind w:right="90"/>
              <w:jc w:val="right"/>
            </w:pPr>
            <w:r>
              <w:rPr>
                <w:rFonts w:ascii="Arial" w:eastAsia="Arial" w:hAnsi="Arial" w:cs="Arial"/>
                <w:b w:val="0"/>
                <w:i w:val="0"/>
                <w:color w:val="000000"/>
                <w:sz w:val="20"/>
                <w:u w:val="none"/>
              </w:rPr>
              <w:t>$</w:t>
              <w:tab/>
              <w:t>—</w:t>
            </w:r>
          </w:p>
        </w:tc>
        <w:tc>
          <w:tcPr>
            <w:tcW w:w="1365" w:type="dxa"/>
            <w:tcBorders>
              <w:top w:val="nil"/>
              <w:left w:val="nil"/>
              <w:bottom w:val="nil"/>
              <w:right w:val="nil"/>
            </w:tcBorders>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455" w:type="dxa"/>
            <w:tcBorders>
              <w:top w:val="nil"/>
              <w:left w:val="nil"/>
              <w:bottom w:val="nil"/>
              <w:right w:val="nil"/>
            </w:tcBorders>
            <w:tcMar>
              <w:top w:w="0" w:type="dxa"/>
              <w:left w:w="0" w:type="dxa"/>
              <w:bottom w:w="0" w:type="dxa"/>
              <w:right w:w="15" w:type="dxa"/>
            </w:tcMar>
            <w:vAlign w:val="center"/>
          </w:tcPr>
          <w:p>
            <w:pPr>
              <w:keepNext/>
              <w:pageBreakBefore w:val="0"/>
              <w:tabs>
                <w:tab w:val="left" w:pos="1099"/>
              </w:tabs>
              <w:spacing w:before="0" w:after="0" w:line="288" w:lineRule="auto"/>
              <w:ind w:right="90"/>
              <w:jc w:val="right"/>
            </w:pPr>
            <w:r>
              <w:rPr>
                <w:rFonts w:ascii="Arial" w:eastAsia="Arial" w:hAnsi="Arial" w:cs="Arial"/>
                <w:b w:val="0"/>
                <w:i w:val="0"/>
                <w:color w:val="000000"/>
                <w:sz w:val="20"/>
                <w:u w:val="none"/>
              </w:rPr>
              <w:t>$</w:t>
              <w:tab/>
              <w:t>—</w:t>
            </w:r>
          </w:p>
        </w:tc>
      </w:tr>
      <w:tr>
        <w:tblPrEx>
          <w:tblW w:w="9900" w:type="dxa"/>
          <w:jc w:val="center"/>
          <w:tblLayout w:type="fixed"/>
          <w:tblCellMar>
            <w:left w:w="108" w:type="dxa"/>
            <w:right w:w="108" w:type="dxa"/>
          </w:tblCellMar>
        </w:tblPrEx>
        <w:trPr>
          <w:cantSplit/>
          <w:trHeight w:hRule="exact" w:val="315"/>
          <w:jc w:val="center"/>
        </w:trPr>
        <w:tc>
          <w:tcPr>
            <w:tcW w:w="313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Contractual Life Benefit</w:t>
            </w:r>
            <w:r>
              <w:rPr>
                <w:rFonts w:ascii="Arial" w:eastAsia="Arial" w:hAnsi="Arial" w:cs="Arial"/>
                <w:b w:val="0"/>
                <w:i w:val="0"/>
                <w:sz w:val="20"/>
                <w:vertAlign w:val="superscript"/>
              </w:rPr>
              <w:t>(5)</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155" w:type="dxa"/>
            <w:tcBorders>
              <w:top w:val="nil"/>
              <w:left w:val="nil"/>
              <w:bottom w:val="nil"/>
              <w:right w:val="nil"/>
            </w:tcBorders>
            <w:tcMar>
              <w:top w:w="0" w:type="dxa"/>
              <w:left w:w="0" w:type="dxa"/>
              <w:bottom w:w="0" w:type="dxa"/>
              <w:right w:w="15" w:type="dxa"/>
            </w:tcMar>
            <w:vAlign w:val="center"/>
          </w:tcPr>
          <w:p>
            <w:pPr>
              <w:keepNext/>
              <w:pageBreakBefore w:val="0"/>
              <w:tabs>
                <w:tab w:val="left" w:pos="799"/>
              </w:tabs>
              <w:spacing w:before="0" w:after="0" w:line="288" w:lineRule="auto"/>
              <w:ind w:right="90"/>
              <w:jc w:val="right"/>
            </w:pPr>
            <w:r>
              <w:rPr>
                <w:rFonts w:ascii="Arial" w:eastAsia="Arial" w:hAnsi="Arial" w:cs="Arial"/>
                <w:b w:val="0"/>
                <w:i w:val="0"/>
                <w:color w:val="000000"/>
                <w:sz w:val="20"/>
                <w:u w:val="none"/>
              </w:rPr>
              <w:t>$</w:t>
              <w:tab/>
              <w:t>—</w:t>
            </w:r>
          </w:p>
        </w:tc>
        <w:tc>
          <w:tcPr>
            <w:tcW w:w="1365" w:type="dxa"/>
            <w:tcBorders>
              <w:top w:val="nil"/>
              <w:left w:val="nil"/>
              <w:bottom w:val="nil"/>
              <w:right w:val="nil"/>
            </w:tcBorders>
            <w:tcMar>
              <w:top w:w="0" w:type="dxa"/>
              <w:left w:w="0" w:type="dxa"/>
              <w:bottom w:w="0" w:type="dxa"/>
              <w:right w:w="15" w:type="dxa"/>
            </w:tcMar>
            <w:vAlign w:val="center"/>
          </w:tcPr>
          <w:p>
            <w:pPr>
              <w:keepNext/>
              <w:pageBreakBefore w:val="0"/>
              <w:tabs>
                <w:tab w:val="left" w:pos="1009"/>
              </w:tabs>
              <w:spacing w:before="0" w:after="0" w:line="288" w:lineRule="auto"/>
              <w:ind w:right="90"/>
              <w:jc w:val="right"/>
            </w:pPr>
            <w:r>
              <w:rPr>
                <w:rFonts w:ascii="Arial" w:eastAsia="Arial" w:hAnsi="Arial" w:cs="Arial"/>
                <w:b w:val="0"/>
                <w:i w:val="0"/>
                <w:color w:val="000000"/>
                <w:sz w:val="20"/>
                <w:u w:val="none"/>
              </w:rPr>
              <w:t>$</w:t>
              <w:tab/>
              <w:t>—</w:t>
            </w:r>
          </w:p>
        </w:tc>
        <w:tc>
          <w:tcPr>
            <w:tcW w:w="1455" w:type="dxa"/>
            <w:tcBorders>
              <w:top w:val="nil"/>
              <w:left w:val="nil"/>
              <w:bottom w:val="nil"/>
              <w:right w:val="nil"/>
            </w:tcBorders>
            <w:tcMar>
              <w:top w:w="0" w:type="dxa"/>
              <w:left w:w="0" w:type="dxa"/>
              <w:bottom w:w="0" w:type="dxa"/>
              <w:right w:w="15" w:type="dxa"/>
            </w:tcMar>
            <w:vAlign w:val="center"/>
          </w:tcPr>
          <w:p>
            <w:pPr>
              <w:keepNext/>
              <w:pageBreakBefore w:val="0"/>
              <w:tabs>
                <w:tab w:val="left" w:pos="1099"/>
              </w:tabs>
              <w:spacing w:before="0" w:after="0" w:line="288" w:lineRule="auto"/>
              <w:ind w:right="90"/>
              <w:jc w:val="right"/>
            </w:pPr>
            <w:r>
              <w:rPr>
                <w:rFonts w:ascii="Arial" w:eastAsia="Arial" w:hAnsi="Arial" w:cs="Arial"/>
                <w:b w:val="0"/>
                <w:i w:val="0"/>
                <w:color w:val="000000"/>
                <w:sz w:val="20"/>
                <w:u w:val="none"/>
              </w:rPr>
              <w:t>$</w:t>
              <w:tab/>
              <w:t>—</w:t>
            </w:r>
          </w:p>
        </w:tc>
      </w:tr>
      <w:tr>
        <w:tblPrEx>
          <w:tblW w:w="9900" w:type="dxa"/>
          <w:jc w:val="center"/>
          <w:tblLayout w:type="fixed"/>
          <w:tblCellMar>
            <w:left w:w="108" w:type="dxa"/>
            <w:right w:w="108" w:type="dxa"/>
          </w:tblCellMar>
        </w:tblPrEx>
        <w:trPr>
          <w:cantSplit/>
          <w:trHeight w:hRule="exact" w:val="315"/>
          <w:jc w:val="center"/>
        </w:trPr>
        <w:tc>
          <w:tcPr>
            <w:tcW w:w="3135"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Accelerated Vesting</w:t>
            </w:r>
            <w:r>
              <w:rPr>
                <w:rFonts w:ascii="Arial" w:eastAsia="Arial" w:hAnsi="Arial" w:cs="Arial"/>
                <w:b w:val="0"/>
                <w:i w:val="0"/>
                <w:sz w:val="20"/>
                <w:vertAlign w:val="superscript"/>
              </w:rPr>
              <w:t>(</w:t>
            </w:r>
            <w:r>
              <w:rPr>
                <w:rFonts w:ascii="Arial" w:eastAsia="Arial" w:hAnsi="Arial" w:cs="Arial"/>
                <w:b w:val="0"/>
                <w:i w:val="0"/>
                <w:sz w:val="20"/>
                <w:vertAlign w:val="superscript"/>
              </w:rPr>
              <w:t>7</w:t>
            </w:r>
            <w:r>
              <w:rPr>
                <w:rFonts w:ascii="Arial" w:eastAsia="Arial" w:hAnsi="Arial" w:cs="Arial"/>
                <w:b w:val="0"/>
                <w:i w:val="0"/>
                <w:sz w:val="20"/>
                <w:vertAlign w:val="superscript"/>
              </w:rPr>
              <w:t>)</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tcMar>
              <w:top w:w="0" w:type="dxa"/>
              <w:left w:w="0" w:type="dxa"/>
              <w:bottom w:w="0" w:type="dxa"/>
              <w:right w:w="15" w:type="dxa"/>
            </w:tcMar>
            <w:vAlign w:val="center"/>
          </w:tcPr>
          <w:p>
            <w:pPr>
              <w:keepNext/>
              <w:pageBreakBefore w:val="0"/>
              <w:tabs>
                <w:tab w:val="left" w:pos="350"/>
              </w:tabs>
              <w:spacing w:before="0" w:after="0" w:line="288" w:lineRule="auto"/>
              <w:ind w:right="90"/>
              <w:jc w:val="right"/>
            </w:pPr>
            <w:r>
              <w:rPr>
                <w:rFonts w:ascii="Arial" w:eastAsia="Arial" w:hAnsi="Arial" w:cs="Arial"/>
                <w:b w:val="0"/>
                <w:i w:val="0"/>
                <w:color w:val="000000"/>
                <w:sz w:val="20"/>
                <w:u w:val="none"/>
              </w:rPr>
              <w:t>$</w:t>
              <w:tab/>
              <w:t>3,650,627</w:t>
            </w:r>
          </w:p>
        </w:tc>
        <w:tc>
          <w:tcPr>
            <w:tcW w:w="1155" w:type="dxa"/>
            <w:tcBorders>
              <w:top w:val="nil"/>
              <w:left w:val="nil"/>
              <w:bottom w:val="nil"/>
              <w:right w:val="nil"/>
            </w:tcBorders>
            <w:tcMar>
              <w:top w:w="0" w:type="dxa"/>
              <w:left w:w="0" w:type="dxa"/>
              <w:bottom w:w="0" w:type="dxa"/>
              <w:right w:w="15" w:type="dxa"/>
            </w:tcMar>
            <w:vAlign w:val="center"/>
          </w:tcPr>
          <w:p>
            <w:pPr>
              <w:keepNext/>
              <w:pageBreakBefore w:val="0"/>
              <w:tabs>
                <w:tab w:val="left" w:pos="113"/>
              </w:tabs>
              <w:spacing w:before="0" w:after="0" w:line="288" w:lineRule="auto"/>
              <w:ind w:right="90"/>
              <w:jc w:val="right"/>
            </w:pPr>
            <w:r>
              <w:rPr>
                <w:rFonts w:ascii="Arial" w:eastAsia="Arial" w:hAnsi="Arial" w:cs="Arial"/>
                <w:b w:val="0"/>
                <w:i w:val="0"/>
                <w:color w:val="000000"/>
                <w:sz w:val="20"/>
                <w:u w:val="none"/>
              </w:rPr>
              <w:t>$</w:t>
              <w:tab/>
              <w:t>3,877,276</w:t>
            </w:r>
          </w:p>
        </w:tc>
        <w:tc>
          <w:tcPr>
            <w:tcW w:w="1365" w:type="dxa"/>
            <w:tcBorders>
              <w:top w:val="nil"/>
              <w:left w:val="nil"/>
              <w:bottom w:val="nil"/>
              <w:right w:val="nil"/>
            </w:tcBorders>
            <w:tcMar>
              <w:top w:w="0" w:type="dxa"/>
              <w:left w:w="0" w:type="dxa"/>
              <w:bottom w:w="0" w:type="dxa"/>
              <w:right w:w="15" w:type="dxa"/>
            </w:tcMar>
            <w:vAlign w:val="center"/>
          </w:tcPr>
          <w:p>
            <w:pPr>
              <w:keepNext/>
              <w:pageBreakBefore w:val="0"/>
              <w:tabs>
                <w:tab w:val="left" w:pos="320"/>
              </w:tabs>
              <w:spacing w:before="0" w:after="0" w:line="288" w:lineRule="auto"/>
              <w:ind w:right="90"/>
              <w:jc w:val="right"/>
            </w:pPr>
            <w:r>
              <w:rPr>
                <w:rFonts w:ascii="Arial" w:eastAsia="Arial" w:hAnsi="Arial" w:cs="Arial"/>
                <w:b w:val="0"/>
                <w:i w:val="0"/>
                <w:color w:val="000000"/>
                <w:sz w:val="20"/>
                <w:u w:val="none"/>
              </w:rPr>
              <w:t>$</w:t>
              <w:tab/>
              <w:t>3,650,627</w:t>
            </w:r>
          </w:p>
        </w:tc>
        <w:tc>
          <w:tcPr>
            <w:tcW w:w="1455" w:type="dxa"/>
            <w:tcBorders>
              <w:top w:val="nil"/>
              <w:left w:val="nil"/>
              <w:bottom w:val="nil"/>
              <w:right w:val="nil"/>
            </w:tcBorders>
            <w:tcMar>
              <w:top w:w="0" w:type="dxa"/>
              <w:left w:w="0" w:type="dxa"/>
              <w:bottom w:w="0" w:type="dxa"/>
              <w:right w:w="15" w:type="dxa"/>
            </w:tcMar>
            <w:vAlign w:val="center"/>
          </w:tcPr>
          <w:p>
            <w:pPr>
              <w:keepNext/>
              <w:pageBreakBefore w:val="0"/>
              <w:tabs>
                <w:tab w:val="left" w:pos="410"/>
              </w:tabs>
              <w:spacing w:before="0" w:after="0" w:line="288" w:lineRule="auto"/>
              <w:ind w:right="90"/>
              <w:jc w:val="right"/>
            </w:pPr>
            <w:r>
              <w:rPr>
                <w:rFonts w:ascii="Arial" w:eastAsia="Arial" w:hAnsi="Arial" w:cs="Arial"/>
                <w:b w:val="0"/>
                <w:i w:val="0"/>
                <w:color w:val="000000"/>
                <w:sz w:val="20"/>
                <w:u w:val="none"/>
              </w:rPr>
              <w:t>$</w:t>
              <w:tab/>
              <w:t>3,650,627</w:t>
            </w:r>
          </w:p>
        </w:tc>
      </w:tr>
      <w:tr>
        <w:tblPrEx>
          <w:tblW w:w="9900" w:type="dxa"/>
          <w:jc w:val="center"/>
          <w:tblLayout w:type="fixed"/>
          <w:tblCellMar>
            <w:left w:w="108" w:type="dxa"/>
            <w:right w:w="108" w:type="dxa"/>
          </w:tblCellMar>
        </w:tblPrEx>
        <w:trPr>
          <w:cantSplit/>
          <w:trHeight w:hRule="exact" w:val="315"/>
          <w:jc w:val="center"/>
        </w:trPr>
        <w:tc>
          <w:tcPr>
            <w:tcW w:w="313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ind w:left="90"/>
              <w:jc w:val="left"/>
            </w:pPr>
            <w:r>
              <w:rPr>
                <w:rFonts w:ascii="Arial" w:eastAsia="Arial" w:hAnsi="Arial" w:cs="Arial"/>
                <w:b/>
                <w:i w:val="0"/>
                <w:color w:val="000000"/>
                <w:sz w:val="20"/>
                <w:u w:val="none"/>
              </w:rPr>
              <w:t>TOTAL</w:t>
            </w:r>
          </w:p>
        </w:tc>
        <w:tc>
          <w:tcPr>
            <w:tcW w:w="1395" w:type="dxa"/>
            <w:tcBorders>
              <w:top w:val="nil"/>
              <w:left w:val="nil"/>
              <w:bottom w:val="nil"/>
              <w:right w:val="nil"/>
            </w:tcBorders>
            <w:tcMar>
              <w:top w:w="0" w:type="dxa"/>
              <w:left w:w="0" w:type="dxa"/>
              <w:bottom w:w="0" w:type="dxa"/>
              <w:right w:w="15" w:type="dxa"/>
            </w:tcMar>
            <w:vAlign w:val="center"/>
          </w:tcPr>
          <w:p>
            <w:pPr>
              <w:pageBreakBefore w:val="0"/>
              <w:tabs>
                <w:tab w:val="left" w:pos="1039"/>
              </w:tabs>
              <w:spacing w:before="0" w:after="0" w:line="288" w:lineRule="auto"/>
              <w:ind w:right="90"/>
              <w:jc w:val="right"/>
            </w:pPr>
            <w:r>
              <w:rPr>
                <w:rFonts w:ascii="Arial" w:eastAsia="Arial" w:hAnsi="Arial" w:cs="Arial"/>
                <w:b w:val="0"/>
                <w:i w:val="0"/>
                <w:color w:val="000000"/>
                <w:sz w:val="20"/>
                <w:u w:val="none"/>
              </w:rPr>
              <w:t>$</w:t>
              <w:tab/>
              <w:t>—</w:t>
            </w:r>
          </w:p>
        </w:tc>
        <w:tc>
          <w:tcPr>
            <w:tcW w:w="1395" w:type="dxa"/>
            <w:tcBorders>
              <w:top w:val="nil"/>
              <w:left w:val="nil"/>
              <w:bottom w:val="nil"/>
              <w:right w:val="nil"/>
            </w:tcBorders>
            <w:tcMar>
              <w:top w:w="0" w:type="dxa"/>
              <w:left w:w="0" w:type="dxa"/>
              <w:bottom w:w="0" w:type="dxa"/>
              <w:right w:w="15" w:type="dxa"/>
            </w:tcMar>
            <w:vAlign w:val="center"/>
          </w:tcPr>
          <w:p>
            <w:pPr>
              <w:pageBreakBefore w:val="0"/>
              <w:tabs>
                <w:tab w:val="left" w:pos="350"/>
              </w:tabs>
              <w:spacing w:before="0" w:after="0" w:line="288" w:lineRule="auto"/>
              <w:ind w:right="90"/>
              <w:jc w:val="right"/>
            </w:pPr>
            <w:r>
              <w:rPr>
                <w:rFonts w:ascii="Arial" w:eastAsia="Arial" w:hAnsi="Arial" w:cs="Arial"/>
                <w:b w:val="0"/>
                <w:i w:val="0"/>
                <w:color w:val="000000"/>
                <w:sz w:val="20"/>
                <w:u w:val="none"/>
              </w:rPr>
              <w:t>$</w:t>
              <w:tab/>
              <w:t>5,139,088</w:t>
            </w:r>
          </w:p>
        </w:tc>
        <w:tc>
          <w:tcPr>
            <w:tcW w:w="1155" w:type="dxa"/>
            <w:tcBorders>
              <w:top w:val="nil"/>
              <w:left w:val="nil"/>
              <w:bottom w:val="nil"/>
              <w:right w:val="nil"/>
            </w:tcBorders>
            <w:tcMar>
              <w:top w:w="0" w:type="dxa"/>
              <w:left w:w="0" w:type="dxa"/>
              <w:bottom w:w="0" w:type="dxa"/>
              <w:right w:w="15" w:type="dxa"/>
            </w:tcMar>
            <w:vAlign w:val="center"/>
          </w:tcPr>
          <w:p>
            <w:pPr>
              <w:pageBreakBefore w:val="0"/>
              <w:tabs>
                <w:tab w:val="left" w:pos="113"/>
              </w:tabs>
              <w:spacing w:before="0" w:after="0" w:line="288" w:lineRule="auto"/>
              <w:ind w:right="90"/>
              <w:jc w:val="right"/>
            </w:pPr>
            <w:r>
              <w:rPr>
                <w:rFonts w:ascii="Arial" w:eastAsia="Arial" w:hAnsi="Arial" w:cs="Arial"/>
                <w:b w:val="0"/>
                <w:i w:val="0"/>
                <w:color w:val="000000"/>
                <w:sz w:val="20"/>
                <w:u w:val="none"/>
              </w:rPr>
              <w:t>$</w:t>
              <w:tab/>
              <w:t>4,695,442</w:t>
            </w:r>
          </w:p>
        </w:tc>
        <w:tc>
          <w:tcPr>
            <w:tcW w:w="1365" w:type="dxa"/>
            <w:tcBorders>
              <w:top w:val="nil"/>
              <w:left w:val="nil"/>
              <w:bottom w:val="nil"/>
              <w:right w:val="nil"/>
            </w:tcBorders>
            <w:tcMar>
              <w:top w:w="0" w:type="dxa"/>
              <w:left w:w="0" w:type="dxa"/>
              <w:bottom w:w="0" w:type="dxa"/>
              <w:right w:w="15" w:type="dxa"/>
            </w:tcMar>
            <w:vAlign w:val="center"/>
          </w:tcPr>
          <w:p>
            <w:pPr>
              <w:pageBreakBefore w:val="0"/>
              <w:tabs>
                <w:tab w:val="left" w:pos="320"/>
              </w:tabs>
              <w:spacing w:before="0" w:after="0" w:line="288" w:lineRule="auto"/>
              <w:ind w:right="90"/>
              <w:jc w:val="right"/>
            </w:pPr>
            <w:r>
              <w:rPr>
                <w:rFonts w:ascii="Arial" w:eastAsia="Arial" w:hAnsi="Arial" w:cs="Arial"/>
                <w:b w:val="0"/>
                <w:i w:val="0"/>
                <w:color w:val="000000"/>
                <w:sz w:val="20"/>
                <w:u w:val="none"/>
              </w:rPr>
              <w:t>$</w:t>
              <w:tab/>
              <w:t>3,650,627</w:t>
            </w:r>
          </w:p>
        </w:tc>
        <w:tc>
          <w:tcPr>
            <w:tcW w:w="1455" w:type="dxa"/>
            <w:tcBorders>
              <w:top w:val="nil"/>
              <w:left w:val="nil"/>
              <w:bottom w:val="nil"/>
              <w:right w:val="nil"/>
            </w:tcBorders>
            <w:tcMar>
              <w:top w:w="0" w:type="dxa"/>
              <w:left w:w="0" w:type="dxa"/>
              <w:bottom w:w="0" w:type="dxa"/>
              <w:right w:w="15" w:type="dxa"/>
            </w:tcMar>
            <w:vAlign w:val="center"/>
          </w:tcPr>
          <w:p>
            <w:pPr>
              <w:pageBreakBefore w:val="0"/>
              <w:tabs>
                <w:tab w:val="left" w:pos="410"/>
              </w:tabs>
              <w:spacing w:before="0" w:after="0" w:line="288" w:lineRule="auto"/>
              <w:ind w:right="90"/>
              <w:jc w:val="right"/>
            </w:pPr>
            <w:r>
              <w:rPr>
                <w:rFonts w:ascii="Arial" w:eastAsia="Arial" w:hAnsi="Arial" w:cs="Arial"/>
                <w:b w:val="0"/>
                <w:i w:val="0"/>
                <w:color w:val="000000"/>
                <w:sz w:val="20"/>
                <w:u w:val="none"/>
              </w:rPr>
              <w:t>$</w:t>
              <w:tab/>
              <w:t>4,788,127</w:t>
            </w:r>
          </w:p>
        </w:tc>
      </w:tr>
    </w:tbl>
    <w:p>
      <w:pPr>
        <w:keepNext w:val="0"/>
        <w:keepLines w:val="0"/>
        <w:pageBreakBefore w:val="0"/>
        <w:widowControl/>
        <w:numPr>
          <w:ilvl w:val="0"/>
          <w:numId w:val="321"/>
        </w:numPr>
        <w:spacing w:before="12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Upon termination, the executive officer would be entitled only to amounts (including salary, bonus, expense reimbursement, etc.) that have been fully earned but not yet paid on the date of termination.</w:t>
      </w:r>
    </w:p>
    <w:p>
      <w:pPr>
        <w:keepNext w:val="0"/>
        <w:keepLines w:val="0"/>
        <w:pageBreakBefore w:val="0"/>
        <w:widowControl/>
        <w:numPr>
          <w:ilvl w:val="0"/>
          <w:numId w:val="321"/>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Salary amounts reflect contractual severance payments as described above. Salary amounts payable following disability of an executive would be offset by any amounts we recover under the Company's disability insurance policies.</w:t>
      </w:r>
    </w:p>
    <w:p>
      <w:pPr>
        <w:keepNext w:val="0"/>
        <w:keepLines w:val="0"/>
        <w:pageBreakBefore w:val="0"/>
        <w:widowControl/>
        <w:numPr>
          <w:ilvl w:val="0"/>
          <w:numId w:val="321"/>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Bonus payments for the </w:t>
      </w:r>
      <w:r>
        <w:rPr>
          <w:rFonts w:ascii="Arial" w:eastAsia="Arial" w:hAnsi="Arial" w:cs="Arial"/>
          <w:b w:val="0"/>
          <w:i w:val="0"/>
          <w:color w:val="969698"/>
          <w:sz w:val="16"/>
          <w:u w:val="none"/>
        </w:rPr>
        <w:t>2023</w:t>
      </w:r>
      <w:r>
        <w:rPr>
          <w:rFonts w:ascii="Arial" w:eastAsia="Arial" w:hAnsi="Arial" w:cs="Arial"/>
          <w:b w:val="0"/>
          <w:i w:val="0"/>
          <w:color w:val="969698"/>
          <w:sz w:val="16"/>
          <w:u w:val="none"/>
        </w:rPr>
        <w:t xml:space="preserve"> year were determined in accordance with the process described in "Compensation Discussion and Analysis - Annual Incentive Compensation." The bonus amount is assumed to be equal to the actual bonus awarded to the executive officer for the year ended </w:t>
      </w:r>
      <w:r>
        <w:rPr>
          <w:rFonts w:ascii="Arial" w:eastAsia="Arial" w:hAnsi="Arial" w:cs="Arial"/>
          <w:b w:val="0"/>
          <w:i w:val="0"/>
          <w:color w:val="969698"/>
          <w:sz w:val="16"/>
          <w:u w:val="none"/>
        </w:rPr>
        <w:t>December 31, 2023</w:t>
      </w:r>
      <w:r>
        <w:rPr>
          <w:rFonts w:ascii="Arial" w:eastAsia="Arial" w:hAnsi="Arial" w:cs="Arial"/>
          <w:b w:val="0"/>
          <w:i w:val="0"/>
          <w:color w:val="969698"/>
          <w:sz w:val="16"/>
          <w:u w:val="none"/>
        </w:rPr>
        <w:t xml:space="preserve">, which was paid in cash in </w:t>
      </w:r>
      <w:r>
        <w:rPr>
          <w:rFonts w:ascii="Arial" w:eastAsia="Arial" w:hAnsi="Arial" w:cs="Arial"/>
          <w:b w:val="0"/>
          <w:i w:val="0"/>
          <w:color w:val="969698"/>
          <w:sz w:val="16"/>
          <w:u w:val="none"/>
        </w:rPr>
        <w:t>2024</w:t>
      </w:r>
      <w:r>
        <w:rPr>
          <w:rFonts w:ascii="Arial" w:eastAsia="Arial" w:hAnsi="Arial" w:cs="Arial"/>
          <w:b w:val="0"/>
          <w:i w:val="0"/>
          <w:color w:val="969698"/>
          <w:sz w:val="16"/>
          <w:u w:val="none"/>
        </w:rPr>
        <w:t>. Under the Annual Incentive Compensation Program (the "AIP"), a change in control would change the measurement period to determine bonuses from the calendar year to a period that begins on the first day of the calendar year and ends on the date of the change in control. However, the AIP does not create a contractual right to receive a bonus payment upon a change of control.</w:t>
      </w:r>
    </w:p>
    <w:p>
      <w:pPr>
        <w:keepNext w:val="0"/>
        <w:keepLines w:val="0"/>
        <w:pageBreakBefore w:val="0"/>
        <w:widowControl/>
        <w:numPr>
          <w:ilvl w:val="0"/>
          <w:numId w:val="321"/>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Reflects the value of continued coverage under medical plans for certain executive officers and their respective families and assumes continuation of premiums paid by us as of </w:t>
      </w:r>
      <w:r>
        <w:rPr>
          <w:rFonts w:ascii="Arial" w:eastAsia="Arial" w:hAnsi="Arial" w:cs="Arial"/>
          <w:b w:val="0"/>
          <w:i w:val="0"/>
          <w:color w:val="969698"/>
          <w:sz w:val="16"/>
          <w:u w:val="none"/>
        </w:rPr>
        <w:t>December 31, 2023</w:t>
      </w:r>
      <w:r>
        <w:rPr>
          <w:rFonts w:ascii="Arial" w:eastAsia="Arial" w:hAnsi="Arial" w:cs="Arial"/>
          <w:b w:val="0"/>
          <w:i w:val="0"/>
          <w:color w:val="969698"/>
          <w:sz w:val="16"/>
          <w:u w:val="none"/>
        </w:rPr>
        <w:t xml:space="preserve"> for the maximum coverage period of 36 months for Mr. Silvester</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24 months</w:t>
      </w:r>
      <w:r>
        <w:rPr>
          <w:rFonts w:ascii="Arial" w:eastAsia="Arial" w:hAnsi="Arial" w:cs="Arial"/>
          <w:b w:val="0"/>
          <w:i w:val="0"/>
          <w:color w:val="969698"/>
          <w:sz w:val="16"/>
          <w:u w:val="none"/>
        </w:rPr>
        <w:t xml:space="preserve"> for </w:t>
      </w:r>
      <w:r>
        <w:rPr>
          <w:rFonts w:ascii="Arial" w:eastAsia="Arial" w:hAnsi="Arial" w:cs="Arial"/>
          <w:b w:val="0"/>
          <w:i w:val="0"/>
          <w:color w:val="969698"/>
          <w:sz w:val="16"/>
          <w:u w:val="none"/>
        </w:rPr>
        <w:t>Ms. Gregory</w:t>
      </w:r>
      <w:r>
        <w:rPr>
          <w:rFonts w:ascii="Arial" w:eastAsia="Arial" w:hAnsi="Arial" w:cs="Arial"/>
          <w:b w:val="0"/>
          <w:i w:val="0"/>
          <w:color w:val="969698"/>
          <w:sz w:val="16"/>
          <w:u w:val="none"/>
        </w:rPr>
        <w:t xml:space="preserve"> and 12 months for Messrs. Kirk and Alobaidat</w:t>
      </w:r>
      <w:r>
        <w:rPr>
          <w:rFonts w:ascii="Arial" w:eastAsia="Arial" w:hAnsi="Arial" w:cs="Arial"/>
          <w:b w:val="0"/>
          <w:i w:val="0"/>
          <w:color w:val="969698"/>
          <w:sz w:val="16"/>
          <w:u w:val="none"/>
        </w:rPr>
        <w:t xml:space="preserve">. </w:t>
      </w:r>
    </w:p>
    <w:p>
      <w:pPr>
        <w:keepNext w:val="0"/>
        <w:keepLines w:val="0"/>
        <w:pageBreakBefore w:val="0"/>
        <w:widowControl/>
        <w:numPr>
          <w:ilvl w:val="0"/>
          <w:numId w:val="321"/>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Reflects a lump sum payment of five times annual base salary. The Company self-insures its obligation to fund the difference between the contractually provided lump sum amount payable and that provided by the executive's participation in the Company's group life insurance policies. </w:t>
      </w:r>
    </w:p>
    <w:p>
      <w:pPr>
        <w:keepNext w:val="0"/>
        <w:keepLines w:val="0"/>
        <w:pageBreakBefore w:val="0"/>
        <w:widowControl/>
        <w:numPr>
          <w:ilvl w:val="0"/>
          <w:numId w:val="321"/>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Includes the value of </w:t>
      </w:r>
      <w:r>
        <w:rPr>
          <w:rFonts w:ascii="Arial" w:eastAsia="Arial" w:hAnsi="Arial" w:cs="Arial"/>
          <w:b w:val="0"/>
          <w:i w:val="0"/>
          <w:color w:val="969698"/>
          <w:sz w:val="16"/>
          <w:u w:val="none"/>
        </w:rPr>
        <w:t>lump sum payments</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pursuant to Mr. Silvester's employment agreement</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The value</w:t>
      </w:r>
      <w:r>
        <w:rPr>
          <w:rFonts w:ascii="Arial" w:eastAsia="Arial" w:hAnsi="Arial" w:cs="Arial"/>
          <w:b w:val="0"/>
          <w:i w:val="0"/>
          <w:color w:val="969698"/>
          <w:sz w:val="16"/>
          <w:u w:val="none"/>
        </w:rPr>
        <w:t>s</w:t>
      </w:r>
      <w:r>
        <w:rPr>
          <w:rFonts w:ascii="Arial" w:eastAsia="Arial" w:hAnsi="Arial" w:cs="Arial"/>
          <w:b w:val="0"/>
          <w:i w:val="0"/>
          <w:color w:val="969698"/>
          <w:sz w:val="16"/>
          <w:u w:val="none"/>
        </w:rPr>
        <w:t xml:space="preserve"> of such lump sum payments to Mr. Silvester </w:t>
      </w:r>
      <w:r>
        <w:rPr>
          <w:rFonts w:ascii="Arial" w:eastAsia="Arial" w:hAnsi="Arial" w:cs="Arial"/>
          <w:b w:val="0"/>
          <w:i w:val="0"/>
          <w:color w:val="969698"/>
          <w:sz w:val="16"/>
          <w:u w:val="none"/>
        </w:rPr>
        <w:t xml:space="preserve">upon </w:t>
      </w:r>
      <w:r>
        <w:rPr>
          <w:rFonts w:ascii="Arial" w:eastAsia="Arial" w:hAnsi="Arial" w:cs="Arial"/>
          <w:b w:val="0"/>
          <w:i w:val="0"/>
          <w:color w:val="969698"/>
          <w:sz w:val="16"/>
          <w:u w:val="none"/>
        </w:rPr>
        <w:t xml:space="preserve">termination without cause or </w:t>
      </w:r>
      <w:r>
        <w:rPr>
          <w:rFonts w:ascii="Arial" w:eastAsia="Arial" w:hAnsi="Arial" w:cs="Arial"/>
          <w:b w:val="0"/>
          <w:i w:val="0"/>
          <w:color w:val="969698"/>
          <w:sz w:val="16"/>
          <w:u w:val="none"/>
        </w:rPr>
        <w:t xml:space="preserve">in the event of </w:t>
      </w:r>
      <w:r>
        <w:rPr>
          <w:rFonts w:ascii="Arial" w:eastAsia="Arial" w:hAnsi="Arial" w:cs="Arial"/>
          <w:b w:val="0"/>
          <w:i w:val="0"/>
          <w:color w:val="969698"/>
          <w:sz w:val="16"/>
          <w:u w:val="none"/>
        </w:rPr>
        <w:t xml:space="preserve">a </w:t>
      </w:r>
      <w:r>
        <w:rPr>
          <w:rFonts w:ascii="Arial" w:eastAsia="Arial" w:hAnsi="Arial" w:cs="Arial"/>
          <w:b w:val="0"/>
          <w:i w:val="0"/>
          <w:color w:val="969698"/>
          <w:sz w:val="16"/>
          <w:u w:val="none"/>
        </w:rPr>
        <w:t xml:space="preserve">change in control </w:t>
      </w:r>
      <w:r>
        <w:rPr>
          <w:rFonts w:ascii="Arial" w:eastAsia="Arial" w:hAnsi="Arial" w:cs="Arial"/>
          <w:b w:val="0"/>
          <w:i w:val="0"/>
          <w:color w:val="969698"/>
          <w:sz w:val="16"/>
          <w:u w:val="none"/>
        </w:rPr>
        <w:t>are ca</w:t>
      </w:r>
      <w:r>
        <w:rPr>
          <w:rFonts w:ascii="Arial" w:eastAsia="Arial" w:hAnsi="Arial" w:cs="Arial"/>
          <w:b w:val="0"/>
          <w:i w:val="0"/>
          <w:color w:val="969698"/>
          <w:sz w:val="16"/>
          <w:u w:val="none"/>
        </w:rPr>
        <w:t>lculated based on the assumption that</w:t>
      </w:r>
      <w:r>
        <w:rPr>
          <w:rFonts w:ascii="Arial" w:eastAsia="Arial" w:hAnsi="Arial" w:cs="Arial"/>
          <w:b w:val="0"/>
          <w:i w:val="0"/>
          <w:color w:val="969698"/>
          <w:sz w:val="16"/>
          <w:u w:val="none"/>
        </w:rPr>
        <w:t xml:space="preserve"> the </w:t>
      </w:r>
      <w:r>
        <w:rPr>
          <w:rFonts w:ascii="Arial" w:eastAsia="Arial" w:hAnsi="Arial" w:cs="Arial"/>
          <w:b w:val="0"/>
          <w:i w:val="0"/>
          <w:color w:val="969698"/>
          <w:sz w:val="16"/>
          <w:u w:val="none"/>
        </w:rPr>
        <w:t xml:space="preserve">hurdle price </w:t>
      </w:r>
      <w:r>
        <w:rPr>
          <w:rFonts w:ascii="Arial" w:eastAsia="Arial" w:hAnsi="Arial" w:cs="Arial"/>
          <w:b w:val="0"/>
          <w:i w:val="0"/>
          <w:color w:val="969698"/>
          <w:sz w:val="16"/>
          <w:u w:val="none"/>
        </w:rPr>
        <w:t>applicable to the</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JSOP </w:t>
      </w:r>
      <w:r>
        <w:rPr>
          <w:rFonts w:ascii="Arial" w:eastAsia="Arial" w:hAnsi="Arial" w:cs="Arial"/>
          <w:b w:val="0"/>
          <w:i w:val="0"/>
          <w:color w:val="969698"/>
          <w:sz w:val="16"/>
          <w:u w:val="none"/>
        </w:rPr>
        <w:t>A</w:t>
      </w:r>
      <w:r>
        <w:rPr>
          <w:rFonts w:ascii="Arial" w:eastAsia="Arial" w:hAnsi="Arial" w:cs="Arial"/>
          <w:b w:val="0"/>
          <w:i w:val="0"/>
          <w:color w:val="969698"/>
          <w:sz w:val="16"/>
          <w:u w:val="none"/>
        </w:rPr>
        <w:t>ward</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is</w:t>
      </w:r>
      <w:r>
        <w:rPr>
          <w:rFonts w:ascii="Arial" w:eastAsia="Arial" w:hAnsi="Arial" w:cs="Arial"/>
          <w:b w:val="0"/>
          <w:i w:val="0"/>
          <w:color w:val="969698"/>
          <w:sz w:val="16"/>
          <w:u w:val="none"/>
        </w:rPr>
        <w:t xml:space="preserve"> not</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achieved</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In the event</w:t>
      </w:r>
      <w:r>
        <w:rPr>
          <w:rFonts w:ascii="Arial" w:eastAsia="Arial" w:hAnsi="Arial" w:cs="Arial"/>
          <w:b w:val="0"/>
          <w:i w:val="0"/>
          <w:color w:val="969698"/>
          <w:sz w:val="16"/>
          <w:u w:val="none"/>
        </w:rPr>
        <w:t xml:space="preserve"> that</w:t>
      </w:r>
      <w:r>
        <w:rPr>
          <w:rFonts w:ascii="Arial" w:eastAsia="Arial" w:hAnsi="Arial" w:cs="Arial"/>
          <w:b w:val="0"/>
          <w:i w:val="0"/>
          <w:color w:val="969698"/>
          <w:sz w:val="16"/>
          <w:u w:val="none"/>
        </w:rPr>
        <w:t xml:space="preserve"> the hur</w:t>
      </w:r>
      <w:r>
        <w:rPr>
          <w:rFonts w:ascii="Arial" w:eastAsia="Arial" w:hAnsi="Arial" w:cs="Arial"/>
          <w:b w:val="0"/>
          <w:i w:val="0"/>
          <w:color w:val="969698"/>
          <w:sz w:val="16"/>
          <w:u w:val="none"/>
        </w:rPr>
        <w:t xml:space="preserve">dle price </w:t>
      </w:r>
      <w:r>
        <w:rPr>
          <w:rFonts w:ascii="Arial" w:eastAsia="Arial" w:hAnsi="Arial" w:cs="Arial"/>
          <w:b w:val="0"/>
          <w:i w:val="0"/>
          <w:color w:val="969698"/>
          <w:sz w:val="16"/>
          <w:u w:val="none"/>
        </w:rPr>
        <w:t>applicable to</w:t>
      </w:r>
      <w:r>
        <w:rPr>
          <w:rFonts w:ascii="Arial" w:eastAsia="Arial" w:hAnsi="Arial" w:cs="Arial"/>
          <w:b w:val="0"/>
          <w:i w:val="0"/>
          <w:color w:val="969698"/>
          <w:sz w:val="16"/>
          <w:u w:val="none"/>
        </w:rPr>
        <w:t xml:space="preserve"> the</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JSOP </w:t>
      </w:r>
      <w:r>
        <w:rPr>
          <w:rFonts w:ascii="Arial" w:eastAsia="Arial" w:hAnsi="Arial" w:cs="Arial"/>
          <w:b w:val="0"/>
          <w:i w:val="0"/>
          <w:color w:val="969698"/>
          <w:sz w:val="16"/>
          <w:u w:val="none"/>
        </w:rPr>
        <w:t>Award</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is</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achieved</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the value </w:t>
      </w:r>
      <w:r>
        <w:rPr>
          <w:rFonts w:ascii="Arial" w:eastAsia="Arial" w:hAnsi="Arial" w:cs="Arial"/>
          <w:b w:val="0"/>
          <w:i w:val="0"/>
          <w:color w:val="969698"/>
          <w:sz w:val="16"/>
          <w:u w:val="none"/>
        </w:rPr>
        <w:t xml:space="preserve">that </w:t>
      </w:r>
      <w:r>
        <w:rPr>
          <w:rFonts w:ascii="Arial" w:eastAsia="Arial" w:hAnsi="Arial" w:cs="Arial"/>
          <w:b w:val="0"/>
          <w:i w:val="0"/>
          <w:color w:val="969698"/>
          <w:sz w:val="16"/>
          <w:u w:val="none"/>
        </w:rPr>
        <w:t xml:space="preserve">Mr. Silvester receives in settlement of the JSOP </w:t>
      </w:r>
      <w:r>
        <w:rPr>
          <w:rFonts w:ascii="Arial" w:eastAsia="Arial" w:hAnsi="Arial" w:cs="Arial"/>
          <w:b w:val="0"/>
          <w:i w:val="0"/>
          <w:color w:val="969698"/>
          <w:sz w:val="16"/>
          <w:u w:val="none"/>
        </w:rPr>
        <w:t xml:space="preserve">Award </w:t>
      </w:r>
      <w:r>
        <w:rPr>
          <w:rFonts w:ascii="Arial" w:eastAsia="Arial" w:hAnsi="Arial" w:cs="Arial"/>
          <w:b w:val="0"/>
          <w:i w:val="0"/>
          <w:color w:val="969698"/>
          <w:sz w:val="16"/>
          <w:u w:val="none"/>
        </w:rPr>
        <w:t xml:space="preserve">would offset </w:t>
      </w:r>
      <w:r>
        <w:rPr>
          <w:rFonts w:ascii="Arial" w:eastAsia="Arial" w:hAnsi="Arial" w:cs="Arial"/>
          <w:b w:val="0"/>
          <w:i w:val="0"/>
          <w:color w:val="969698"/>
          <w:sz w:val="16"/>
          <w:u w:val="none"/>
        </w:rPr>
        <w:t>and potentially exceed the amounts presented in the table</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For a </w:t>
      </w:r>
      <w:r>
        <w:rPr>
          <w:rFonts w:ascii="Arial" w:eastAsia="Arial" w:hAnsi="Arial" w:cs="Arial"/>
          <w:b w:val="0"/>
          <w:i w:val="0"/>
          <w:color w:val="969698"/>
          <w:sz w:val="16"/>
          <w:u w:val="none"/>
        </w:rPr>
        <w:t>descri</w:t>
      </w:r>
      <w:r>
        <w:rPr>
          <w:rFonts w:ascii="Arial" w:eastAsia="Arial" w:hAnsi="Arial" w:cs="Arial"/>
          <w:b w:val="0"/>
          <w:i w:val="0"/>
          <w:color w:val="969698"/>
          <w:sz w:val="16"/>
          <w:u w:val="none"/>
        </w:rPr>
        <w:t>p</w:t>
      </w:r>
      <w:r>
        <w:rPr>
          <w:rFonts w:ascii="Arial" w:eastAsia="Arial" w:hAnsi="Arial" w:cs="Arial"/>
          <w:b w:val="0"/>
          <w:i w:val="0"/>
          <w:color w:val="969698"/>
          <w:sz w:val="16"/>
          <w:u w:val="none"/>
        </w:rPr>
        <w:t>tion of</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the terms applicable to </w:t>
      </w:r>
      <w:r>
        <w:rPr>
          <w:rFonts w:ascii="Arial" w:eastAsia="Arial" w:hAnsi="Arial" w:cs="Arial"/>
          <w:b w:val="0"/>
          <w:i w:val="0"/>
          <w:color w:val="969698"/>
          <w:sz w:val="16"/>
          <w:u w:val="none"/>
        </w:rPr>
        <w:t xml:space="preserve">determining the ultimate </w:t>
      </w:r>
      <w:r>
        <w:rPr>
          <w:rFonts w:ascii="Arial" w:eastAsia="Arial" w:hAnsi="Arial" w:cs="Arial"/>
          <w:b w:val="0"/>
          <w:i w:val="0"/>
          <w:color w:val="969698"/>
          <w:sz w:val="16"/>
          <w:u w:val="none"/>
        </w:rPr>
        <w:t>settlement value of the JSOP</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Award </w:t>
      </w:r>
      <w:r>
        <w:rPr>
          <w:rFonts w:ascii="Arial" w:eastAsia="Arial" w:hAnsi="Arial" w:cs="Arial"/>
          <w:b w:val="0"/>
          <w:i w:val="0"/>
          <w:color w:val="969698"/>
          <w:sz w:val="16"/>
          <w:u w:val="none"/>
        </w:rPr>
        <w:t xml:space="preserve">in </w:t>
      </w:r>
      <w:r>
        <w:rPr>
          <w:rFonts w:ascii="Arial" w:eastAsia="Arial" w:hAnsi="Arial" w:cs="Arial"/>
          <w:b w:val="0"/>
          <w:i w:val="0"/>
          <w:color w:val="969698"/>
          <w:sz w:val="16"/>
          <w:u w:val="none"/>
        </w:rPr>
        <w:t>the event of Mr. Silvester's</w:t>
      </w:r>
      <w:r>
        <w:rPr>
          <w:rFonts w:ascii="Arial" w:eastAsia="Arial" w:hAnsi="Arial" w:cs="Arial"/>
          <w:b w:val="0"/>
          <w:i w:val="0"/>
          <w:color w:val="969698"/>
          <w:sz w:val="16"/>
          <w:u w:val="none"/>
        </w:rPr>
        <w:t xml:space="preserve"> termination without cause or </w:t>
      </w:r>
      <w:r>
        <w:rPr>
          <w:rFonts w:ascii="Arial" w:eastAsia="Arial" w:hAnsi="Arial" w:cs="Arial"/>
          <w:b w:val="0"/>
          <w:i w:val="0"/>
          <w:color w:val="969698"/>
          <w:sz w:val="16"/>
          <w:u w:val="none"/>
        </w:rPr>
        <w:t>a change in control</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see the </w:t>
      </w:r>
      <w:r>
        <w:rPr>
          <w:rFonts w:ascii="Arial" w:eastAsia="Arial" w:hAnsi="Arial" w:cs="Arial"/>
          <w:b w:val="0"/>
          <w:i w:val="0"/>
          <w:color w:val="969698"/>
          <w:sz w:val="16"/>
          <w:u w:val="none"/>
        </w:rPr>
        <w:t xml:space="preserve">narrative </w:t>
      </w:r>
      <w:r>
        <w:rPr>
          <w:rFonts w:ascii="Arial" w:eastAsia="Arial" w:hAnsi="Arial" w:cs="Arial"/>
          <w:b w:val="0"/>
          <w:i w:val="0"/>
          <w:color w:val="969698"/>
          <w:sz w:val="16"/>
          <w:u w:val="none"/>
        </w:rPr>
        <w:t xml:space="preserve">description </w:t>
      </w:r>
      <w:r>
        <w:rPr>
          <w:rFonts w:ascii="Arial" w:eastAsia="Arial" w:hAnsi="Arial" w:cs="Arial"/>
          <w:b w:val="0"/>
          <w:i w:val="0"/>
          <w:color w:val="969698"/>
          <w:sz w:val="16"/>
          <w:u w:val="none"/>
        </w:rPr>
        <w:t>above.</w:t>
      </w:r>
      <w:r>
        <w:rPr>
          <w:rFonts w:ascii="Arial" w:eastAsia="Arial" w:hAnsi="Arial" w:cs="Arial"/>
          <w:b w:val="0"/>
          <w:i w:val="0"/>
          <w:color w:val="969698"/>
          <w:sz w:val="16"/>
          <w:u w:val="none"/>
        </w:rPr>
        <w:t xml:space="preserve"> </w:t>
      </w:r>
    </w:p>
    <w:p>
      <w:pPr>
        <w:keepNext w:val="0"/>
        <w:keepLines w:val="0"/>
        <w:pageBreakBefore w:val="0"/>
        <w:widowControl/>
        <w:numPr>
          <w:ilvl w:val="0"/>
          <w:numId w:val="321"/>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Based on </w:t>
      </w:r>
      <w:r>
        <w:rPr>
          <w:rFonts w:ascii="Arial" w:eastAsia="Arial" w:hAnsi="Arial" w:cs="Arial"/>
          <w:b w:val="0"/>
          <w:i w:val="0"/>
          <w:color w:val="969698"/>
          <w:sz w:val="16"/>
          <w:u w:val="none"/>
        </w:rPr>
        <w:t>$294.35</w:t>
      </w:r>
      <w:r>
        <w:rPr>
          <w:rFonts w:ascii="Arial" w:eastAsia="Arial" w:hAnsi="Arial" w:cs="Arial"/>
          <w:b w:val="0"/>
          <w:i w:val="0"/>
          <w:color w:val="969698"/>
          <w:sz w:val="16"/>
          <w:u w:val="none"/>
        </w:rPr>
        <w:t xml:space="preserve"> per share, the closing price of our ordinary shares on </w:t>
      </w:r>
      <w:r>
        <w:rPr>
          <w:rFonts w:ascii="Arial" w:eastAsia="Arial" w:hAnsi="Arial" w:cs="Arial"/>
          <w:b w:val="0"/>
          <w:i w:val="0"/>
          <w:color w:val="969698"/>
          <w:sz w:val="16"/>
          <w:u w:val="none"/>
        </w:rPr>
        <w:t>December 31, 2023</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Ms. Gregory and </w:t>
      </w:r>
      <w:r>
        <w:rPr>
          <w:rFonts w:ascii="Arial" w:eastAsia="Arial" w:hAnsi="Arial" w:cs="Arial"/>
          <w:b w:val="0"/>
          <w:i w:val="0"/>
          <w:color w:val="969698"/>
          <w:sz w:val="16"/>
          <w:u w:val="none"/>
        </w:rPr>
        <w:t>M</w:t>
      </w:r>
      <w:r>
        <w:rPr>
          <w:rFonts w:ascii="Arial" w:eastAsia="Arial" w:hAnsi="Arial" w:cs="Arial"/>
          <w:b w:val="0"/>
          <w:i w:val="0"/>
          <w:color w:val="969698"/>
          <w:sz w:val="16"/>
          <w:u w:val="none"/>
        </w:rPr>
        <w:t>ess</w:t>
      </w:r>
      <w:r>
        <w:rPr>
          <w:rFonts w:ascii="Arial" w:eastAsia="Arial" w:hAnsi="Arial" w:cs="Arial"/>
          <w:b w:val="0"/>
          <w:i w:val="0"/>
          <w:color w:val="969698"/>
          <w:sz w:val="16"/>
          <w:u w:val="none"/>
        </w:rPr>
        <w:t>r</w:t>
      </w:r>
      <w:r>
        <w:rPr>
          <w:rFonts w:ascii="Arial" w:eastAsia="Arial" w:hAnsi="Arial" w:cs="Arial"/>
          <w:b w:val="0"/>
          <w:i w:val="0"/>
          <w:color w:val="969698"/>
          <w:sz w:val="16"/>
          <w:u w:val="none"/>
        </w:rPr>
        <w:t>s</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Kirk</w:t>
      </w:r>
      <w:r>
        <w:rPr>
          <w:rFonts w:ascii="Arial" w:eastAsia="Arial" w:hAnsi="Arial" w:cs="Arial"/>
          <w:b w:val="0"/>
          <w:i w:val="0"/>
          <w:color w:val="969698"/>
          <w:sz w:val="16"/>
          <w:u w:val="none"/>
        </w:rPr>
        <w:t xml:space="preserve"> and </w:t>
      </w:r>
      <w:r>
        <w:rPr>
          <w:rFonts w:ascii="Arial" w:eastAsia="Arial" w:hAnsi="Arial" w:cs="Arial"/>
          <w:b w:val="0"/>
          <w:i w:val="0"/>
          <w:color w:val="969698"/>
          <w:sz w:val="16"/>
          <w:u w:val="none"/>
        </w:rPr>
        <w:t>A</w:t>
      </w:r>
      <w:r>
        <w:rPr>
          <w:rFonts w:ascii="Arial" w:eastAsia="Arial" w:hAnsi="Arial" w:cs="Arial"/>
          <w:b w:val="0"/>
          <w:i w:val="0"/>
          <w:color w:val="969698"/>
          <w:sz w:val="16"/>
          <w:u w:val="none"/>
        </w:rPr>
        <w:t xml:space="preserve">lobaidat </w:t>
      </w:r>
      <w:r>
        <w:rPr>
          <w:rFonts w:ascii="Arial" w:eastAsia="Arial" w:hAnsi="Arial" w:cs="Arial"/>
          <w:b w:val="0"/>
          <w:i w:val="0"/>
          <w:color w:val="969698"/>
          <w:sz w:val="16"/>
          <w:u w:val="none"/>
        </w:rPr>
        <w:t xml:space="preserve">are entitled to </w:t>
      </w:r>
      <w:r>
        <w:rPr>
          <w:rFonts w:ascii="Arial" w:eastAsia="Arial" w:hAnsi="Arial" w:cs="Arial"/>
          <w:b w:val="0"/>
          <w:i w:val="0"/>
          <w:color w:val="969698"/>
          <w:sz w:val="16"/>
          <w:u w:val="none"/>
        </w:rPr>
        <w:t>accelerated vesting of outstanding equ</w:t>
      </w:r>
      <w:r>
        <w:rPr>
          <w:rFonts w:ascii="Arial" w:eastAsia="Arial" w:hAnsi="Arial" w:cs="Arial"/>
          <w:b w:val="0"/>
          <w:i w:val="0"/>
          <w:color w:val="969698"/>
          <w:sz w:val="16"/>
          <w:u w:val="none"/>
        </w:rPr>
        <w:t>it</w:t>
      </w:r>
      <w:r>
        <w:rPr>
          <w:rFonts w:ascii="Arial" w:eastAsia="Arial" w:hAnsi="Arial" w:cs="Arial"/>
          <w:b w:val="0"/>
          <w:i w:val="0"/>
          <w:color w:val="969698"/>
          <w:sz w:val="16"/>
          <w:u w:val="none"/>
        </w:rPr>
        <w:t xml:space="preserve">y awards </w:t>
      </w:r>
      <w:r>
        <w:rPr>
          <w:rFonts w:ascii="Arial" w:eastAsia="Arial" w:hAnsi="Arial" w:cs="Arial"/>
          <w:b w:val="0"/>
          <w:i w:val="0"/>
          <w:color w:val="969698"/>
          <w:sz w:val="16"/>
          <w:u w:val="none"/>
        </w:rPr>
        <w:t xml:space="preserve">upon termination </w:t>
      </w:r>
      <w:r>
        <w:rPr>
          <w:rFonts w:ascii="Arial" w:eastAsia="Arial" w:hAnsi="Arial" w:cs="Arial"/>
          <w:b w:val="0"/>
          <w:i w:val="0"/>
          <w:color w:val="969698"/>
          <w:sz w:val="16"/>
          <w:u w:val="none"/>
        </w:rPr>
        <w:t xml:space="preserve">by the executive </w:t>
      </w:r>
      <w:r>
        <w:rPr>
          <w:rFonts w:ascii="Arial" w:eastAsia="Arial" w:hAnsi="Arial" w:cs="Arial"/>
          <w:b w:val="0"/>
          <w:i w:val="0"/>
          <w:color w:val="969698"/>
          <w:sz w:val="16"/>
          <w:u w:val="none"/>
        </w:rPr>
        <w:t xml:space="preserve">for good reason or </w:t>
      </w:r>
      <w:r>
        <w:rPr>
          <w:rFonts w:ascii="Arial" w:eastAsia="Arial" w:hAnsi="Arial" w:cs="Arial"/>
          <w:b w:val="0"/>
          <w:i w:val="0"/>
          <w:color w:val="969698"/>
          <w:sz w:val="16"/>
          <w:u w:val="none"/>
        </w:rPr>
        <w:t xml:space="preserve">by the </w:t>
      </w:r>
      <w:r>
        <w:rPr>
          <w:rFonts w:ascii="Arial" w:eastAsia="Arial" w:hAnsi="Arial" w:cs="Arial"/>
          <w:b w:val="0"/>
          <w:i w:val="0"/>
          <w:color w:val="969698"/>
          <w:sz w:val="16"/>
          <w:u w:val="none"/>
        </w:rPr>
        <w:t xml:space="preserve">Company </w:t>
      </w:r>
      <w:r>
        <w:rPr>
          <w:rFonts w:ascii="Arial" w:eastAsia="Arial" w:hAnsi="Arial" w:cs="Arial"/>
          <w:b w:val="0"/>
          <w:i w:val="0"/>
          <w:color w:val="969698"/>
          <w:sz w:val="16"/>
          <w:u w:val="none"/>
        </w:rPr>
        <w:t>without cause</w:t>
      </w:r>
      <w:r>
        <w:rPr>
          <w:rFonts w:ascii="Arial" w:eastAsia="Arial" w:hAnsi="Arial" w:cs="Arial"/>
          <w:b w:val="0"/>
          <w:i w:val="0"/>
          <w:color w:val="969698"/>
          <w:sz w:val="16"/>
          <w:u w:val="none"/>
        </w:rPr>
        <w:t>. Messrs. Brockma</w:t>
      </w:r>
      <w:r>
        <w:rPr>
          <w:rFonts w:ascii="Arial" w:eastAsia="Arial" w:hAnsi="Arial" w:cs="Arial"/>
          <w:b w:val="0"/>
          <w:i w:val="0"/>
          <w:color w:val="969698"/>
          <w:sz w:val="16"/>
          <w:u w:val="none"/>
        </w:rPr>
        <w:t>n</w:t>
      </w:r>
      <w:r>
        <w:rPr>
          <w:rFonts w:ascii="Arial" w:eastAsia="Arial" w:hAnsi="Arial" w:cs="Arial"/>
          <w:b w:val="0"/>
          <w:i w:val="0"/>
          <w:color w:val="969698"/>
          <w:sz w:val="16"/>
          <w:u w:val="none"/>
        </w:rPr>
        <w:t xml:space="preserve"> and</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Ni </w:t>
      </w:r>
      <w:r>
        <w:rPr>
          <w:rFonts w:ascii="Arial" w:eastAsia="Arial" w:hAnsi="Arial" w:cs="Arial"/>
          <w:b w:val="0"/>
          <w:i w:val="0"/>
          <w:color w:val="969698"/>
          <w:sz w:val="16"/>
          <w:u w:val="none"/>
        </w:rPr>
        <w:t>are entitled to accelerated vesting of outstanding equity awards only upon termination by the Company without cause. Pursuant to our Equity Plan, equity awards will accelerate upon a change in control only if the Compensation Committee determines that a replacement award has not been assumed or substituted by the surviving or successor corporation as described above.</w:t>
      </w:r>
    </w:p>
    <w:p>
      <w:pPr>
        <w:keepNext w:val="0"/>
        <w:keepLines w:val="0"/>
        <w:pageBreakBefore w:val="0"/>
        <w:widowControl/>
        <w:numPr>
          <w:ilvl w:val="0"/>
          <w:numId w:val="0"/>
        </w:numPr>
        <w:spacing w:before="0" w:after="100" w:line="288" w:lineRule="auto"/>
        <w:ind w:left="360" w:right="0" w:hanging="360"/>
        <w:jc w:val="left"/>
        <w:outlineLvl w:val="9"/>
        <w:rPr>
          <w:rFonts w:ascii="Arial" w:eastAsia="Arial" w:hAnsi="Arial" w:cs="Arial"/>
          <w:b w:val="0"/>
          <w:i w:val="0"/>
          <w:color w:val="969698"/>
          <w:sz w:val="16"/>
          <w:u w:val="none"/>
        </w:rPr>
      </w:pP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rPr>
        <w:sectPr>
          <w:headerReference w:type="default" r:id="rId303"/>
          <w:footerReference w:type="default" r:id="rId304"/>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bookmarkStart w:id="113" w:name="Section116"/>
      <w:bookmarkEnd w:id="113"/>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EQUITY COMPENSATION PLAN INFORMATION</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following table presents information regarding our equity compensation plans as of </w:t>
      </w:r>
      <w:r>
        <w:rPr>
          <w:rFonts w:ascii="Arial" w:eastAsia="Arial" w:hAnsi="Arial" w:cs="Arial"/>
          <w:b w:val="0"/>
          <w:i w:val="0"/>
          <w:color w:val="000000"/>
          <w:sz w:val="20"/>
          <w:u w:val="none"/>
        </w:rPr>
        <w:t>December 31, 2023</w:t>
      </w:r>
      <w:r>
        <w:rPr>
          <w:rFonts w:ascii="Arial" w:eastAsia="Arial" w:hAnsi="Arial" w:cs="Arial"/>
          <w:b w:val="0"/>
          <w:i w:val="0"/>
          <w:sz w:val="20"/>
        </w:rPr>
        <w:t>.</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615"/>
        <w:gridCol w:w="2175"/>
        <w:gridCol w:w="1605"/>
        <w:gridCol w:w="2580"/>
        <w:gridCol w:w="285"/>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395"/>
          <w:jc w:val="center"/>
        </w:trPr>
        <w:tc>
          <w:tcPr>
            <w:tcW w:w="361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ind w:left="90"/>
              <w:jc w:val="left"/>
            </w:pPr>
            <w:r>
              <w:rPr>
                <w:rFonts w:ascii="Arial" w:eastAsia="Arial" w:hAnsi="Arial" w:cs="Arial"/>
                <w:b/>
                <w:i w:val="0"/>
                <w:color w:val="FFFFFF"/>
                <w:sz w:val="16"/>
                <w:u w:val="none"/>
              </w:rPr>
              <w:t>Plan Category</w:t>
            </w:r>
          </w:p>
        </w:tc>
        <w:tc>
          <w:tcPr>
            <w:tcW w:w="2175" w:type="dxa"/>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line="288" w:lineRule="auto"/>
              <w:jc w:val="right"/>
            </w:pPr>
            <w:r>
              <w:rPr>
                <w:rFonts w:ascii="Arial" w:eastAsia="Arial" w:hAnsi="Arial" w:cs="Arial"/>
                <w:b/>
                <w:i w:val="0"/>
                <w:color w:val="FFFFFF"/>
                <w:sz w:val="16"/>
                <w:u w:val="none"/>
              </w:rPr>
              <w:t>Number of Securities</w:t>
            </w:r>
          </w:p>
          <w:p>
            <w:pPr>
              <w:spacing w:line="288" w:lineRule="auto"/>
              <w:jc w:val="right"/>
            </w:pPr>
            <w:r>
              <w:rPr>
                <w:rFonts w:ascii="Arial" w:eastAsia="Arial" w:hAnsi="Arial" w:cs="Arial"/>
                <w:b/>
                <w:i w:val="0"/>
                <w:color w:val="FFFFFF"/>
                <w:sz w:val="16"/>
                <w:u w:val="none"/>
              </w:rPr>
              <w:t xml:space="preserve">to be Issued Upon Exercise </w:t>
            </w:r>
          </w:p>
          <w:p>
            <w:pPr>
              <w:spacing w:line="288" w:lineRule="auto"/>
              <w:jc w:val="right"/>
            </w:pPr>
            <w:r>
              <w:rPr>
                <w:rFonts w:ascii="Arial" w:eastAsia="Arial" w:hAnsi="Arial" w:cs="Arial"/>
                <w:b/>
                <w:i w:val="0"/>
                <w:color w:val="FFFFFF"/>
                <w:sz w:val="16"/>
                <w:u w:val="none"/>
              </w:rPr>
              <w:t xml:space="preserve">of Outstanding Options, Warrants </w:t>
            </w:r>
          </w:p>
          <w:p>
            <w:pPr>
              <w:spacing w:after="30" w:line="288" w:lineRule="auto"/>
              <w:jc w:val="right"/>
            </w:pPr>
            <w:r>
              <w:rPr>
                <w:rFonts w:ascii="Arial" w:eastAsia="Arial" w:hAnsi="Arial" w:cs="Arial"/>
                <w:b/>
                <w:i w:val="0"/>
                <w:color w:val="FFFFFF"/>
                <w:sz w:val="16"/>
                <w:u w:val="none"/>
              </w:rPr>
              <w:t>and Rights</w:t>
            </w:r>
          </w:p>
        </w:tc>
        <w:tc>
          <w:tcPr>
            <w:tcW w:w="1605" w:type="dxa"/>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line="288" w:lineRule="auto"/>
              <w:jc w:val="right"/>
            </w:pPr>
            <w:r>
              <w:rPr>
                <w:rFonts w:ascii="Arial" w:eastAsia="Arial" w:hAnsi="Arial" w:cs="Arial"/>
                <w:b/>
                <w:i w:val="0"/>
                <w:color w:val="FFFFFF"/>
                <w:sz w:val="16"/>
                <w:u w:val="none"/>
              </w:rPr>
              <w:t>Weighted-Average</w:t>
            </w:r>
          </w:p>
          <w:p>
            <w:pPr>
              <w:spacing w:line="288" w:lineRule="auto"/>
              <w:jc w:val="right"/>
            </w:pPr>
            <w:r>
              <w:rPr>
                <w:rFonts w:ascii="Arial" w:eastAsia="Arial" w:hAnsi="Arial" w:cs="Arial"/>
                <w:b/>
                <w:i w:val="0"/>
                <w:color w:val="FFFFFF"/>
                <w:sz w:val="16"/>
                <w:u w:val="none"/>
              </w:rPr>
              <w:t>Exercise Price of Outstanding Options, Warrants</w:t>
            </w:r>
          </w:p>
          <w:p>
            <w:pPr>
              <w:spacing w:after="30" w:line="288" w:lineRule="auto"/>
              <w:jc w:val="right"/>
            </w:pPr>
            <w:r>
              <w:rPr>
                <w:rFonts w:ascii="Arial" w:eastAsia="Arial" w:hAnsi="Arial" w:cs="Arial"/>
                <w:b/>
                <w:i w:val="0"/>
                <w:color w:val="FFFFFF"/>
                <w:sz w:val="16"/>
                <w:u w:val="none"/>
              </w:rPr>
              <w:t>and Rights</w:t>
            </w:r>
          </w:p>
        </w:tc>
        <w:tc>
          <w:tcPr>
            <w:tcW w:w="2580" w:type="dxa"/>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line="288" w:lineRule="auto"/>
              <w:jc w:val="right"/>
            </w:pPr>
            <w:r>
              <w:rPr>
                <w:rFonts w:ascii="Arial" w:eastAsia="Arial" w:hAnsi="Arial" w:cs="Arial"/>
                <w:b/>
                <w:i w:val="0"/>
                <w:color w:val="FFFFFF"/>
                <w:sz w:val="16"/>
                <w:u w:val="none"/>
              </w:rPr>
              <w:t xml:space="preserve">Number of Securities Remaining Available for Future Issuance Under </w:t>
            </w:r>
          </w:p>
          <w:p>
            <w:pPr>
              <w:spacing w:line="288" w:lineRule="auto"/>
              <w:jc w:val="right"/>
            </w:pPr>
            <w:r>
              <w:rPr>
                <w:rFonts w:ascii="Arial" w:eastAsia="Arial" w:hAnsi="Arial" w:cs="Arial"/>
                <w:b/>
                <w:i w:val="0"/>
                <w:color w:val="FFFFFF"/>
                <w:sz w:val="16"/>
                <w:u w:val="none"/>
              </w:rPr>
              <w:t>Equity Compensation Plans (Excluding Securities </w:t>
            </w:r>
          </w:p>
          <w:p>
            <w:pPr>
              <w:spacing w:after="30" w:line="288" w:lineRule="auto"/>
              <w:jc w:val="right"/>
            </w:pPr>
            <w:r>
              <w:rPr>
                <w:rFonts w:ascii="Arial" w:eastAsia="Arial" w:hAnsi="Arial" w:cs="Arial"/>
                <w:b/>
                <w:i w:val="0"/>
                <w:color w:val="FFFFFF"/>
                <w:sz w:val="16"/>
                <w:u w:val="none"/>
              </w:rPr>
              <w:t>Reflected in the First Column)</w:t>
            </w:r>
          </w:p>
        </w:tc>
        <w:tc>
          <w:tcPr>
            <w:tcW w:w="28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r>
      <w:tr>
        <w:tblPrEx>
          <w:tblW w:w="10260" w:type="dxa"/>
          <w:jc w:val="center"/>
          <w:tblLayout w:type="fixed"/>
          <w:tblCellMar>
            <w:left w:w="108" w:type="dxa"/>
            <w:right w:w="108" w:type="dxa"/>
          </w:tblCellMar>
        </w:tblPrEx>
        <w:trPr>
          <w:cantSplit/>
          <w:trHeight w:hRule="exact" w:val="105"/>
          <w:jc w:val="center"/>
        </w:trPr>
        <w:tc>
          <w:tcPr>
            <w:tcW w:w="361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217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60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258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28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r>
      <w:tr>
        <w:tblPrEx>
          <w:tblW w:w="10260" w:type="dxa"/>
          <w:jc w:val="center"/>
          <w:tblLayout w:type="fixed"/>
          <w:tblCellMar>
            <w:left w:w="108" w:type="dxa"/>
            <w:right w:w="108" w:type="dxa"/>
          </w:tblCellMar>
        </w:tblPrEx>
        <w:trPr>
          <w:cantSplit/>
          <w:trHeight w:hRule="exact" w:val="525"/>
          <w:jc w:val="center"/>
        </w:trPr>
        <w:tc>
          <w:tcPr>
            <w:tcW w:w="361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20"/>
                <w:u w:val="none"/>
              </w:rPr>
              <w:t>Equity compensation plans approved by security holders</w:t>
            </w:r>
          </w:p>
        </w:tc>
        <w:tc>
          <w:tcPr>
            <w:tcW w:w="217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819"/>
              </w:tabs>
              <w:spacing w:before="0" w:after="0" w:line="288" w:lineRule="auto"/>
              <w:ind w:right="90"/>
              <w:jc w:val="right"/>
            </w:pPr>
            <w:r>
              <w:rPr>
                <w:rFonts w:ascii="Arial" w:eastAsia="Arial" w:hAnsi="Arial" w:cs="Arial"/>
                <w:b w:val="0"/>
                <w:i w:val="0"/>
                <w:color w:val="000000"/>
                <w:sz w:val="20"/>
                <w:u w:val="none"/>
              </w:rPr>
              <w:tab/>
              <w:t>—</w:t>
            </w:r>
          </w:p>
        </w:tc>
        <w:tc>
          <w:tcPr>
            <w:tcW w:w="160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249"/>
              </w:tabs>
              <w:spacing w:before="0" w:after="0" w:line="288" w:lineRule="auto"/>
              <w:ind w:right="90"/>
              <w:jc w:val="right"/>
            </w:pPr>
            <w:r>
              <w:rPr>
                <w:rFonts w:ascii="Arial" w:eastAsia="Arial" w:hAnsi="Arial" w:cs="Arial"/>
                <w:b w:val="0"/>
                <w:i w:val="0"/>
                <w:color w:val="000000"/>
                <w:sz w:val="20"/>
                <w:u w:val="none"/>
              </w:rPr>
              <w:t>$</w:t>
              <w:tab/>
              <w:t>—</w:t>
            </w:r>
          </w:p>
        </w:tc>
        <w:tc>
          <w:tcPr>
            <w:tcW w:w="2580"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701"/>
              </w:tabs>
              <w:spacing w:before="0" w:after="0" w:line="288" w:lineRule="auto"/>
              <w:ind w:right="90"/>
              <w:jc w:val="right"/>
            </w:pPr>
            <w:r>
              <w:rPr>
                <w:rFonts w:ascii="Arial" w:eastAsia="Arial" w:hAnsi="Arial" w:cs="Arial"/>
                <w:b w:val="0"/>
                <w:i w:val="0"/>
                <w:color w:val="000000"/>
                <w:sz w:val="20"/>
                <w:u w:val="none"/>
              </w:rPr>
              <w:tab/>
              <w:t>609,364</w:t>
            </w:r>
          </w:p>
        </w:tc>
        <w:tc>
          <w:tcPr>
            <w:tcW w:w="28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val="0"/>
                <w:i w:val="0"/>
                <w:sz w:val="20"/>
                <w:vertAlign w:val="superscript"/>
              </w:rPr>
            </w:pPr>
            <w:r>
              <w:rPr>
                <w:rFonts w:ascii="Arial" w:eastAsia="Arial" w:hAnsi="Arial" w:cs="Arial"/>
                <w:b w:val="0"/>
                <w:i w:val="0"/>
                <w:sz w:val="20"/>
                <w:vertAlign w:val="superscript"/>
              </w:rPr>
              <w:t>(1)</w:t>
            </w:r>
          </w:p>
        </w:tc>
      </w:tr>
      <w:tr>
        <w:tblPrEx>
          <w:tblW w:w="10260" w:type="dxa"/>
          <w:jc w:val="center"/>
          <w:tblLayout w:type="fixed"/>
          <w:tblCellMar>
            <w:left w:w="108" w:type="dxa"/>
            <w:right w:w="108" w:type="dxa"/>
          </w:tblCellMar>
        </w:tblPrEx>
        <w:trPr>
          <w:cantSplit/>
          <w:trHeight w:hRule="exact" w:val="525"/>
          <w:jc w:val="center"/>
        </w:trPr>
        <w:tc>
          <w:tcPr>
            <w:tcW w:w="361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20"/>
                <w:u w:val="none"/>
              </w:rPr>
              <w:t>Equity compensation plans not approved by security holders</w:t>
            </w:r>
          </w:p>
        </w:tc>
        <w:tc>
          <w:tcPr>
            <w:tcW w:w="217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407"/>
              </w:tabs>
              <w:spacing w:before="0" w:after="0" w:line="288" w:lineRule="auto"/>
              <w:ind w:right="90"/>
              <w:jc w:val="right"/>
            </w:pPr>
            <w:r>
              <w:rPr>
                <w:rFonts w:ascii="Arial" w:eastAsia="Arial" w:hAnsi="Arial" w:cs="Arial"/>
                <w:b w:val="0"/>
                <w:i w:val="0"/>
                <w:color w:val="000000"/>
                <w:sz w:val="20"/>
                <w:u w:val="none"/>
              </w:rPr>
              <w:tab/>
              <w:t>66,532</w:t>
            </w:r>
          </w:p>
        </w:tc>
        <w:tc>
          <w:tcPr>
            <w:tcW w:w="160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837"/>
              </w:tabs>
              <w:spacing w:before="0" w:after="0" w:line="288" w:lineRule="auto"/>
              <w:ind w:right="90"/>
              <w:jc w:val="right"/>
            </w:pPr>
            <w:r>
              <w:rPr>
                <w:rFonts w:ascii="Arial" w:eastAsia="Arial" w:hAnsi="Arial" w:cs="Arial"/>
                <w:b w:val="0"/>
                <w:i w:val="0"/>
                <w:color w:val="000000"/>
                <w:sz w:val="20"/>
                <w:u w:val="none"/>
              </w:rPr>
              <w:t>$</w:t>
              <w:tab/>
              <w:t>140.31</w:t>
            </w:r>
          </w:p>
        </w:tc>
        <w:tc>
          <w:tcPr>
            <w:tcW w:w="2580"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836"/>
                <w:tab w:val="left" w:pos="2512"/>
              </w:tabs>
              <w:spacing w:before="0" w:after="0" w:line="240" w:lineRule="auto"/>
              <w:jc w:val="right"/>
            </w:pPr>
            <w:r>
              <w:rPr>
                <w:rFonts w:ascii="Arial" w:eastAsia="Arial" w:hAnsi="Arial" w:cs="Arial"/>
                <w:b w:val="0"/>
                <w:i w:val="0"/>
                <w:color w:val="000000"/>
                <w:sz w:val="20"/>
                <w:u w:val="none"/>
              </w:rPr>
              <w:tab/>
              <w:t>31,499</w:t>
              <w:tab/>
            </w:r>
          </w:p>
        </w:tc>
        <w:tc>
          <w:tcPr>
            <w:tcW w:w="28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val="0"/>
                <w:i w:val="0"/>
                <w:sz w:val="20"/>
                <w:vertAlign w:val="superscript"/>
              </w:rPr>
            </w:pPr>
            <w:r>
              <w:rPr>
                <w:rFonts w:ascii="Arial" w:eastAsia="Arial" w:hAnsi="Arial" w:cs="Arial"/>
                <w:b w:val="0"/>
                <w:i w:val="0"/>
                <w:sz w:val="20"/>
                <w:vertAlign w:val="superscript"/>
              </w:rPr>
              <w:t>(2)</w:t>
            </w:r>
          </w:p>
        </w:tc>
      </w:tr>
      <w:tr>
        <w:tblPrEx>
          <w:tblW w:w="10260" w:type="dxa"/>
          <w:jc w:val="center"/>
          <w:tblLayout w:type="fixed"/>
          <w:tblCellMar>
            <w:left w:w="108" w:type="dxa"/>
            <w:right w:w="108" w:type="dxa"/>
          </w:tblCellMar>
        </w:tblPrEx>
        <w:trPr>
          <w:cantSplit/>
          <w:trHeight w:hRule="exact" w:val="300"/>
          <w:jc w:val="center"/>
        </w:trPr>
        <w:tc>
          <w:tcPr>
            <w:tcW w:w="3615" w:type="dxa"/>
            <w:tcBorders>
              <w:top w:val="nil"/>
              <w:left w:val="nil"/>
              <w:bottom w:val="nil"/>
              <w:right w:val="nil"/>
            </w:tcBorders>
            <w:shd w:val="clear" w:color="auto" w:fill="DFDDDE"/>
            <w:tcMar>
              <w:top w:w="0" w:type="dxa"/>
              <w:left w:w="53" w:type="dxa"/>
              <w:bottom w:w="0" w:type="dxa"/>
              <w:right w:w="53" w:type="dxa"/>
            </w:tcMar>
            <w:vAlign w:val="bottom"/>
          </w:tcPr>
          <w:p>
            <w:pPr>
              <w:pageBreakBefore w:val="0"/>
              <w:spacing w:before="53" w:after="30" w:line="288" w:lineRule="auto"/>
              <w:ind w:left="90"/>
              <w:jc w:val="left"/>
            </w:pPr>
            <w:r>
              <w:rPr>
                <w:rFonts w:ascii="Arial" w:eastAsia="Arial" w:hAnsi="Arial" w:cs="Arial"/>
                <w:b/>
                <w:i w:val="0"/>
                <w:color w:val="000000"/>
                <w:sz w:val="20"/>
                <w:u w:val="none"/>
              </w:rPr>
              <w:t>Total</w:t>
            </w:r>
          </w:p>
        </w:tc>
        <w:tc>
          <w:tcPr>
            <w:tcW w:w="2175" w:type="dxa"/>
            <w:tcBorders>
              <w:top w:val="nil"/>
              <w:left w:val="nil"/>
              <w:bottom w:val="nil"/>
              <w:right w:val="nil"/>
            </w:tcBorders>
            <w:shd w:val="clear" w:color="auto" w:fill="DFDDDE"/>
            <w:tcMar>
              <w:top w:w="0" w:type="dxa"/>
              <w:left w:w="0" w:type="dxa"/>
              <w:bottom w:w="0" w:type="dxa"/>
              <w:right w:w="0" w:type="dxa"/>
            </w:tcMar>
            <w:vAlign w:val="bottom"/>
          </w:tcPr>
          <w:p>
            <w:pPr>
              <w:pageBreakBefore w:val="0"/>
              <w:spacing w:before="0" w:after="0"/>
            </w:pPr>
          </w:p>
        </w:tc>
        <w:tc>
          <w:tcPr>
            <w:tcW w:w="1605" w:type="dxa"/>
            <w:tcBorders>
              <w:top w:val="nil"/>
              <w:left w:val="nil"/>
              <w:bottom w:val="nil"/>
              <w:right w:val="nil"/>
            </w:tcBorders>
            <w:shd w:val="clear" w:color="auto" w:fill="DFDDDE"/>
            <w:tcMar>
              <w:top w:w="0" w:type="dxa"/>
              <w:left w:w="0" w:type="dxa"/>
              <w:bottom w:w="0" w:type="dxa"/>
              <w:right w:w="15" w:type="dxa"/>
            </w:tcMar>
            <w:vAlign w:val="center"/>
          </w:tcPr>
          <w:p>
            <w:pPr>
              <w:pageBreakBefore w:val="0"/>
              <w:spacing w:before="0" w:after="0" w:line="288" w:lineRule="auto"/>
              <w:ind w:right="90"/>
              <w:jc w:val="right"/>
            </w:pPr>
            <w:r>
              <w:rPr>
                <w:rFonts w:ascii="Arial" w:eastAsia="Arial" w:hAnsi="Arial" w:cs="Arial"/>
                <w:b/>
                <w:i w:val="0"/>
                <w:color w:val="000000"/>
                <w:sz w:val="20"/>
                <w:u w:val="none"/>
              </w:rPr>
              <w:t> </w:t>
            </w:r>
          </w:p>
        </w:tc>
        <w:tc>
          <w:tcPr>
            <w:tcW w:w="2580" w:type="dxa"/>
            <w:tcBorders>
              <w:top w:val="nil"/>
              <w:left w:val="nil"/>
              <w:bottom w:val="nil"/>
              <w:right w:val="nil"/>
            </w:tcBorders>
            <w:shd w:val="clear" w:color="auto" w:fill="DFDDDE"/>
            <w:tcMar>
              <w:top w:w="0" w:type="dxa"/>
              <w:left w:w="0" w:type="dxa"/>
              <w:bottom w:w="0" w:type="dxa"/>
              <w:right w:w="15" w:type="dxa"/>
            </w:tcMar>
            <w:vAlign w:val="center"/>
          </w:tcPr>
          <w:p>
            <w:pPr>
              <w:pageBreakBefore w:val="0"/>
              <w:tabs>
                <w:tab w:val="left" w:pos="1701"/>
              </w:tabs>
              <w:spacing w:before="0" w:after="0" w:line="288" w:lineRule="auto"/>
              <w:ind w:right="90"/>
              <w:jc w:val="right"/>
            </w:pPr>
            <w:r>
              <w:rPr>
                <w:rFonts w:ascii="Arial" w:eastAsia="Arial" w:hAnsi="Arial" w:cs="Arial"/>
                <w:b/>
                <w:i w:val="0"/>
                <w:color w:val="000000"/>
                <w:sz w:val="20"/>
                <w:u w:val="none"/>
              </w:rPr>
              <w:tab/>
              <w:t>640,863</w:t>
            </w:r>
          </w:p>
        </w:tc>
        <w:tc>
          <w:tcPr>
            <w:tcW w:w="285" w:type="dxa"/>
            <w:tcBorders>
              <w:top w:val="nil"/>
              <w:left w:val="nil"/>
              <w:bottom w:val="nil"/>
              <w:right w:val="nil"/>
            </w:tcBorders>
            <w:shd w:val="clear" w:color="auto" w:fill="DFDDDE"/>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000000"/>
                <w:sz w:val="20"/>
                <w:u w:val="none"/>
              </w:rPr>
              <w:t>  </w:t>
            </w:r>
          </w:p>
        </w:tc>
      </w:tr>
    </w:tbl>
    <w:p>
      <w:pPr>
        <w:keepNext w:val="0"/>
        <w:keepLines w:val="0"/>
        <w:pageBreakBefore w:val="0"/>
        <w:widowControl/>
        <w:numPr>
          <w:ilvl w:val="0"/>
          <w:numId w:val="322"/>
        </w:numPr>
        <w:spacing w:before="12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Co</w:t>
      </w:r>
      <w:r>
        <w:rPr>
          <w:rFonts w:ascii="Arial" w:eastAsia="Arial" w:hAnsi="Arial" w:cs="Arial"/>
          <w:b w:val="0"/>
          <w:i w:val="0"/>
          <w:color w:val="969698"/>
          <w:sz w:val="16"/>
          <w:u w:val="none"/>
        </w:rPr>
        <w:t xml:space="preserve">nsists of </w:t>
      </w:r>
      <w:r>
        <w:rPr>
          <w:rFonts w:ascii="Arial" w:eastAsia="Arial" w:hAnsi="Arial" w:cs="Arial"/>
          <w:b w:val="0"/>
          <w:i w:val="0"/>
          <w:color w:val="969698"/>
          <w:sz w:val="16"/>
          <w:u w:val="none"/>
        </w:rPr>
        <w:t>381,234</w:t>
      </w:r>
      <w:r>
        <w:rPr>
          <w:rFonts w:ascii="Arial" w:eastAsia="Arial" w:hAnsi="Arial" w:cs="Arial"/>
          <w:b w:val="0"/>
          <w:i w:val="0"/>
          <w:color w:val="969698"/>
          <w:sz w:val="16"/>
          <w:u w:val="none"/>
        </w:rPr>
        <w:t xml:space="preserve"> ord</w:t>
      </w:r>
      <w:r>
        <w:rPr>
          <w:rFonts w:ascii="Arial" w:eastAsia="Arial" w:hAnsi="Arial" w:cs="Arial"/>
          <w:b w:val="0"/>
          <w:i w:val="0"/>
          <w:color w:val="969698"/>
          <w:sz w:val="16"/>
          <w:u w:val="none"/>
        </w:rPr>
        <w:t xml:space="preserve">inary shares that were available for future issuance under the Equity Plan as of </w:t>
      </w:r>
      <w:r>
        <w:rPr>
          <w:rFonts w:ascii="Arial" w:eastAsia="Arial" w:hAnsi="Arial" w:cs="Arial"/>
          <w:b w:val="0"/>
          <w:i w:val="0"/>
          <w:color w:val="969698"/>
          <w:sz w:val="16"/>
          <w:u w:val="none"/>
        </w:rPr>
        <w:t>December 31, 2023</w:t>
      </w:r>
      <w:r>
        <w:rPr>
          <w:rFonts w:ascii="Arial" w:eastAsia="Arial" w:hAnsi="Arial" w:cs="Arial"/>
          <w:b w:val="0"/>
          <w:i w:val="0"/>
          <w:color w:val="969698"/>
          <w:sz w:val="16"/>
          <w:u w:val="none"/>
        </w:rPr>
        <w:t xml:space="preserve"> and </w:t>
      </w:r>
      <w:r>
        <w:rPr>
          <w:rFonts w:ascii="Arial" w:eastAsia="Arial" w:hAnsi="Arial" w:cs="Arial"/>
          <w:b w:val="0"/>
          <w:i w:val="0"/>
          <w:color w:val="969698"/>
          <w:sz w:val="16"/>
          <w:u w:val="none"/>
        </w:rPr>
        <w:t>54,308</w:t>
      </w:r>
      <w:r>
        <w:rPr>
          <w:rFonts w:ascii="Arial" w:eastAsia="Arial" w:hAnsi="Arial" w:cs="Arial"/>
          <w:b w:val="0"/>
          <w:i w:val="0"/>
          <w:color w:val="969698"/>
          <w:sz w:val="16"/>
          <w:u w:val="none"/>
        </w:rPr>
        <w:t xml:space="preserve"> ordinary shares available under the Enstar Group Limited Employee Share Purchase Plan as of </w:t>
      </w:r>
      <w:r>
        <w:rPr>
          <w:rFonts w:ascii="Arial" w:eastAsia="Arial" w:hAnsi="Arial" w:cs="Arial"/>
          <w:b w:val="0"/>
          <w:i w:val="0"/>
          <w:color w:val="969698"/>
          <w:sz w:val="16"/>
          <w:u w:val="none"/>
        </w:rPr>
        <w:t>December 31, 2023</w:t>
      </w:r>
      <w:r>
        <w:rPr>
          <w:rFonts w:ascii="Arial" w:eastAsia="Arial" w:hAnsi="Arial" w:cs="Arial"/>
          <w:b w:val="0"/>
          <w:i w:val="0"/>
          <w:color w:val="969698"/>
          <w:sz w:val="16"/>
          <w:u w:val="none"/>
        </w:rPr>
        <w:t xml:space="preserve">.  </w:t>
      </w:r>
    </w:p>
    <w:p>
      <w:pPr>
        <w:keepNext w:val="0"/>
        <w:keepLines w:val="0"/>
        <w:pageBreakBefore w:val="0"/>
        <w:widowControl/>
        <w:numPr>
          <w:ilvl w:val="0"/>
          <w:numId w:val="322"/>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Consists of ordinary shares available for future issuance under the Deferred Compensation Plan, which is described above under "Director Compensation - Deferred Compensation Plan."</w:t>
      </w:r>
    </w:p>
    <w:p>
      <w:pPr>
        <w:keepNext w:val="0"/>
        <w:keepLines w:val="0"/>
        <w:pageBreakBefore w:val="0"/>
        <w:widowControl/>
        <w:numPr>
          <w:ilvl w:val="0"/>
          <w:numId w:val="0"/>
        </w:numPr>
        <w:spacing w:before="0" w:after="100" w:line="288" w:lineRule="auto"/>
        <w:ind w:left="-720" w:right="0" w:firstLine="360"/>
        <w:jc w:val="left"/>
        <w:outlineLvl w:val="9"/>
        <w:rPr>
          <w:rFonts w:ascii="Arial" w:eastAsia="Arial" w:hAnsi="Arial" w:cs="Arial"/>
          <w:b w:val="0"/>
          <w:i w:val="0"/>
          <w:color w:val="969698"/>
          <w:sz w:val="16"/>
          <w:u w:val="none"/>
        </w:rPr>
      </w:pPr>
    </w:p>
    <w:p>
      <w:pPr>
        <w:keepNext w:val="0"/>
        <w:keepLines w:val="0"/>
        <w:pageBreakBefore w:val="0"/>
        <w:widowControl/>
        <w:numPr>
          <w:ilvl w:val="0"/>
          <w:numId w:val="0"/>
        </w:numPr>
        <w:spacing w:before="0" w:after="60" w:line="288" w:lineRule="auto"/>
        <w:ind w:left="-720" w:right="0" w:firstLine="360"/>
        <w:jc w:val="left"/>
        <w:outlineLvl w:val="9"/>
        <w:rPr>
          <w:rFonts w:ascii="Arial" w:eastAsia="Arial" w:hAnsi="Arial" w:cs="Arial"/>
          <w:b w:val="0"/>
          <w:i w:val="0"/>
          <w:color w:val="969698"/>
          <w:sz w:val="16"/>
          <w:u w:val="none"/>
        </w:rPr>
        <w:sectPr>
          <w:headerReference w:type="default" r:id="rId305"/>
          <w:footerReference w:type="default" r:id="rId306"/>
          <w:type w:val="continuous"/>
          <w:pgSz w:w="12240" w:h="15840"/>
          <w:pgMar w:top="855" w:right="990" w:bottom="855" w:left="990" w:header="180" w:footer="270"/>
          <w:cols w:space="708"/>
        </w:sectPr>
      </w:pPr>
    </w:p>
    <w:p>
      <w:pPr>
        <w:keepNext/>
        <w:keepLines/>
        <w:pageBreakBefore w:val="0"/>
        <w:widowControl w:val="0"/>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bookmarkStart w:id="114" w:name="Section117"/>
      <w:bookmarkEnd w:id="114"/>
    </w:p>
    <w:p>
      <w:pPr>
        <w:keepNext/>
        <w:keepLines/>
        <w:pageBreakBefore w:val="0"/>
        <w:widowControl w:val="0"/>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PAY VERSUS PERFORMANCE</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color w:val="000000"/>
          <w:sz w:val="20"/>
          <w:u w:val="none"/>
        </w:rPr>
      </w:pPr>
      <w:r>
        <w:rPr>
          <w:rFonts w:ascii="Arial" w:eastAsia="Arial" w:hAnsi="Arial" w:cs="Arial"/>
          <w:b w:val="0"/>
          <w:i w:val="0"/>
          <w:color w:val="000000"/>
          <w:sz w:val="20"/>
          <w:u w:val="none"/>
        </w:rPr>
        <w:t xml:space="preserve">SEC rules require us to provide the following information regarding executive compensation for Dominic Silvester, our Chief Executive Officer, and our other named executive officers for the fiscal years listed below. For purposes of this disclosure, Mr. Silvester is referred to as the “PEO” (principal executive officer) and the other named executive officers for each of the covered years are referred to as the “Non-PEO NEOs.”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000000"/>
          <w:sz w:val="20"/>
          <w:u w:val="none"/>
        </w:rPr>
      </w:pPr>
      <w:r>
        <w:rPr>
          <w:rFonts w:ascii="Arial" w:eastAsia="Arial" w:hAnsi="Arial" w:cs="Arial"/>
          <w:b w:val="0"/>
          <w:i w:val="0"/>
          <w:color w:val="000000"/>
          <w:sz w:val="20"/>
          <w:u w:val="none"/>
        </w:rPr>
        <w:t>Generally, the SEC-defined “Compensation Actually Paid” (“CAP”) is calculated by starting with the Summary Compensation Table total values (“SCT Totals”) and making the following adjustments to the SCT Totals: (1) deducting the grant date value of equity granted during the year; (2) deducting the change in pension value for the year (if any); (3) adding the year-end fair value of unvested equity awards granted during the year; (4) adding, for awards granted in prior years that are outstanding and unvested at the end of the year, the difference between the year-end fair value and the immediately prior year-end fair value; (5) adding, for awards granted in prior years that vested during the year, the difference between the fair value as of the vesting date and the immediately prior year-end fair value; and (6) adding the pension service cost for that year (if any).</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000000"/>
          <w:sz w:val="20"/>
          <w:u w:val="none"/>
        </w:rPr>
      </w:pPr>
      <w:r>
        <w:rPr>
          <w:rFonts w:ascii="Arial" w:eastAsia="Arial" w:hAnsi="Arial" w:cs="Arial"/>
          <w:b w:val="0"/>
          <w:i w:val="0"/>
          <w:color w:val="000000"/>
          <w:sz w:val="20"/>
          <w:u w:val="none"/>
        </w:rPr>
        <w:t>CAP generally fluctuates due to stock price achievement and varying levels of projected and actual achievement of performance goals (as reflected</w:t>
      </w:r>
      <w:r>
        <w:rPr>
          <w:rFonts w:ascii="Arial" w:eastAsia="Arial" w:hAnsi="Arial" w:cs="Arial"/>
          <w:b w:val="0"/>
          <w:i w:val="0"/>
          <w:color w:val="000000"/>
          <w:sz w:val="20"/>
          <w:u w:val="none"/>
        </w:rPr>
        <w:t>, for example,</w:t>
      </w:r>
      <w:r>
        <w:rPr>
          <w:rFonts w:ascii="Arial" w:eastAsia="Arial" w:hAnsi="Arial" w:cs="Arial"/>
          <w:b w:val="0"/>
          <w:i w:val="0"/>
          <w:color w:val="000000"/>
          <w:sz w:val="20"/>
          <w:u w:val="none"/>
        </w:rPr>
        <w:t xml:space="preserve"> in the significant decrease to 2022 CAP). For a discussion of how our Human Resources and Compensation Committee assesses our named executive officers’ pay each year, see “Compensation Discussion and Analysis” in this proxy statement and in the proxy statements for the fiscal years 202</w:t>
      </w:r>
      <w:r>
        <w:rPr>
          <w:rFonts w:ascii="Arial" w:eastAsia="Arial" w:hAnsi="Arial" w:cs="Arial"/>
          <w:b w:val="0"/>
          <w:i w:val="0"/>
          <w:color w:val="000000"/>
          <w:sz w:val="20"/>
          <w:u w:val="none"/>
        </w:rPr>
        <w:t xml:space="preserve">0, </w:t>
      </w:r>
      <w:r>
        <w:rPr>
          <w:rFonts w:ascii="Arial" w:eastAsia="Arial" w:hAnsi="Arial" w:cs="Arial"/>
          <w:b w:val="0"/>
          <w:i w:val="0"/>
          <w:color w:val="000000"/>
          <w:sz w:val="20"/>
          <w:u w:val="none"/>
        </w:rPr>
        <w:t>2021</w:t>
      </w:r>
      <w:r>
        <w:rPr>
          <w:rFonts w:ascii="Arial" w:eastAsia="Arial" w:hAnsi="Arial" w:cs="Arial"/>
          <w:b w:val="0"/>
          <w:i w:val="0"/>
          <w:color w:val="000000"/>
          <w:sz w:val="20"/>
          <w:u w:val="none"/>
        </w:rPr>
        <w:t xml:space="preserve"> and 2022</w:t>
      </w:r>
      <w:r>
        <w:rPr>
          <w:rFonts w:ascii="Arial" w:eastAsia="Arial" w:hAnsi="Arial" w:cs="Arial"/>
          <w:b w:val="0"/>
          <w:i w:val="0"/>
          <w:color w:val="000000"/>
          <w:sz w:val="20"/>
          <w:u w:val="none"/>
        </w:rPr>
        <w:t>.</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690"/>
        <w:gridCol w:w="1305"/>
        <w:gridCol w:w="1260"/>
        <w:gridCol w:w="1215"/>
        <w:gridCol w:w="1275"/>
        <w:gridCol w:w="1065"/>
        <w:gridCol w:w="1140"/>
        <w:gridCol w:w="1065"/>
        <w:gridCol w:w="124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35"/>
        </w:trPr>
        <w:tc>
          <w:tcPr>
            <w:tcW w:w="69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7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2205" w:type="dxa"/>
            <w:gridSpan w:val="2"/>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3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Value of Initial Fixed $100 Investment Based On:</w:t>
            </w:r>
            <w:r>
              <w:rPr>
                <w:rFonts w:ascii="Arial" w:eastAsia="Arial" w:hAnsi="Arial" w:cs="Arial"/>
                <w:b/>
                <w:i w:val="0"/>
                <w:color w:val="FFFFFF"/>
                <w:sz w:val="16"/>
                <w:u w:val="none"/>
                <w:vertAlign w:val="superscript"/>
              </w:rPr>
              <w:t>(4)</w:t>
            </w:r>
            <w:r>
              <w:rPr>
                <w:rFonts w:ascii="Arial" w:eastAsia="Arial" w:hAnsi="Arial" w:cs="Arial"/>
                <w:b/>
                <w:i w:val="0"/>
                <w:color w:val="FFFFFF"/>
                <w:sz w:val="16"/>
                <w:u w:val="none"/>
              </w:rPr>
              <w:t xml:space="preserve"> </w:t>
            </w:r>
          </w:p>
        </w:tc>
        <w:tc>
          <w:tcPr>
            <w:tcW w:w="106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1200"/>
        </w:trPr>
        <w:tc>
          <w:tcPr>
            <w:tcW w:w="690"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30" w:line="288" w:lineRule="auto"/>
              <w:ind w:left="90" w:right="0" w:firstLine="0"/>
              <w:jc w:val="left"/>
              <w:outlineLvl w:val="9"/>
              <w:rPr>
                <w:rFonts w:ascii="Arial" w:eastAsia="Arial" w:hAnsi="Arial" w:cs="Arial"/>
                <w:b/>
                <w:i w:val="0"/>
                <w:color w:val="FFFFFF"/>
                <w:sz w:val="16"/>
                <w:u w:val="none"/>
              </w:rPr>
            </w:pPr>
            <w:r>
              <w:rPr>
                <w:rFonts w:ascii="Arial" w:eastAsia="Arial" w:hAnsi="Arial" w:cs="Arial"/>
                <w:b/>
                <w:i w:val="0"/>
                <w:color w:val="FFFFFF"/>
                <w:sz w:val="16"/>
                <w:u w:val="none"/>
              </w:rPr>
              <w:t>Year</w:t>
            </w:r>
            <w:r>
              <w:rPr>
                <w:rFonts w:ascii="Arial" w:eastAsia="Arial" w:hAnsi="Arial" w:cs="Arial"/>
                <w:b/>
                <w:i w:val="0"/>
                <w:color w:val="FFFFFF"/>
                <w:sz w:val="16"/>
                <w:u w:val="none"/>
                <w:vertAlign w:val="superscript"/>
              </w:rPr>
              <w:t>(1)</w:t>
            </w:r>
          </w:p>
        </w:tc>
        <w:tc>
          <w:tcPr>
            <w:tcW w:w="130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3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Summary Compensation Table Total for PEO</w:t>
            </w:r>
            <w:r>
              <w:rPr>
                <w:rFonts w:ascii="Arial" w:eastAsia="Arial" w:hAnsi="Arial" w:cs="Arial"/>
                <w:b/>
                <w:i w:val="0"/>
                <w:color w:val="FFFFFF"/>
                <w:sz w:val="16"/>
                <w:u w:val="none"/>
                <w:vertAlign w:val="superscript"/>
              </w:rPr>
              <w:t>(2)</w:t>
            </w:r>
          </w:p>
        </w:tc>
        <w:tc>
          <w:tcPr>
            <w:tcW w:w="1260"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3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Compensation Actually Paid to PEO</w:t>
            </w:r>
            <w:r>
              <w:rPr>
                <w:rFonts w:ascii="Arial" w:eastAsia="Arial" w:hAnsi="Arial" w:cs="Arial"/>
                <w:b/>
                <w:i w:val="0"/>
                <w:color w:val="FFFFFF"/>
                <w:sz w:val="16"/>
                <w:u w:val="none"/>
                <w:vertAlign w:val="superscript"/>
              </w:rPr>
              <w:t>(3)</w:t>
            </w:r>
          </w:p>
        </w:tc>
        <w:tc>
          <w:tcPr>
            <w:tcW w:w="121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3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Average Summary Compensation Table Total for Non-PEO NEOs</w:t>
            </w:r>
            <w:r>
              <w:rPr>
                <w:rFonts w:ascii="Arial" w:eastAsia="Arial" w:hAnsi="Arial" w:cs="Arial"/>
                <w:b/>
                <w:i w:val="0"/>
                <w:color w:val="FFFFFF"/>
                <w:sz w:val="16"/>
                <w:u w:val="none"/>
                <w:vertAlign w:val="superscript"/>
              </w:rPr>
              <w:t>(2)</w:t>
            </w:r>
          </w:p>
        </w:tc>
        <w:tc>
          <w:tcPr>
            <w:tcW w:w="127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3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Average Compensation Actually Paid to Non-PEO NEOs</w:t>
            </w:r>
            <w:r>
              <w:rPr>
                <w:rFonts w:ascii="Arial" w:eastAsia="Arial" w:hAnsi="Arial" w:cs="Arial"/>
                <w:b/>
                <w:i w:val="0"/>
                <w:color w:val="FFFFFF"/>
                <w:sz w:val="16"/>
                <w:u w:val="none"/>
                <w:vertAlign w:val="superscript"/>
              </w:rPr>
              <w:t>(3)</w:t>
            </w:r>
          </w:p>
        </w:tc>
        <w:tc>
          <w:tcPr>
            <w:tcW w:w="1065" w:type="dxa"/>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after="30" w:line="288" w:lineRule="auto"/>
              <w:jc w:val="right"/>
            </w:pPr>
            <w:r>
              <w:rPr>
                <w:rFonts w:ascii="Arial" w:eastAsia="Arial" w:hAnsi="Arial" w:cs="Arial"/>
                <w:b/>
                <w:i w:val="0"/>
                <w:color w:val="FFFFFF"/>
                <w:sz w:val="16"/>
                <w:u w:val="none"/>
              </w:rPr>
              <w:t>Total Shareholder Return</w:t>
            </w:r>
          </w:p>
        </w:tc>
        <w:tc>
          <w:tcPr>
            <w:tcW w:w="1140"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3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Peer Group Total Shareholder Return</w:t>
            </w:r>
            <w:r>
              <w:rPr>
                <w:rFonts w:ascii="Arial" w:eastAsia="Arial" w:hAnsi="Arial" w:cs="Arial"/>
                <w:b/>
                <w:i w:val="0"/>
                <w:color w:val="FFFFFF"/>
                <w:sz w:val="16"/>
                <w:u w:val="none"/>
                <w:vertAlign w:val="superscript"/>
              </w:rPr>
              <w:t>(5)</w:t>
            </w:r>
          </w:p>
        </w:tc>
        <w:tc>
          <w:tcPr>
            <w:tcW w:w="1065" w:type="dxa"/>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line="288" w:lineRule="auto"/>
              <w:jc w:val="right"/>
            </w:pPr>
            <w:r>
              <w:rPr>
                <w:rFonts w:ascii="Arial" w:eastAsia="Arial" w:hAnsi="Arial" w:cs="Arial"/>
                <w:b/>
                <w:i w:val="0"/>
                <w:color w:val="FFFFFF"/>
                <w:sz w:val="16"/>
                <w:u w:val="none"/>
              </w:rPr>
              <w:t>Net Earnings (Loss)</w:t>
            </w:r>
          </w:p>
          <w:p>
            <w:pPr>
              <w:spacing w:after="30" w:line="288" w:lineRule="auto"/>
              <w:jc w:val="right"/>
            </w:pPr>
            <w:r>
              <w:rPr>
                <w:rFonts w:ascii="Arial" w:eastAsia="Arial" w:hAnsi="Arial" w:cs="Arial"/>
                <w:b/>
                <w:i w:val="0"/>
                <w:color w:val="FFFFFF"/>
                <w:sz w:val="16"/>
                <w:u w:val="none"/>
              </w:rPr>
              <w:t>(in millions)</w:t>
            </w:r>
          </w:p>
        </w:tc>
        <w:tc>
          <w:tcPr>
            <w:tcW w:w="124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3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Adjusted ROE*</w:t>
            </w:r>
            <w:r>
              <w:rPr>
                <w:rFonts w:ascii="Arial" w:eastAsia="Arial" w:hAnsi="Arial" w:cs="Arial"/>
                <w:b/>
                <w:i w:val="0"/>
                <w:color w:val="FFFFFF"/>
                <w:sz w:val="16"/>
                <w:u w:val="none"/>
                <w:vertAlign w:val="superscript"/>
              </w:rPr>
              <w:t>(6)</w:t>
            </w:r>
          </w:p>
        </w:tc>
      </w:tr>
      <w:tr>
        <w:tblPrEx>
          <w:tblW w:w="10260" w:type="dxa"/>
          <w:tblInd w:w="0" w:type="dxa"/>
          <w:tblLayout w:type="fixed"/>
          <w:tblCellMar>
            <w:left w:w="108" w:type="dxa"/>
            <w:right w:w="108" w:type="dxa"/>
          </w:tblCellMar>
        </w:tblPrEx>
        <w:trPr>
          <w:cantSplit/>
          <w:trHeight w:hRule="exact" w:val="105"/>
        </w:trPr>
        <w:tc>
          <w:tcPr>
            <w:tcW w:w="69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7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06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06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40"/>
        </w:trPr>
        <w:tc>
          <w:tcPr>
            <w:tcW w:w="690" w:type="dxa"/>
            <w:tcBorders>
              <w:top w:val="nil"/>
              <w:left w:val="nil"/>
              <w:bottom w:val="nil"/>
              <w:right w:val="nil"/>
            </w:tcBorders>
            <w:shd w:val="clear" w:color="auto" w:fill="DFDDDE"/>
            <w:tcMar>
              <w:top w:w="0" w:type="dxa"/>
              <w:left w:w="53" w:type="dxa"/>
              <w:bottom w:w="0" w:type="dxa"/>
              <w:right w:w="53" w:type="dxa"/>
            </w:tcMar>
            <w:vAlign w:val="bottom"/>
          </w:tcPr>
          <w:p>
            <w:pPr>
              <w:keepNext/>
              <w:pageBreakBefore w:val="0"/>
              <w:spacing w:before="53" w:after="30" w:line="240" w:lineRule="auto"/>
              <w:ind w:left="90"/>
              <w:jc w:val="left"/>
            </w:pPr>
            <w:r>
              <w:rPr>
                <w:rFonts w:ascii="Arial" w:eastAsia="Arial" w:hAnsi="Arial" w:cs="Arial"/>
                <w:b/>
                <w:i w:val="0"/>
                <w:color w:val="000000"/>
                <w:sz w:val="16"/>
                <w:u w:val="none"/>
              </w:rPr>
              <w:t>2023</w:t>
            </w:r>
          </w:p>
        </w:tc>
        <w:tc>
          <w:tcPr>
            <w:tcW w:w="1305" w:type="dxa"/>
            <w:tcBorders>
              <w:top w:val="nil"/>
              <w:left w:val="nil"/>
              <w:bottom w:val="nil"/>
              <w:right w:val="nil"/>
            </w:tcBorders>
            <w:shd w:val="clear" w:color="auto" w:fill="DFDDDE"/>
            <w:tcMar>
              <w:top w:w="0" w:type="dxa"/>
              <w:left w:w="0" w:type="dxa"/>
              <w:bottom w:w="0" w:type="dxa"/>
              <w:right w:w="15" w:type="dxa"/>
            </w:tcMar>
            <w:vAlign w:val="bottom"/>
          </w:tcPr>
          <w:p>
            <w:pPr>
              <w:keepNext/>
              <w:pageBreakBefore w:val="0"/>
              <w:tabs>
                <w:tab w:val="left" w:pos="475"/>
                <w:tab w:val="left" w:pos="1237"/>
              </w:tabs>
              <w:spacing w:before="53" w:after="30" w:line="240" w:lineRule="auto"/>
              <w:jc w:val="right"/>
            </w:pPr>
            <w:r>
              <w:rPr>
                <w:rFonts w:ascii="Arial" w:eastAsia="Arial" w:hAnsi="Arial" w:cs="Arial"/>
                <w:b w:val="0"/>
                <w:i w:val="0"/>
                <w:color w:val="000000"/>
                <w:sz w:val="16"/>
                <w:u w:val="none"/>
              </w:rPr>
              <w:t>$</w:t>
              <w:tab/>
              <w:t>7,492,326</w:t>
              <w:tab/>
            </w:r>
          </w:p>
        </w:tc>
        <w:tc>
          <w:tcPr>
            <w:tcW w:w="1260" w:type="dxa"/>
            <w:tcBorders>
              <w:top w:val="nil"/>
              <w:left w:val="nil"/>
              <w:bottom w:val="nil"/>
              <w:right w:val="nil"/>
            </w:tcBorders>
            <w:shd w:val="clear" w:color="auto" w:fill="DFDDDE"/>
            <w:tcMar>
              <w:top w:w="0" w:type="dxa"/>
              <w:left w:w="0" w:type="dxa"/>
              <w:bottom w:w="0" w:type="dxa"/>
              <w:right w:w="15" w:type="dxa"/>
            </w:tcMar>
            <w:vAlign w:val="bottom"/>
          </w:tcPr>
          <w:p>
            <w:pPr>
              <w:keepNext/>
              <w:pageBreakBefore w:val="0"/>
              <w:tabs>
                <w:tab w:val="left" w:pos="341"/>
                <w:tab w:val="left" w:pos="1192"/>
              </w:tabs>
              <w:spacing w:before="53" w:after="30" w:line="240" w:lineRule="auto"/>
              <w:jc w:val="right"/>
            </w:pPr>
            <w:r>
              <w:rPr>
                <w:rFonts w:ascii="Arial" w:eastAsia="Arial" w:hAnsi="Arial" w:cs="Arial"/>
                <w:b w:val="0"/>
                <w:i w:val="0"/>
                <w:color w:val="000000"/>
                <w:sz w:val="16"/>
                <w:u w:val="none"/>
              </w:rPr>
              <w:t xml:space="preserve">$ </w:t>
              <w:tab/>
              <w:t>25,190,889</w:t>
              <w:tab/>
            </w:r>
          </w:p>
        </w:tc>
        <w:tc>
          <w:tcPr>
            <w:tcW w:w="1215" w:type="dxa"/>
            <w:tcBorders>
              <w:top w:val="nil"/>
              <w:left w:val="nil"/>
              <w:bottom w:val="nil"/>
              <w:right w:val="nil"/>
            </w:tcBorders>
            <w:shd w:val="clear" w:color="auto" w:fill="DFDDDE"/>
            <w:tcMar>
              <w:top w:w="0" w:type="dxa"/>
              <w:left w:w="0" w:type="dxa"/>
              <w:bottom w:w="0" w:type="dxa"/>
              <w:right w:w="15" w:type="dxa"/>
            </w:tcMar>
            <w:vAlign w:val="bottom"/>
          </w:tcPr>
          <w:p>
            <w:pPr>
              <w:keepNext/>
              <w:pageBreakBefore w:val="0"/>
              <w:tabs>
                <w:tab w:val="left" w:pos="385"/>
                <w:tab w:val="left" w:pos="1147"/>
              </w:tabs>
              <w:spacing w:before="53" w:after="30" w:line="240" w:lineRule="auto"/>
              <w:jc w:val="right"/>
            </w:pPr>
            <w:r>
              <w:rPr>
                <w:rFonts w:ascii="Arial" w:eastAsia="Arial" w:hAnsi="Arial" w:cs="Arial"/>
                <w:b w:val="0"/>
                <w:i w:val="0"/>
                <w:color w:val="000000"/>
                <w:sz w:val="16"/>
                <w:u w:val="none"/>
              </w:rPr>
              <w:t xml:space="preserve">$ </w:t>
              <w:tab/>
              <w:t>5,561,313</w:t>
              <w:tab/>
            </w:r>
          </w:p>
        </w:tc>
        <w:tc>
          <w:tcPr>
            <w:tcW w:w="1275" w:type="dxa"/>
            <w:tcBorders>
              <w:top w:val="nil"/>
              <w:left w:val="nil"/>
              <w:bottom w:val="nil"/>
              <w:right w:val="nil"/>
            </w:tcBorders>
            <w:shd w:val="clear" w:color="auto" w:fill="DFDDDE"/>
            <w:tcMar>
              <w:top w:w="0" w:type="dxa"/>
              <w:left w:w="0" w:type="dxa"/>
              <w:bottom w:w="0" w:type="dxa"/>
              <w:right w:w="15" w:type="dxa"/>
            </w:tcMar>
            <w:vAlign w:val="bottom"/>
          </w:tcPr>
          <w:p>
            <w:pPr>
              <w:keepNext/>
              <w:pageBreakBefore w:val="0"/>
              <w:tabs>
                <w:tab w:val="left" w:pos="445"/>
                <w:tab w:val="left" w:pos="1207"/>
              </w:tabs>
              <w:spacing w:before="53" w:after="30" w:line="240" w:lineRule="auto"/>
              <w:jc w:val="right"/>
            </w:pPr>
            <w:r>
              <w:rPr>
                <w:rFonts w:ascii="Arial" w:eastAsia="Arial" w:hAnsi="Arial" w:cs="Arial"/>
                <w:b w:val="0"/>
                <w:i w:val="0"/>
                <w:color w:val="000000"/>
                <w:sz w:val="16"/>
                <w:u w:val="none"/>
              </w:rPr>
              <w:t>$</w:t>
              <w:tab/>
              <w:t>8,156,660</w:t>
              <w:tab/>
            </w:r>
          </w:p>
        </w:tc>
        <w:tc>
          <w:tcPr>
            <w:tcW w:w="1065" w:type="dxa"/>
            <w:tcBorders>
              <w:top w:val="nil"/>
              <w:left w:val="nil"/>
              <w:bottom w:val="nil"/>
              <w:right w:val="nil"/>
            </w:tcBorders>
            <w:shd w:val="clear" w:color="auto" w:fill="DFDDDE"/>
            <w:tcMar>
              <w:top w:w="0" w:type="dxa"/>
              <w:left w:w="0" w:type="dxa"/>
              <w:bottom w:w="0" w:type="dxa"/>
              <w:right w:w="15" w:type="dxa"/>
            </w:tcMar>
            <w:vAlign w:val="bottom"/>
          </w:tcPr>
          <w:p>
            <w:pPr>
              <w:keepNext/>
              <w:pageBreakBefore w:val="0"/>
              <w:tabs>
                <w:tab w:val="left" w:pos="457"/>
                <w:tab w:val="left" w:pos="997"/>
              </w:tabs>
              <w:spacing w:before="53" w:after="30" w:line="240" w:lineRule="auto"/>
              <w:jc w:val="right"/>
            </w:pPr>
            <w:r>
              <w:rPr>
                <w:rFonts w:ascii="Arial" w:eastAsia="Arial" w:hAnsi="Arial" w:cs="Arial"/>
                <w:b w:val="0"/>
                <w:i w:val="0"/>
                <w:color w:val="000000"/>
                <w:sz w:val="16"/>
                <w:u w:val="none"/>
              </w:rPr>
              <w:t xml:space="preserve">$ </w:t>
              <w:tab/>
              <w:t>142.69</w:t>
              <w:tab/>
            </w:r>
          </w:p>
        </w:tc>
        <w:tc>
          <w:tcPr>
            <w:tcW w:w="1140" w:type="dxa"/>
            <w:tcBorders>
              <w:top w:val="nil"/>
              <w:left w:val="nil"/>
              <w:bottom w:val="nil"/>
              <w:right w:val="nil"/>
            </w:tcBorders>
            <w:shd w:val="clear" w:color="auto" w:fill="DFDDDE"/>
            <w:tcMar>
              <w:top w:w="0" w:type="dxa"/>
              <w:left w:w="0" w:type="dxa"/>
              <w:bottom w:w="0" w:type="dxa"/>
              <w:right w:w="15" w:type="dxa"/>
            </w:tcMar>
            <w:vAlign w:val="bottom"/>
          </w:tcPr>
          <w:p>
            <w:pPr>
              <w:keepNext/>
              <w:pageBreakBefore w:val="0"/>
              <w:tabs>
                <w:tab w:val="left" w:pos="532"/>
                <w:tab w:val="left" w:pos="1072"/>
              </w:tabs>
              <w:spacing w:before="53" w:after="30" w:line="240" w:lineRule="auto"/>
              <w:jc w:val="right"/>
            </w:pPr>
            <w:r>
              <w:rPr>
                <w:rFonts w:ascii="Arial" w:eastAsia="Arial" w:hAnsi="Arial" w:cs="Arial"/>
                <w:b w:val="0"/>
                <w:i w:val="0"/>
                <w:color w:val="000000"/>
                <w:sz w:val="16"/>
                <w:u w:val="none"/>
              </w:rPr>
              <w:t xml:space="preserve">$ </w:t>
              <w:tab/>
              <w:t>168.05</w:t>
              <w:tab/>
            </w:r>
          </w:p>
        </w:tc>
        <w:tc>
          <w:tcPr>
            <w:tcW w:w="1065" w:type="dxa"/>
            <w:tcBorders>
              <w:top w:val="nil"/>
              <w:left w:val="nil"/>
              <w:bottom w:val="nil"/>
              <w:right w:val="nil"/>
            </w:tcBorders>
            <w:shd w:val="clear" w:color="auto" w:fill="DFDDDE"/>
            <w:tcMar>
              <w:top w:w="0" w:type="dxa"/>
              <w:left w:w="0" w:type="dxa"/>
              <w:bottom w:w="0" w:type="dxa"/>
              <w:right w:w="15" w:type="dxa"/>
            </w:tcMar>
            <w:vAlign w:val="bottom"/>
          </w:tcPr>
          <w:p>
            <w:pPr>
              <w:keepNext/>
              <w:pageBreakBefore w:val="0"/>
              <w:tabs>
                <w:tab w:val="left" w:pos="546"/>
                <w:tab w:val="left" w:pos="997"/>
              </w:tabs>
              <w:spacing w:before="53" w:after="30" w:line="240" w:lineRule="auto"/>
              <w:jc w:val="right"/>
            </w:pPr>
            <w:r>
              <w:rPr>
                <w:rFonts w:ascii="Arial" w:eastAsia="Arial" w:hAnsi="Arial" w:cs="Arial"/>
                <w:b w:val="0"/>
                <w:i w:val="0"/>
                <w:color w:val="000000"/>
                <w:sz w:val="16"/>
                <w:u w:val="none"/>
              </w:rPr>
              <w:t xml:space="preserve">$ </w:t>
              <w:tab/>
              <w:t>1,118</w:t>
              <w:tab/>
            </w:r>
          </w:p>
        </w:tc>
        <w:tc>
          <w:tcPr>
            <w:tcW w:w="1245" w:type="dxa"/>
            <w:tcBorders>
              <w:top w:val="nil"/>
              <w:left w:val="nil"/>
              <w:bottom w:val="nil"/>
              <w:right w:val="nil"/>
            </w:tcBorders>
            <w:shd w:val="clear" w:color="auto" w:fill="DFDDDE"/>
            <w:tcMar>
              <w:top w:w="0" w:type="dxa"/>
              <w:left w:w="0" w:type="dxa"/>
              <w:bottom w:w="0" w:type="dxa"/>
              <w:right w:w="15" w:type="dxa"/>
            </w:tcMar>
            <w:vAlign w:val="bottom"/>
          </w:tcPr>
          <w:p>
            <w:pPr>
              <w:keepNext/>
              <w:pageBreakBefore w:val="0"/>
              <w:tabs>
                <w:tab w:val="left" w:pos="1"/>
                <w:tab w:val="left" w:pos="367"/>
              </w:tabs>
              <w:spacing w:before="53" w:after="30" w:line="240" w:lineRule="auto"/>
              <w:jc w:val="right"/>
            </w:pPr>
            <w:r>
              <w:rPr>
                <w:rFonts w:ascii="Arial" w:eastAsia="Arial" w:hAnsi="Arial" w:cs="Arial"/>
                <w:b w:val="0"/>
                <w:i w:val="0"/>
                <w:color w:val="000000"/>
                <w:sz w:val="16"/>
                <w:u w:val="none"/>
              </w:rPr>
              <w:tab/>
              <w:t>18.8</w:t>
              <w:tab/>
              <w:t>%</w:t>
            </w:r>
          </w:p>
        </w:tc>
      </w:tr>
      <w:tr>
        <w:tblPrEx>
          <w:tblW w:w="10260" w:type="dxa"/>
          <w:tblInd w:w="0" w:type="dxa"/>
          <w:tblLayout w:type="fixed"/>
          <w:tblCellMar>
            <w:left w:w="108" w:type="dxa"/>
            <w:right w:w="108" w:type="dxa"/>
          </w:tblCellMar>
        </w:tblPrEx>
        <w:trPr>
          <w:cantSplit/>
          <w:trHeight w:hRule="exact" w:val="105"/>
        </w:trPr>
        <w:tc>
          <w:tcPr>
            <w:tcW w:w="690"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27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06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06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40"/>
        </w:trPr>
        <w:tc>
          <w:tcPr>
            <w:tcW w:w="69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90"/>
              <w:jc w:val="left"/>
            </w:pPr>
            <w:r>
              <w:rPr>
                <w:rFonts w:ascii="Arial" w:eastAsia="Arial" w:hAnsi="Arial" w:cs="Arial"/>
                <w:b/>
                <w:i w:val="0"/>
                <w:color w:val="000000"/>
                <w:sz w:val="16"/>
                <w:u w:val="none"/>
              </w:rPr>
              <w:t>2022</w:t>
            </w: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386"/>
                <w:tab w:val="left" w:pos="1237"/>
              </w:tabs>
              <w:spacing w:before="53" w:after="30" w:line="240" w:lineRule="auto"/>
              <w:jc w:val="right"/>
            </w:pPr>
            <w:r>
              <w:rPr>
                <w:rFonts w:ascii="Arial" w:eastAsia="Arial" w:hAnsi="Arial" w:cs="Arial"/>
                <w:b w:val="0"/>
                <w:i w:val="0"/>
                <w:color w:val="000000"/>
                <w:sz w:val="16"/>
                <w:u w:val="none"/>
              </w:rPr>
              <w:t>$</w:t>
              <w:tab/>
              <w:t>20,941,190</w:t>
              <w:tab/>
            </w:r>
          </w:p>
        </w:tc>
        <w:tc>
          <w:tcPr>
            <w:tcW w:w="1260" w:type="dxa"/>
            <w:tcBorders>
              <w:top w:val="nil"/>
              <w:left w:val="nil"/>
              <w:bottom w:val="nil"/>
              <w:right w:val="nil"/>
            </w:tcBorders>
            <w:tcMar>
              <w:top w:w="0" w:type="dxa"/>
              <w:left w:w="0" w:type="dxa"/>
              <w:bottom w:w="0" w:type="dxa"/>
              <w:right w:w="15" w:type="dxa"/>
            </w:tcMar>
            <w:vAlign w:val="bottom"/>
          </w:tcPr>
          <w:p>
            <w:pPr>
              <w:keepNext/>
              <w:pageBreakBefore w:val="0"/>
              <w:tabs>
                <w:tab w:val="left" w:pos="430"/>
                <w:tab w:val="left" w:pos="1192"/>
              </w:tabs>
              <w:spacing w:before="53" w:after="30" w:line="240" w:lineRule="auto"/>
              <w:jc w:val="right"/>
            </w:pPr>
            <w:r>
              <w:rPr>
                <w:rFonts w:ascii="Arial" w:eastAsia="Arial" w:hAnsi="Arial" w:cs="Arial"/>
                <w:b w:val="0"/>
                <w:i w:val="0"/>
                <w:color w:val="000000"/>
                <w:sz w:val="16"/>
                <w:u w:val="none"/>
              </w:rPr>
              <w:t xml:space="preserve">$ </w:t>
              <w:tab/>
              <w:t>7,281,225</w:t>
              <w:tab/>
            </w:r>
          </w:p>
        </w:tc>
        <w:tc>
          <w:tcPr>
            <w:tcW w:w="1215" w:type="dxa"/>
            <w:tcBorders>
              <w:top w:val="nil"/>
              <w:left w:val="nil"/>
              <w:bottom w:val="nil"/>
              <w:right w:val="nil"/>
            </w:tcBorders>
            <w:tcMar>
              <w:top w:w="0" w:type="dxa"/>
              <w:left w:w="0" w:type="dxa"/>
              <w:bottom w:w="0" w:type="dxa"/>
              <w:right w:w="15" w:type="dxa"/>
            </w:tcMar>
            <w:vAlign w:val="bottom"/>
          </w:tcPr>
          <w:p>
            <w:pPr>
              <w:keepNext/>
              <w:pageBreakBefore w:val="0"/>
              <w:tabs>
                <w:tab w:val="left" w:pos="385"/>
                <w:tab w:val="left" w:pos="1147"/>
              </w:tabs>
              <w:spacing w:before="53" w:after="30" w:line="240" w:lineRule="auto"/>
              <w:jc w:val="right"/>
            </w:pPr>
            <w:r>
              <w:rPr>
                <w:rFonts w:ascii="Arial" w:eastAsia="Arial" w:hAnsi="Arial" w:cs="Arial"/>
                <w:b w:val="0"/>
                <w:i w:val="0"/>
                <w:color w:val="000000"/>
                <w:sz w:val="16"/>
                <w:u w:val="none"/>
              </w:rPr>
              <w:t xml:space="preserve">$ </w:t>
              <w:tab/>
              <w:t>3,241,675</w:t>
              <w:tab/>
            </w:r>
          </w:p>
        </w:tc>
        <w:tc>
          <w:tcPr>
            <w:tcW w:w="1275" w:type="dxa"/>
            <w:tcBorders>
              <w:top w:val="nil"/>
              <w:left w:val="nil"/>
              <w:bottom w:val="nil"/>
              <w:right w:val="nil"/>
            </w:tcBorders>
            <w:tcMar>
              <w:top w:w="0" w:type="dxa"/>
              <w:left w:w="0" w:type="dxa"/>
              <w:bottom w:w="0" w:type="dxa"/>
              <w:right w:w="15" w:type="dxa"/>
            </w:tcMar>
            <w:vAlign w:val="bottom"/>
          </w:tcPr>
          <w:p>
            <w:pPr>
              <w:keepNext/>
              <w:pageBreakBefore w:val="0"/>
              <w:tabs>
                <w:tab w:val="left" w:pos="505"/>
              </w:tabs>
              <w:spacing w:before="53" w:after="30" w:line="240" w:lineRule="auto"/>
              <w:jc w:val="right"/>
            </w:pPr>
            <w:r>
              <w:rPr>
                <w:rFonts w:ascii="Arial" w:eastAsia="Arial" w:hAnsi="Arial" w:cs="Arial"/>
                <w:b w:val="0"/>
                <w:i w:val="0"/>
                <w:color w:val="000000"/>
                <w:sz w:val="16"/>
                <w:u w:val="none"/>
              </w:rPr>
              <w:t>$</w:t>
              <w:tab/>
              <w:t>(177,613)</w:t>
            </w:r>
          </w:p>
        </w:tc>
        <w:tc>
          <w:tcPr>
            <w:tcW w:w="1065" w:type="dxa"/>
            <w:tcBorders>
              <w:top w:val="nil"/>
              <w:left w:val="nil"/>
              <w:bottom w:val="nil"/>
              <w:right w:val="nil"/>
            </w:tcBorders>
            <w:tcMar>
              <w:top w:w="0" w:type="dxa"/>
              <w:left w:w="0" w:type="dxa"/>
              <w:bottom w:w="0" w:type="dxa"/>
              <w:right w:w="15" w:type="dxa"/>
            </w:tcMar>
            <w:vAlign w:val="bottom"/>
          </w:tcPr>
          <w:p>
            <w:pPr>
              <w:keepNext/>
              <w:pageBreakBefore w:val="0"/>
              <w:tabs>
                <w:tab w:val="left" w:pos="457"/>
                <w:tab w:val="left" w:pos="997"/>
              </w:tabs>
              <w:spacing w:before="53" w:after="30" w:line="240" w:lineRule="auto"/>
              <w:jc w:val="right"/>
            </w:pPr>
            <w:r>
              <w:rPr>
                <w:rFonts w:ascii="Arial" w:eastAsia="Arial" w:hAnsi="Arial" w:cs="Arial"/>
                <w:b w:val="0"/>
                <w:i w:val="0"/>
                <w:color w:val="000000"/>
                <w:sz w:val="16"/>
                <w:u w:val="none"/>
              </w:rPr>
              <w:t xml:space="preserve">$ </w:t>
              <w:tab/>
              <w:t>111.69</w:t>
              <w:tab/>
            </w:r>
          </w:p>
        </w:tc>
        <w:tc>
          <w:tcPr>
            <w:tcW w:w="1140" w:type="dxa"/>
            <w:tcBorders>
              <w:top w:val="nil"/>
              <w:left w:val="nil"/>
              <w:bottom w:val="nil"/>
              <w:right w:val="nil"/>
            </w:tcBorders>
            <w:tcMar>
              <w:top w:w="0" w:type="dxa"/>
              <w:left w:w="0" w:type="dxa"/>
              <w:bottom w:w="0" w:type="dxa"/>
              <w:right w:w="15" w:type="dxa"/>
            </w:tcMar>
            <w:vAlign w:val="bottom"/>
          </w:tcPr>
          <w:p>
            <w:pPr>
              <w:keepNext/>
              <w:pageBreakBefore w:val="0"/>
              <w:tabs>
                <w:tab w:val="left" w:pos="532"/>
                <w:tab w:val="left" w:pos="1072"/>
              </w:tabs>
              <w:spacing w:before="53" w:after="30" w:line="240" w:lineRule="auto"/>
              <w:jc w:val="right"/>
            </w:pPr>
            <w:r>
              <w:rPr>
                <w:rFonts w:ascii="Arial" w:eastAsia="Arial" w:hAnsi="Arial" w:cs="Arial"/>
                <w:b w:val="0"/>
                <w:i w:val="0"/>
                <w:color w:val="000000"/>
                <w:sz w:val="16"/>
                <w:u w:val="none"/>
              </w:rPr>
              <w:t xml:space="preserve">$ </w:t>
              <w:tab/>
              <w:t>151.65</w:t>
              <w:tab/>
            </w:r>
          </w:p>
        </w:tc>
        <w:tc>
          <w:tcPr>
            <w:tcW w:w="1065" w:type="dxa"/>
            <w:tcBorders>
              <w:top w:val="nil"/>
              <w:left w:val="nil"/>
              <w:bottom w:val="nil"/>
              <w:right w:val="nil"/>
            </w:tcBorders>
            <w:tcMar>
              <w:top w:w="0" w:type="dxa"/>
              <w:left w:w="0" w:type="dxa"/>
              <w:bottom w:w="0" w:type="dxa"/>
              <w:right w:w="15" w:type="dxa"/>
            </w:tcMar>
            <w:vAlign w:val="bottom"/>
          </w:tcPr>
          <w:p>
            <w:pPr>
              <w:keepNext/>
              <w:pageBreakBefore w:val="0"/>
              <w:tabs>
                <w:tab w:val="left" w:pos="606"/>
              </w:tabs>
              <w:spacing w:before="53" w:after="30" w:line="240" w:lineRule="auto"/>
              <w:jc w:val="right"/>
            </w:pPr>
            <w:r>
              <w:rPr>
                <w:rFonts w:ascii="Arial" w:eastAsia="Arial" w:hAnsi="Arial" w:cs="Arial"/>
                <w:b w:val="0"/>
                <w:i w:val="0"/>
                <w:color w:val="000000"/>
                <w:sz w:val="16"/>
                <w:u w:val="none"/>
              </w:rPr>
              <w:t xml:space="preserve">$ </w:t>
              <w:tab/>
              <w:t>(870)</w:t>
            </w:r>
          </w:p>
        </w:tc>
        <w:tc>
          <w:tcPr>
            <w:tcW w:w="124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31"/>
              </w:tabs>
              <w:spacing w:before="53" w:after="30" w:line="240" w:lineRule="auto"/>
              <w:jc w:val="right"/>
            </w:pPr>
            <w:r>
              <w:rPr>
                <w:rFonts w:ascii="Arial" w:eastAsia="Arial" w:hAnsi="Arial" w:cs="Arial"/>
                <w:b w:val="0"/>
                <w:i w:val="0"/>
                <w:color w:val="000000"/>
                <w:sz w:val="16"/>
                <w:u w:val="none"/>
              </w:rPr>
              <w:tab/>
              <w:t>(1.1)</w:t>
              <w:tab/>
              <w:t>%</w:t>
            </w:r>
          </w:p>
        </w:tc>
      </w:tr>
      <w:tr>
        <w:tblPrEx>
          <w:tblW w:w="10260" w:type="dxa"/>
          <w:tblInd w:w="0" w:type="dxa"/>
          <w:tblLayout w:type="fixed"/>
          <w:tblCellMar>
            <w:left w:w="108" w:type="dxa"/>
            <w:right w:w="108" w:type="dxa"/>
          </w:tblCellMar>
        </w:tblPrEx>
        <w:trPr>
          <w:cantSplit/>
          <w:trHeight w:hRule="exact" w:val="105"/>
        </w:trPr>
        <w:tc>
          <w:tcPr>
            <w:tcW w:w="69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40"/>
        </w:trPr>
        <w:tc>
          <w:tcPr>
            <w:tcW w:w="690" w:type="dxa"/>
            <w:tcBorders>
              <w:top w:val="nil"/>
              <w:left w:val="nil"/>
              <w:bottom w:val="nil"/>
              <w:right w:val="nil"/>
            </w:tcBorders>
            <w:shd w:val="clear" w:color="auto" w:fill="DBDBDB"/>
            <w:tcMar>
              <w:top w:w="0" w:type="dxa"/>
              <w:left w:w="53" w:type="dxa"/>
              <w:bottom w:w="0" w:type="dxa"/>
              <w:right w:w="53" w:type="dxa"/>
            </w:tcMar>
            <w:vAlign w:val="bottom"/>
          </w:tcPr>
          <w:p>
            <w:pPr>
              <w:keepNext/>
              <w:pageBreakBefore w:val="0"/>
              <w:spacing w:before="53" w:after="30" w:line="240" w:lineRule="auto"/>
              <w:ind w:left="90"/>
              <w:jc w:val="left"/>
            </w:pPr>
            <w:r>
              <w:rPr>
                <w:rFonts w:ascii="Arial" w:eastAsia="Arial" w:hAnsi="Arial" w:cs="Arial"/>
                <w:b/>
                <w:i w:val="0"/>
                <w:color w:val="000000"/>
                <w:sz w:val="16"/>
                <w:u w:val="none"/>
              </w:rPr>
              <w:t>2021</w:t>
            </w:r>
          </w:p>
        </w:tc>
        <w:tc>
          <w:tcPr>
            <w:tcW w:w="130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475"/>
                <w:tab w:val="left" w:pos="1237"/>
              </w:tabs>
              <w:spacing w:before="53" w:after="30" w:line="240" w:lineRule="auto"/>
              <w:jc w:val="right"/>
            </w:pPr>
            <w:r>
              <w:rPr>
                <w:rFonts w:ascii="Arial" w:eastAsia="Arial" w:hAnsi="Arial" w:cs="Arial"/>
                <w:b w:val="0"/>
                <w:i w:val="0"/>
                <w:color w:val="000000"/>
                <w:sz w:val="16"/>
                <w:u w:val="none"/>
              </w:rPr>
              <w:t>$</w:t>
              <w:tab/>
              <w:t>5,189,781</w:t>
              <w:tab/>
            </w:r>
          </w:p>
        </w:tc>
        <w:tc>
          <w:tcPr>
            <w:tcW w:w="1260"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341"/>
                <w:tab w:val="left" w:pos="1192"/>
              </w:tabs>
              <w:spacing w:before="53" w:after="30" w:line="240" w:lineRule="auto"/>
              <w:jc w:val="right"/>
            </w:pPr>
            <w:r>
              <w:rPr>
                <w:rFonts w:ascii="Arial" w:eastAsia="Arial" w:hAnsi="Arial" w:cs="Arial"/>
                <w:b w:val="0"/>
                <w:i w:val="0"/>
                <w:color w:val="000000"/>
                <w:sz w:val="16"/>
                <w:u w:val="none"/>
              </w:rPr>
              <w:t xml:space="preserve">$    </w:t>
              <w:tab/>
              <w:t>14,658,427</w:t>
              <w:tab/>
            </w:r>
          </w:p>
        </w:tc>
        <w:tc>
          <w:tcPr>
            <w:tcW w:w="121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385"/>
                <w:tab w:val="left" w:pos="1147"/>
              </w:tabs>
              <w:spacing w:before="53" w:after="30" w:line="240" w:lineRule="auto"/>
              <w:jc w:val="right"/>
            </w:pPr>
            <w:r>
              <w:rPr>
                <w:rFonts w:ascii="Arial" w:eastAsia="Arial" w:hAnsi="Arial" w:cs="Arial"/>
                <w:b w:val="0"/>
                <w:i w:val="0"/>
                <w:color w:val="000000"/>
                <w:sz w:val="16"/>
                <w:u w:val="none"/>
              </w:rPr>
              <w:t xml:space="preserve">$ </w:t>
              <w:tab/>
              <w:t>2,584,898</w:t>
              <w:tab/>
            </w:r>
          </w:p>
        </w:tc>
        <w:tc>
          <w:tcPr>
            <w:tcW w:w="127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445"/>
                <w:tab w:val="left" w:pos="1207"/>
              </w:tabs>
              <w:spacing w:before="53" w:after="30" w:line="240" w:lineRule="auto"/>
              <w:jc w:val="right"/>
            </w:pPr>
            <w:r>
              <w:rPr>
                <w:rFonts w:ascii="Arial" w:eastAsia="Arial" w:hAnsi="Arial" w:cs="Arial"/>
                <w:b w:val="0"/>
                <w:i w:val="0"/>
                <w:color w:val="000000"/>
                <w:sz w:val="16"/>
                <w:u w:val="none"/>
              </w:rPr>
              <w:t>$</w:t>
              <w:tab/>
              <w:t>2,989,277</w:t>
              <w:tab/>
            </w:r>
          </w:p>
        </w:tc>
        <w:tc>
          <w:tcPr>
            <w:tcW w:w="106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457"/>
                <w:tab w:val="left" w:pos="997"/>
              </w:tabs>
              <w:spacing w:before="53" w:after="30" w:line="240" w:lineRule="auto"/>
              <w:jc w:val="right"/>
            </w:pPr>
            <w:r>
              <w:rPr>
                <w:rFonts w:ascii="Arial" w:eastAsia="Arial" w:hAnsi="Arial" w:cs="Arial"/>
                <w:b w:val="0"/>
                <w:i w:val="0"/>
                <w:color w:val="000000"/>
                <w:sz w:val="16"/>
                <w:u w:val="none"/>
              </w:rPr>
              <w:t xml:space="preserve">$ </w:t>
              <w:tab/>
              <w:t>119.69</w:t>
              <w:tab/>
            </w:r>
          </w:p>
        </w:tc>
        <w:tc>
          <w:tcPr>
            <w:tcW w:w="1140"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532"/>
                <w:tab w:val="left" w:pos="1072"/>
              </w:tabs>
              <w:spacing w:before="53" w:after="30" w:line="240" w:lineRule="auto"/>
              <w:jc w:val="right"/>
            </w:pPr>
            <w:r>
              <w:rPr>
                <w:rFonts w:ascii="Arial" w:eastAsia="Arial" w:hAnsi="Arial" w:cs="Arial"/>
                <w:b w:val="0"/>
                <w:i w:val="0"/>
                <w:color w:val="000000"/>
                <w:sz w:val="16"/>
                <w:u w:val="none"/>
              </w:rPr>
              <w:t xml:space="preserve">$ </w:t>
              <w:tab/>
              <w:t>127.58</w:t>
              <w:tab/>
            </w:r>
          </w:p>
        </w:tc>
        <w:tc>
          <w:tcPr>
            <w:tcW w:w="106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679"/>
                <w:tab w:val="left" w:pos="997"/>
              </w:tabs>
              <w:spacing w:before="53" w:after="30" w:line="240" w:lineRule="auto"/>
              <w:jc w:val="right"/>
            </w:pPr>
            <w:r>
              <w:rPr>
                <w:rFonts w:ascii="Arial" w:eastAsia="Arial" w:hAnsi="Arial" w:cs="Arial"/>
                <w:b w:val="0"/>
                <w:i w:val="0"/>
                <w:color w:val="000000"/>
                <w:sz w:val="16"/>
                <w:u w:val="none"/>
              </w:rPr>
              <w:t xml:space="preserve">$ </w:t>
              <w:tab/>
              <w:t>538</w:t>
              <w:tab/>
            </w:r>
          </w:p>
        </w:tc>
        <w:tc>
          <w:tcPr>
            <w:tcW w:w="124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1"/>
                <w:tab w:val="left" w:pos="367"/>
              </w:tabs>
              <w:spacing w:before="53" w:after="30" w:line="240" w:lineRule="auto"/>
              <w:jc w:val="right"/>
            </w:pPr>
            <w:r>
              <w:rPr>
                <w:rFonts w:ascii="Arial" w:eastAsia="Arial" w:hAnsi="Arial" w:cs="Arial"/>
                <w:b w:val="0"/>
                <w:i w:val="0"/>
                <w:color w:val="000000"/>
                <w:sz w:val="16"/>
                <w:u w:val="none"/>
              </w:rPr>
              <w:tab/>
              <w:t>10.1</w:t>
              <w:tab/>
              <w:t>%</w:t>
            </w:r>
          </w:p>
        </w:tc>
      </w:tr>
      <w:tr>
        <w:tblPrEx>
          <w:tblW w:w="10260" w:type="dxa"/>
          <w:tblInd w:w="0" w:type="dxa"/>
          <w:tblLayout w:type="fixed"/>
          <w:tblCellMar>
            <w:left w:w="108" w:type="dxa"/>
            <w:right w:w="108" w:type="dxa"/>
          </w:tblCellMar>
        </w:tblPrEx>
        <w:trPr>
          <w:cantSplit/>
          <w:trHeight w:hRule="exact" w:val="60"/>
        </w:trPr>
        <w:tc>
          <w:tcPr>
            <w:tcW w:w="69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6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7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06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06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40"/>
        </w:trPr>
        <w:tc>
          <w:tcPr>
            <w:tcW w:w="69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90"/>
              <w:jc w:val="left"/>
            </w:pPr>
            <w:r>
              <w:rPr>
                <w:rFonts w:ascii="Arial" w:eastAsia="Arial" w:hAnsi="Arial" w:cs="Arial"/>
                <w:b/>
                <w:i w:val="0"/>
                <w:color w:val="000000"/>
                <w:sz w:val="16"/>
                <w:u w:val="none"/>
              </w:rPr>
              <w:t>2020</w:t>
            </w:r>
          </w:p>
        </w:tc>
        <w:tc>
          <w:tcPr>
            <w:tcW w:w="1305" w:type="dxa"/>
            <w:tcBorders>
              <w:top w:val="nil"/>
              <w:left w:val="nil"/>
              <w:bottom w:val="nil"/>
              <w:right w:val="nil"/>
            </w:tcBorders>
            <w:tcMar>
              <w:top w:w="0" w:type="dxa"/>
              <w:left w:w="0" w:type="dxa"/>
              <w:bottom w:w="0" w:type="dxa"/>
              <w:right w:w="15" w:type="dxa"/>
            </w:tcMar>
            <w:vAlign w:val="bottom"/>
          </w:tcPr>
          <w:p>
            <w:pPr>
              <w:keepNext/>
              <w:pageBreakBefore w:val="0"/>
              <w:tabs>
                <w:tab w:val="left" w:pos="386"/>
                <w:tab w:val="left" w:pos="1237"/>
              </w:tabs>
              <w:spacing w:before="53" w:after="30" w:line="240" w:lineRule="auto"/>
              <w:jc w:val="right"/>
            </w:pPr>
            <w:r>
              <w:rPr>
                <w:rFonts w:ascii="Arial" w:eastAsia="Arial" w:hAnsi="Arial" w:cs="Arial"/>
                <w:b w:val="0"/>
                <w:i w:val="0"/>
                <w:color w:val="000000"/>
                <w:sz w:val="16"/>
                <w:u w:val="none"/>
              </w:rPr>
              <w:t>$</w:t>
              <w:tab/>
              <w:t>23,548,966</w:t>
              <w:tab/>
            </w:r>
          </w:p>
        </w:tc>
        <w:tc>
          <w:tcPr>
            <w:tcW w:w="1260" w:type="dxa"/>
            <w:tcBorders>
              <w:top w:val="nil"/>
              <w:left w:val="nil"/>
              <w:bottom w:val="nil"/>
              <w:right w:val="nil"/>
            </w:tcBorders>
            <w:tcMar>
              <w:top w:w="0" w:type="dxa"/>
              <w:left w:w="0" w:type="dxa"/>
              <w:bottom w:w="0" w:type="dxa"/>
              <w:right w:w="15" w:type="dxa"/>
            </w:tcMar>
            <w:vAlign w:val="bottom"/>
          </w:tcPr>
          <w:p>
            <w:pPr>
              <w:keepNext/>
              <w:pageBreakBefore w:val="0"/>
              <w:tabs>
                <w:tab w:val="left" w:pos="341"/>
                <w:tab w:val="left" w:pos="1192"/>
              </w:tabs>
              <w:spacing w:before="53" w:after="30" w:line="240" w:lineRule="auto"/>
              <w:jc w:val="right"/>
            </w:pPr>
            <w:r>
              <w:rPr>
                <w:rFonts w:ascii="Arial" w:eastAsia="Arial" w:hAnsi="Arial" w:cs="Arial"/>
                <w:b w:val="0"/>
                <w:i w:val="0"/>
                <w:color w:val="000000"/>
                <w:sz w:val="16"/>
                <w:u w:val="none"/>
              </w:rPr>
              <w:t xml:space="preserve">$ </w:t>
              <w:tab/>
              <w:t>27,697,926</w:t>
              <w:tab/>
            </w:r>
          </w:p>
        </w:tc>
        <w:tc>
          <w:tcPr>
            <w:tcW w:w="1215" w:type="dxa"/>
            <w:tcBorders>
              <w:top w:val="nil"/>
              <w:left w:val="nil"/>
              <w:bottom w:val="nil"/>
              <w:right w:val="nil"/>
            </w:tcBorders>
            <w:tcMar>
              <w:top w:w="0" w:type="dxa"/>
              <w:left w:w="0" w:type="dxa"/>
              <w:bottom w:w="0" w:type="dxa"/>
              <w:right w:w="15" w:type="dxa"/>
            </w:tcMar>
            <w:vAlign w:val="bottom"/>
          </w:tcPr>
          <w:p>
            <w:pPr>
              <w:keepNext/>
              <w:pageBreakBefore w:val="0"/>
              <w:tabs>
                <w:tab w:val="left" w:pos="385"/>
                <w:tab w:val="left" w:pos="1147"/>
              </w:tabs>
              <w:spacing w:before="53" w:after="30" w:line="240" w:lineRule="auto"/>
              <w:jc w:val="right"/>
            </w:pPr>
            <w:r>
              <w:rPr>
                <w:rFonts w:ascii="Arial" w:eastAsia="Arial" w:hAnsi="Arial" w:cs="Arial"/>
                <w:b w:val="0"/>
                <w:i w:val="0"/>
                <w:color w:val="000000"/>
                <w:sz w:val="16"/>
                <w:u w:val="none"/>
              </w:rPr>
              <w:t xml:space="preserve">$ </w:t>
              <w:tab/>
              <w:t>7,542,123</w:t>
              <w:tab/>
            </w:r>
          </w:p>
        </w:tc>
        <w:tc>
          <w:tcPr>
            <w:tcW w:w="1275"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 w:val="left" w:pos="1207"/>
              </w:tabs>
              <w:spacing w:before="53" w:after="30" w:line="240" w:lineRule="auto"/>
              <w:jc w:val="right"/>
            </w:pPr>
            <w:r>
              <w:rPr>
                <w:rFonts w:ascii="Arial" w:eastAsia="Arial" w:hAnsi="Arial" w:cs="Arial"/>
                <w:b w:val="0"/>
                <w:i w:val="0"/>
                <w:color w:val="000000"/>
                <w:sz w:val="16"/>
                <w:u w:val="none"/>
              </w:rPr>
              <w:t>$</w:t>
              <w:tab/>
              <w:t>7,241,141</w:t>
              <w:tab/>
            </w:r>
          </w:p>
        </w:tc>
        <w:tc>
          <w:tcPr>
            <w:tcW w:w="1065" w:type="dxa"/>
            <w:tcBorders>
              <w:top w:val="nil"/>
              <w:left w:val="nil"/>
              <w:bottom w:val="nil"/>
              <w:right w:val="nil"/>
            </w:tcBorders>
            <w:tcMar>
              <w:top w:w="0" w:type="dxa"/>
              <w:left w:w="0" w:type="dxa"/>
              <w:bottom w:w="0" w:type="dxa"/>
              <w:right w:w="15" w:type="dxa"/>
            </w:tcMar>
            <w:vAlign w:val="bottom"/>
          </w:tcPr>
          <w:p>
            <w:pPr>
              <w:keepNext/>
              <w:pageBreakBefore w:val="0"/>
              <w:tabs>
                <w:tab w:val="left" w:pos="546"/>
                <w:tab w:val="left" w:pos="997"/>
              </w:tabs>
              <w:spacing w:before="53" w:after="30" w:line="240" w:lineRule="auto"/>
              <w:jc w:val="right"/>
            </w:pPr>
            <w:r>
              <w:rPr>
                <w:rFonts w:ascii="Arial" w:eastAsia="Arial" w:hAnsi="Arial" w:cs="Arial"/>
                <w:b w:val="0"/>
                <w:i w:val="0"/>
                <w:color w:val="000000"/>
                <w:sz w:val="16"/>
                <w:u w:val="none"/>
              </w:rPr>
              <w:t xml:space="preserve">$ </w:t>
              <w:tab/>
              <w:t>99.05</w:t>
              <w:tab/>
            </w:r>
          </w:p>
        </w:tc>
        <w:tc>
          <w:tcPr>
            <w:tcW w:w="1140" w:type="dxa"/>
            <w:tcBorders>
              <w:top w:val="nil"/>
              <w:left w:val="nil"/>
              <w:bottom w:val="nil"/>
              <w:right w:val="nil"/>
            </w:tcBorders>
            <w:tcMar>
              <w:top w:w="0" w:type="dxa"/>
              <w:left w:w="0" w:type="dxa"/>
              <w:bottom w:w="0" w:type="dxa"/>
              <w:right w:w="15" w:type="dxa"/>
            </w:tcMar>
            <w:vAlign w:val="bottom"/>
          </w:tcPr>
          <w:p>
            <w:pPr>
              <w:keepNext/>
              <w:pageBreakBefore w:val="0"/>
              <w:tabs>
                <w:tab w:val="left" w:pos="532"/>
                <w:tab w:val="left" w:pos="1072"/>
              </w:tabs>
              <w:spacing w:before="53" w:after="30" w:line="240" w:lineRule="auto"/>
              <w:jc w:val="right"/>
            </w:pPr>
            <w:r>
              <w:rPr>
                <w:rFonts w:ascii="Arial" w:eastAsia="Arial" w:hAnsi="Arial" w:cs="Arial"/>
                <w:b w:val="0"/>
                <w:i w:val="0"/>
                <w:color w:val="000000"/>
                <w:sz w:val="16"/>
                <w:u w:val="none"/>
              </w:rPr>
              <w:t xml:space="preserve">$ </w:t>
              <w:tab/>
              <w:t>106.96</w:t>
              <w:tab/>
            </w:r>
          </w:p>
        </w:tc>
        <w:tc>
          <w:tcPr>
            <w:tcW w:w="1065" w:type="dxa"/>
            <w:tcBorders>
              <w:top w:val="nil"/>
              <w:left w:val="nil"/>
              <w:bottom w:val="nil"/>
              <w:right w:val="nil"/>
            </w:tcBorders>
            <w:tcMar>
              <w:top w:w="0" w:type="dxa"/>
              <w:left w:w="0" w:type="dxa"/>
              <w:bottom w:w="0" w:type="dxa"/>
              <w:right w:w="15" w:type="dxa"/>
            </w:tcMar>
            <w:vAlign w:val="bottom"/>
          </w:tcPr>
          <w:p>
            <w:pPr>
              <w:keepNext/>
              <w:pageBreakBefore w:val="0"/>
              <w:tabs>
                <w:tab w:val="left" w:pos="546"/>
                <w:tab w:val="left" w:pos="997"/>
              </w:tabs>
              <w:spacing w:before="53" w:after="30" w:line="240" w:lineRule="auto"/>
              <w:jc w:val="right"/>
            </w:pPr>
            <w:r>
              <w:rPr>
                <w:rFonts w:ascii="Arial" w:eastAsia="Arial" w:hAnsi="Arial" w:cs="Arial"/>
                <w:b w:val="0"/>
                <w:i w:val="0"/>
                <w:color w:val="000000"/>
                <w:sz w:val="16"/>
                <w:u w:val="none"/>
              </w:rPr>
              <w:t xml:space="preserve">$ </w:t>
              <w:tab/>
              <w:t>1,759</w:t>
              <w:tab/>
            </w:r>
          </w:p>
        </w:tc>
        <w:tc>
          <w:tcPr>
            <w:tcW w:w="124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67"/>
              </w:tabs>
              <w:spacing w:before="53" w:after="30" w:line="240" w:lineRule="auto"/>
              <w:jc w:val="right"/>
            </w:pPr>
            <w:r>
              <w:rPr>
                <w:rFonts w:ascii="Arial" w:eastAsia="Arial" w:hAnsi="Arial" w:cs="Arial"/>
                <w:b w:val="0"/>
                <w:i w:val="0"/>
                <w:color w:val="000000"/>
                <w:sz w:val="16"/>
                <w:u w:val="none"/>
              </w:rPr>
              <w:tab/>
              <w:t>41.9</w:t>
              <w:tab/>
              <w:t>%</w:t>
            </w:r>
          </w:p>
        </w:tc>
      </w:tr>
      <w:tr>
        <w:tblPrEx>
          <w:tblW w:w="10260" w:type="dxa"/>
          <w:tblInd w:w="0" w:type="dxa"/>
          <w:tblLayout w:type="fixed"/>
          <w:tblCellMar>
            <w:left w:w="108" w:type="dxa"/>
            <w:right w:w="108" w:type="dxa"/>
          </w:tblCellMar>
        </w:tblPrEx>
        <w:trPr>
          <w:cantSplit/>
          <w:trHeight w:hRule="exact" w:val="105"/>
        </w:trPr>
        <w:tc>
          <w:tcPr>
            <w:tcW w:w="69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26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21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27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06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14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06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245"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pageBreakBefore w:val="0"/>
        <w:widowControl w:val="0"/>
        <w:numPr>
          <w:ilvl w:val="0"/>
          <w:numId w:val="0"/>
        </w:numPr>
        <w:spacing w:before="120" w:after="60" w:line="288" w:lineRule="auto"/>
        <w:ind w:left="0" w:right="0" w:firstLine="360"/>
        <w:jc w:val="both"/>
        <w:outlineLvl w:val="9"/>
        <w:rPr>
          <w:rFonts w:ascii="Arial" w:eastAsia="Arial" w:hAnsi="Arial" w:cs="Arial"/>
          <w:b w:val="0"/>
          <w:i w:val="0"/>
          <w:color w:val="000000"/>
          <w:sz w:val="16"/>
          <w:u w:val="none"/>
        </w:rPr>
      </w:pPr>
      <w:r>
        <w:rPr>
          <w:rFonts w:ascii="Arial" w:eastAsia="Arial" w:hAnsi="Arial" w:cs="Arial"/>
          <w:b w:val="0"/>
          <w:i w:val="0"/>
          <w:color w:val="000000"/>
          <w:sz w:val="16"/>
          <w:u w:val="none"/>
        </w:rPr>
        <w:t>*Non-GAAP measure; refer to Appendix A for reconciliation to the applicable GAAP financial measure.</w:t>
      </w:r>
    </w:p>
    <w:p>
      <w:pPr>
        <w:keepNext w:val="0"/>
        <w:keepLines/>
        <w:pageBreakBefore w:val="0"/>
        <w:widowControl w:val="0"/>
        <w:numPr>
          <w:ilvl w:val="0"/>
          <w:numId w:val="323"/>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Dominic Silvester</w:t>
      </w:r>
      <w:r>
        <w:rPr>
          <w:rFonts w:ascii="Arial" w:eastAsia="Arial" w:hAnsi="Arial" w:cs="Arial"/>
          <w:b w:val="0"/>
          <w:i w:val="0"/>
          <w:color w:val="969698"/>
          <w:sz w:val="16"/>
          <w:u w:val="none"/>
        </w:rPr>
        <w:t xml:space="preserve"> has served as our PEO for the entirety of 2020, 2021</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2022</w:t>
      </w:r>
      <w:r>
        <w:rPr>
          <w:rFonts w:ascii="Arial" w:eastAsia="Arial" w:hAnsi="Arial" w:cs="Arial"/>
          <w:b w:val="0"/>
          <w:i w:val="0"/>
          <w:color w:val="969698"/>
          <w:sz w:val="16"/>
          <w:u w:val="none"/>
        </w:rPr>
        <w:t xml:space="preserve"> and 2023</w:t>
      </w:r>
      <w:r>
        <w:rPr>
          <w:rFonts w:ascii="Arial" w:eastAsia="Arial" w:hAnsi="Arial" w:cs="Arial"/>
          <w:b w:val="0"/>
          <w:i w:val="0"/>
          <w:color w:val="969698"/>
          <w:sz w:val="16"/>
          <w:u w:val="none"/>
        </w:rPr>
        <w:t>. Non-PEO NEOs for the applicable years were as follows:</w:t>
      </w:r>
    </w:p>
    <w:p>
      <w:pPr>
        <w:keepNext w:val="0"/>
        <w:keepLines/>
        <w:pageBreakBefore w:val="0"/>
        <w:widowControl w:val="0"/>
        <w:numPr>
          <w:ilvl w:val="0"/>
          <w:numId w:val="324"/>
        </w:numPr>
        <w:spacing w:before="0" w:after="60" w:line="288" w:lineRule="auto"/>
        <w:ind w:left="72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2023: </w:t>
      </w:r>
      <w:r>
        <w:rPr>
          <w:rFonts w:ascii="Arial" w:eastAsia="Arial" w:hAnsi="Arial" w:cs="Arial"/>
          <w:b w:val="0"/>
          <w:i w:val="0"/>
          <w:color w:val="969698"/>
          <w:sz w:val="16"/>
          <w:u w:val="none"/>
        </w:rPr>
        <w:t>Orla Gregory; Matthew Kirk; David Ni; Paul Brockman; and Nazar Alobaidat</w:t>
      </w:r>
    </w:p>
    <w:p>
      <w:pPr>
        <w:keepNext w:val="0"/>
        <w:keepLines/>
        <w:pageBreakBefore w:val="0"/>
        <w:widowControl w:val="0"/>
        <w:numPr>
          <w:ilvl w:val="0"/>
          <w:numId w:val="325"/>
        </w:numPr>
        <w:spacing w:before="0" w:after="60" w:line="288" w:lineRule="auto"/>
        <w:ind w:left="72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2022: </w:t>
      </w:r>
      <w:r>
        <w:rPr>
          <w:rFonts w:ascii="Arial" w:eastAsia="Arial" w:hAnsi="Arial" w:cs="Arial"/>
          <w:b w:val="0"/>
          <w:i w:val="0"/>
          <w:color w:val="969698"/>
          <w:sz w:val="16"/>
          <w:u w:val="none"/>
        </w:rPr>
        <w:t>Paul O'Shea; Orla Gregory; David Ni; and Paul Brockman</w:t>
      </w:r>
    </w:p>
    <w:p>
      <w:pPr>
        <w:keepNext w:val="0"/>
        <w:keepLines/>
        <w:pageBreakBefore w:val="0"/>
        <w:widowControl w:val="0"/>
        <w:numPr>
          <w:ilvl w:val="0"/>
          <w:numId w:val="326"/>
        </w:numPr>
        <w:spacing w:before="0" w:after="60" w:line="288" w:lineRule="auto"/>
        <w:ind w:left="72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2021: </w:t>
      </w:r>
      <w:r>
        <w:rPr>
          <w:rFonts w:ascii="Arial" w:eastAsia="Arial" w:hAnsi="Arial" w:cs="Arial"/>
          <w:b w:val="0"/>
          <w:i w:val="0"/>
          <w:color w:val="969698"/>
          <w:sz w:val="16"/>
          <w:u w:val="none"/>
        </w:rPr>
        <w:t>Paul O'Shea; Orla Gregory; Paul Brockman; Nazar Alobaidat; Guy Bowker; and Zachary Wolf</w:t>
      </w:r>
    </w:p>
    <w:p>
      <w:pPr>
        <w:keepNext w:val="0"/>
        <w:keepLines/>
        <w:pageBreakBefore w:val="0"/>
        <w:widowControl w:val="0"/>
        <w:numPr>
          <w:ilvl w:val="0"/>
          <w:numId w:val="327"/>
        </w:numPr>
        <w:spacing w:before="0" w:after="60" w:line="288" w:lineRule="auto"/>
        <w:ind w:left="72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2020: </w:t>
      </w:r>
      <w:r>
        <w:rPr>
          <w:rFonts w:ascii="Arial" w:eastAsia="Arial" w:hAnsi="Arial" w:cs="Arial"/>
          <w:b w:val="0"/>
          <w:i w:val="0"/>
          <w:color w:val="969698"/>
          <w:sz w:val="16"/>
          <w:u w:val="none"/>
        </w:rPr>
        <w:t>Paul O'Shea; Guy Bowker; Orla Gregory; and Paul Brockman</w:t>
      </w:r>
      <w:r>
        <w:rPr>
          <w:rFonts w:ascii="Arial" w:eastAsia="Arial" w:hAnsi="Arial" w:cs="Arial"/>
          <w:b w:val="0"/>
          <w:i w:val="0"/>
          <w:color w:val="969698"/>
          <w:sz w:val="16"/>
          <w:u w:val="none"/>
        </w:rPr>
        <w:t xml:space="preserve"> </w:t>
      </w:r>
    </w:p>
    <w:p>
      <w:pPr>
        <w:keepNext w:val="0"/>
        <w:keepLines/>
        <w:pageBreakBefore w:val="0"/>
        <w:widowControl w:val="0"/>
        <w:numPr>
          <w:ilvl w:val="0"/>
          <w:numId w:val="323"/>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Amounts reported in this column represent (i) the SCT Total for the applicable year in the case of Mr. Silvester and (ii) the average of the SCT Totals for the applicable year for our Non-PEO NEOs for the applicable year.</w:t>
      </w:r>
    </w:p>
    <w:p>
      <w:pPr>
        <w:keepNext w:val="0"/>
        <w:keepLines/>
        <w:pageBreakBefore w:val="0"/>
        <w:widowControl w:val="0"/>
        <w:numPr>
          <w:ilvl w:val="0"/>
          <w:numId w:val="323"/>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To calculate CAP, adjustments were made to the SCT Totals for the applicable year. A reconciliation of the adjustments for Mr. Silvester and for the average of the Non-PEO NEOs is set forth following the footnotes to this table. As such, the amounts reported in these columns do not reflect the actual amount of compensation earned by or paid to our named executive officers during the applicable year. </w:t>
      </w:r>
    </w:p>
    <w:p>
      <w:pPr>
        <w:keepNext w:val="0"/>
        <w:keepLines/>
        <w:pageBreakBefore w:val="0"/>
        <w:widowControl w:val="0"/>
        <w:numPr>
          <w:ilvl w:val="0"/>
          <w:numId w:val="323"/>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Pursuant to SEC rules, the comparison assumes $100 was invested on December 31, 2019. Historic stock price performance is not necessarily indicative of future stock price performance. </w:t>
      </w:r>
    </w:p>
    <w:p>
      <w:pPr>
        <w:keepNext w:val="0"/>
        <w:keepLines/>
        <w:pageBreakBefore w:val="0"/>
        <w:widowControl w:val="0"/>
        <w:numPr>
          <w:ilvl w:val="0"/>
          <w:numId w:val="323"/>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The Total Shareholder Return</w:t>
      </w:r>
      <w:r>
        <w:rPr>
          <w:rFonts w:ascii="Arial" w:eastAsia="Arial" w:hAnsi="Arial" w:cs="Arial"/>
          <w:b w:val="0"/>
          <w:i w:val="0"/>
          <w:color w:val="969698"/>
          <w:sz w:val="16"/>
          <w:u w:val="none"/>
        </w:rPr>
        <w:t xml:space="preserve"> peer group consists of the S&amp;P 1500 Property &amp; Casualty Insurance Index, an independently prepared index that includes companies in the property and casualty insurance industry (and which is used for the Company’s stock performance chart in our Annual Report on Form 10-K).</w:t>
      </w:r>
    </w:p>
    <w:p>
      <w:pPr>
        <w:keepNext w:val="0"/>
        <w:keepLines/>
        <w:pageBreakBefore w:val="0"/>
        <w:widowControl w:val="0"/>
        <w:numPr>
          <w:ilvl w:val="0"/>
          <w:numId w:val="323"/>
        </w:numPr>
        <w:spacing w:before="0" w:after="10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As discussed in "Executive Compensation - Compensation Discussion and Analysis - Annual Incentive Program,"  the Human Resources and Compensation Committee selected </w:t>
      </w:r>
      <w:r>
        <w:rPr>
          <w:rFonts w:ascii="Arial" w:eastAsia="Arial" w:hAnsi="Arial" w:cs="Arial"/>
          <w:b w:val="0"/>
          <w:i w:val="0"/>
          <w:color w:val="969698"/>
          <w:sz w:val="16"/>
          <w:u w:val="none"/>
        </w:rPr>
        <w:t>Adjusted ROE</w:t>
      </w:r>
      <w:r>
        <w:rPr>
          <w:rFonts w:ascii="Arial" w:eastAsia="Arial" w:hAnsi="Arial" w:cs="Arial"/>
          <w:b w:val="0"/>
          <w:i w:val="0"/>
          <w:color w:val="969698"/>
          <w:sz w:val="16"/>
          <w:u w:val="none"/>
        </w:rPr>
        <w:t xml:space="preserve"> as the sole financial metric for evaluating management's performance in the 202</w:t>
      </w:r>
      <w:r>
        <w:rPr>
          <w:rFonts w:ascii="Arial" w:eastAsia="Arial" w:hAnsi="Arial" w:cs="Arial"/>
          <w:b w:val="0"/>
          <w:i w:val="0"/>
          <w:color w:val="969698"/>
          <w:sz w:val="16"/>
          <w:u w:val="none"/>
        </w:rPr>
        <w:t>3</w:t>
      </w:r>
      <w:r>
        <w:rPr>
          <w:rFonts w:ascii="Arial" w:eastAsia="Arial" w:hAnsi="Arial" w:cs="Arial"/>
          <w:b w:val="0"/>
          <w:i w:val="0"/>
          <w:color w:val="969698"/>
          <w:sz w:val="16"/>
          <w:u w:val="none"/>
        </w:rPr>
        <w:t xml:space="preserve"> Annual Incentive Compensation Program (the "AIP"</w:t>
      </w:r>
      <w:r>
        <w:rPr>
          <w:rFonts w:ascii="Arial" w:eastAsia="Arial" w:hAnsi="Arial" w:cs="Arial"/>
          <w:b w:val="0"/>
          <w:i w:val="0"/>
          <w:color w:val="969698"/>
          <w:sz w:val="16"/>
          <w:u w:val="none"/>
        </w:rPr>
        <w:t>)</w:t>
      </w:r>
      <w:r>
        <w:rPr>
          <w:rFonts w:ascii="Arial" w:eastAsia="Arial" w:hAnsi="Arial" w:cs="Arial"/>
          <w:b w:val="0"/>
          <w:i w:val="0"/>
          <w:color w:val="969698"/>
          <w:sz w:val="16"/>
          <w:u w:val="none"/>
        </w:rPr>
        <w:t xml:space="preserve">. This measure was used to determine </w:t>
      </w:r>
      <w:r>
        <w:rPr>
          <w:rFonts w:ascii="Arial" w:eastAsia="Arial" w:hAnsi="Arial" w:cs="Arial"/>
          <w:b w:val="0"/>
          <w:i w:val="0"/>
          <w:color w:val="969698"/>
          <w:sz w:val="16"/>
          <w:u w:val="none"/>
        </w:rPr>
        <w:t>45%</w:t>
      </w:r>
      <w:r>
        <w:rPr>
          <w:rFonts w:ascii="Arial" w:eastAsia="Arial" w:hAnsi="Arial" w:cs="Arial"/>
          <w:b w:val="0"/>
          <w:i w:val="0"/>
          <w:color w:val="969698"/>
          <w:sz w:val="16"/>
          <w:u w:val="none"/>
        </w:rPr>
        <w:t xml:space="preserve"> of the award granted pursuant to the 202</w:t>
      </w:r>
      <w:r>
        <w:rPr>
          <w:rFonts w:ascii="Arial" w:eastAsia="Arial" w:hAnsi="Arial" w:cs="Arial"/>
          <w:b w:val="0"/>
          <w:i w:val="0"/>
          <w:color w:val="969698"/>
          <w:sz w:val="16"/>
          <w:u w:val="none"/>
        </w:rPr>
        <w:t>3</w:t>
      </w:r>
      <w:r>
        <w:rPr>
          <w:rFonts w:ascii="Arial" w:eastAsia="Arial" w:hAnsi="Arial" w:cs="Arial"/>
          <w:b w:val="0"/>
          <w:i w:val="0"/>
          <w:color w:val="969698"/>
          <w:sz w:val="16"/>
          <w:u w:val="none"/>
        </w:rPr>
        <w:t xml:space="preserve"> AIP in the case of M</w:t>
      </w:r>
      <w:r>
        <w:rPr>
          <w:rFonts w:ascii="Arial" w:eastAsia="Arial" w:hAnsi="Arial" w:cs="Arial"/>
          <w:b w:val="0"/>
          <w:i w:val="0"/>
          <w:color w:val="969698"/>
          <w:sz w:val="16"/>
          <w:u w:val="none"/>
        </w:rPr>
        <w:t>r. Silvester</w:t>
      </w:r>
      <w:r>
        <w:rPr>
          <w:rFonts w:ascii="Arial" w:eastAsia="Arial" w:hAnsi="Arial" w:cs="Arial"/>
          <w:b w:val="0"/>
          <w:i w:val="0"/>
          <w:color w:val="969698"/>
          <w:sz w:val="16"/>
          <w:u w:val="none"/>
        </w:rPr>
        <w:t xml:space="preserve"> and Ms. Gregory and </w:t>
      </w:r>
      <w:r>
        <w:rPr>
          <w:rFonts w:ascii="Arial" w:eastAsia="Arial" w:hAnsi="Arial" w:cs="Arial"/>
          <w:b w:val="0"/>
          <w:i w:val="0"/>
          <w:color w:val="969698"/>
          <w:sz w:val="16"/>
          <w:u w:val="none"/>
        </w:rPr>
        <w:t>20%</w:t>
      </w:r>
      <w:r>
        <w:rPr>
          <w:rFonts w:ascii="Arial" w:eastAsia="Arial" w:hAnsi="Arial" w:cs="Arial"/>
          <w:b w:val="0"/>
          <w:i w:val="0"/>
          <w:color w:val="969698"/>
          <w:sz w:val="16"/>
          <w:u w:val="none"/>
        </w:rPr>
        <w:t xml:space="preserve"> of the award granted pursuant to the 202</w:t>
      </w:r>
      <w:r>
        <w:rPr>
          <w:rFonts w:ascii="Arial" w:eastAsia="Arial" w:hAnsi="Arial" w:cs="Arial"/>
          <w:b w:val="0"/>
          <w:i w:val="0"/>
          <w:color w:val="969698"/>
          <w:sz w:val="16"/>
          <w:u w:val="none"/>
        </w:rPr>
        <w:t>3</w:t>
      </w:r>
      <w:r>
        <w:rPr>
          <w:rFonts w:ascii="Arial" w:eastAsia="Arial" w:hAnsi="Arial" w:cs="Arial"/>
          <w:b w:val="0"/>
          <w:i w:val="0"/>
          <w:color w:val="969698"/>
          <w:sz w:val="16"/>
          <w:u w:val="none"/>
        </w:rPr>
        <w:t xml:space="preserve"> AIP in the case of Messrs. </w:t>
      </w:r>
      <w:r>
        <w:rPr>
          <w:rFonts w:ascii="Arial" w:eastAsia="Arial" w:hAnsi="Arial" w:cs="Arial"/>
          <w:b w:val="0"/>
          <w:i w:val="0"/>
          <w:color w:val="969698"/>
          <w:sz w:val="16"/>
          <w:u w:val="none"/>
        </w:rPr>
        <w:t xml:space="preserve">Kirk, </w:t>
      </w:r>
      <w:r>
        <w:rPr>
          <w:rFonts w:ascii="Arial" w:eastAsia="Arial" w:hAnsi="Arial" w:cs="Arial"/>
          <w:b w:val="0"/>
          <w:i w:val="0"/>
          <w:color w:val="969698"/>
          <w:sz w:val="16"/>
          <w:u w:val="none"/>
        </w:rPr>
        <w:t>Ni</w:t>
      </w:r>
      <w:r>
        <w:rPr>
          <w:rFonts w:ascii="Arial" w:eastAsia="Arial" w:hAnsi="Arial" w:cs="Arial"/>
          <w:b w:val="0"/>
          <w:i w:val="0"/>
          <w:color w:val="969698"/>
          <w:sz w:val="16"/>
          <w:u w:val="none"/>
        </w:rPr>
        <w:t>, Brockman and Alobaidat</w:t>
      </w:r>
      <w:r>
        <w:rPr>
          <w:rFonts w:ascii="Arial" w:eastAsia="Arial" w:hAnsi="Arial" w:cs="Arial"/>
          <w:b w:val="0"/>
          <w:i w:val="0"/>
          <w:color w:val="969698"/>
          <w:sz w:val="16"/>
          <w:u w:val="none"/>
        </w:rPr>
        <w:t xml:space="preserve">. </w:t>
      </w:r>
    </w:p>
    <w:p>
      <w:pPr>
        <w:keepNext w:val="0"/>
        <w:keepLines/>
        <w:pageBreakBefore w:val="0"/>
        <w:widowControl w:val="0"/>
        <w:numPr>
          <w:ilvl w:val="0"/>
          <w:numId w:val="323"/>
        </w:numPr>
        <w:spacing w:before="0" w:after="60" w:line="288" w:lineRule="auto"/>
        <w:ind w:left="360" w:right="0" w:hanging="360"/>
        <w:jc w:val="both"/>
        <w:outlineLvl w:val="9"/>
        <w:rPr>
          <w:rFonts w:ascii="Arial" w:eastAsia="Arial" w:hAnsi="Arial" w:cs="Arial"/>
          <w:b w:val="0"/>
          <w:i w:val="0"/>
          <w:color w:val="000000"/>
          <w:sz w:val="16"/>
          <w:u w:val="none"/>
        </w:rPr>
        <w:sectPr>
          <w:headerReference w:type="default" r:id="rId307"/>
          <w:footerReference w:type="default" r:id="rId308"/>
          <w:type w:val="continuous"/>
          <w:pgSz w:w="12240" w:h="15840"/>
          <w:pgMar w:top="855" w:right="990" w:bottom="855" w:left="990" w:header="180" w:footer="270"/>
          <w:cols w:space="708"/>
        </w:sectPr>
      </w:pPr>
    </w:p>
    <w:p>
      <w:pPr>
        <w:keepNext/>
        <w:keepLines/>
        <w:pageBreakBefore w:val="0"/>
        <w:widowControl w:val="0"/>
        <w:numPr>
          <w:ilvl w:val="0"/>
          <w:numId w:val="0"/>
        </w:numPr>
        <w:spacing w:before="0" w:after="60" w:line="288" w:lineRule="auto"/>
        <w:ind w:left="0" w:right="0" w:firstLine="0"/>
        <w:jc w:val="left"/>
        <w:outlineLvl w:val="9"/>
        <w:rPr>
          <w:rFonts w:ascii="Arial" w:eastAsia="Arial" w:hAnsi="Arial" w:cs="Arial"/>
          <w:b/>
          <w:i w:val="0"/>
          <w:color w:val="4495D1"/>
          <w:sz w:val="20"/>
          <w:u w:val="none"/>
        </w:rPr>
      </w:pPr>
      <w:bookmarkStart w:id="115" w:name="Section118"/>
      <w:bookmarkEnd w:id="115"/>
    </w:p>
    <w:p>
      <w:pPr>
        <w:keepNext/>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Reconciliation of CAP Adjustments</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615"/>
        <w:gridCol w:w="1245"/>
        <w:gridCol w:w="1215"/>
        <w:gridCol w:w="1080"/>
        <w:gridCol w:w="1245"/>
        <w:gridCol w:w="1080"/>
        <w:gridCol w:w="1200"/>
        <w:gridCol w:w="1365"/>
        <w:gridCol w:w="121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120"/>
        </w:trPr>
        <w:tc>
          <w:tcPr>
            <w:tcW w:w="61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ind w:left="90"/>
              <w:jc w:val="left"/>
            </w:pPr>
            <w:r>
              <w:rPr>
                <w:rFonts w:ascii="Arial" w:eastAsia="Arial" w:hAnsi="Arial" w:cs="Arial"/>
                <w:b/>
                <w:i w:val="0"/>
                <w:color w:val="FFFFFF"/>
                <w:sz w:val="16"/>
                <w:u w:val="none"/>
              </w:rPr>
              <w:t>Year</w:t>
            </w:r>
          </w:p>
        </w:tc>
        <w:tc>
          <w:tcPr>
            <w:tcW w:w="124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3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Summary Compensation Table Total</w:t>
            </w:r>
            <w:r>
              <w:rPr>
                <w:rFonts w:ascii="Arial" w:eastAsia="Arial" w:hAnsi="Arial" w:cs="Arial"/>
                <w:b/>
                <w:i w:val="0"/>
                <w:color w:val="FFFFFF"/>
                <w:sz w:val="18"/>
                <w:u w:val="none"/>
                <w:vertAlign w:val="superscript"/>
              </w:rPr>
              <w:t>(a)</w:t>
            </w:r>
          </w:p>
        </w:tc>
        <w:tc>
          <w:tcPr>
            <w:tcW w:w="121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0" w:line="288" w:lineRule="auto"/>
              <w:ind w:left="0" w:right="0" w:firstLine="0"/>
              <w:jc w:val="right"/>
              <w:outlineLvl w:val="9"/>
              <w:rPr>
                <w:rFonts w:ascii="Arial" w:eastAsia="Arial" w:hAnsi="Arial" w:cs="Arial"/>
                <w:b/>
                <w:i/>
                <w:color w:val="FFFFFF"/>
                <w:sz w:val="16"/>
                <w:u w:val="none"/>
              </w:rPr>
            </w:pPr>
            <w:r>
              <w:rPr>
                <w:rFonts w:ascii="Arial" w:eastAsia="Arial" w:hAnsi="Arial" w:cs="Arial"/>
                <w:b/>
                <w:i/>
                <w:color w:val="FFFFFF"/>
                <w:sz w:val="16"/>
                <w:u w:val="none"/>
              </w:rPr>
              <w:t>(Minus)</w:t>
            </w:r>
          </w:p>
          <w:p>
            <w:pPr>
              <w:pageBreakBefore w:val="0"/>
              <w:numPr>
                <w:ilvl w:val="0"/>
                <w:numId w:val="0"/>
              </w:numPr>
              <w:spacing w:before="0" w:after="3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Equity Award Values Reported in Summary Compensation Table for Covered Year</w:t>
            </w:r>
            <w:r>
              <w:rPr>
                <w:rFonts w:ascii="Arial" w:eastAsia="Arial" w:hAnsi="Arial" w:cs="Arial"/>
                <w:b/>
                <w:i w:val="0"/>
                <w:color w:val="FFFFFF"/>
                <w:sz w:val="18"/>
                <w:u w:val="none"/>
                <w:vertAlign w:val="superscript"/>
              </w:rPr>
              <w:t>(b)</w:t>
            </w:r>
          </w:p>
        </w:tc>
        <w:tc>
          <w:tcPr>
            <w:tcW w:w="1080"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0" w:line="288" w:lineRule="auto"/>
              <w:ind w:left="0" w:right="0" w:firstLine="0"/>
              <w:jc w:val="right"/>
              <w:outlineLvl w:val="9"/>
              <w:rPr>
                <w:rFonts w:ascii="Arial" w:eastAsia="Arial" w:hAnsi="Arial" w:cs="Arial"/>
                <w:b/>
                <w:i/>
                <w:color w:val="FFFFFF"/>
                <w:sz w:val="16"/>
                <w:u w:val="none"/>
              </w:rPr>
            </w:pPr>
            <w:r>
              <w:rPr>
                <w:rFonts w:ascii="Arial" w:eastAsia="Arial" w:hAnsi="Arial" w:cs="Arial"/>
                <w:b/>
                <w:i/>
                <w:color w:val="FFFFFF"/>
                <w:sz w:val="16"/>
                <w:u w:val="none"/>
              </w:rPr>
              <w:t>Plus</w:t>
            </w:r>
          </w:p>
          <w:p>
            <w:pPr>
              <w:pageBreakBefore w:val="0"/>
              <w:numPr>
                <w:ilvl w:val="0"/>
                <w:numId w:val="0"/>
              </w:numPr>
              <w:spacing w:before="0" w:after="3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Fair Value at Fiscal Year-End of Outstanding and Unvested Equity Awards Granted in Fiscal Year</w:t>
            </w:r>
            <w:r>
              <w:rPr>
                <w:rFonts w:ascii="Arial" w:eastAsia="Arial" w:hAnsi="Arial" w:cs="Arial"/>
                <w:b/>
                <w:i w:val="0"/>
                <w:color w:val="FFFFFF"/>
                <w:sz w:val="18"/>
                <w:u w:val="none"/>
                <w:vertAlign w:val="superscript"/>
              </w:rPr>
              <w:t>(c)</w:t>
            </w:r>
          </w:p>
        </w:tc>
        <w:tc>
          <w:tcPr>
            <w:tcW w:w="124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color w:val="FFFFFF"/>
                <w:sz w:val="16"/>
                <w:u w:val="none"/>
              </w:rPr>
              <w:t>Plus/(Minus)</w:t>
            </w:r>
          </w:p>
          <w:p>
            <w:pPr>
              <w:pageBreakBefore w:val="0"/>
              <w:numPr>
                <w:ilvl w:val="0"/>
                <w:numId w:val="0"/>
              </w:numPr>
              <w:spacing w:before="0" w:after="3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Change in Fair Value of Outstanding and Unvested Equity Awards Granted in Prior Fiscal Years</w:t>
            </w:r>
            <w:r>
              <w:rPr>
                <w:rFonts w:ascii="Arial" w:eastAsia="Arial" w:hAnsi="Arial" w:cs="Arial"/>
                <w:b/>
                <w:i w:val="0"/>
                <w:color w:val="FFFFFF"/>
                <w:sz w:val="18"/>
                <w:u w:val="none"/>
                <w:vertAlign w:val="superscript"/>
              </w:rPr>
              <w:t>(d)</w:t>
            </w:r>
          </w:p>
        </w:tc>
        <w:tc>
          <w:tcPr>
            <w:tcW w:w="1080"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0" w:line="288" w:lineRule="auto"/>
              <w:ind w:left="0" w:right="0" w:firstLine="0"/>
              <w:jc w:val="right"/>
              <w:outlineLvl w:val="9"/>
              <w:rPr>
                <w:rFonts w:ascii="Arial" w:eastAsia="Arial" w:hAnsi="Arial" w:cs="Arial"/>
                <w:b/>
                <w:i/>
                <w:color w:val="FFFFFF"/>
                <w:sz w:val="16"/>
                <w:u w:val="none"/>
              </w:rPr>
            </w:pPr>
            <w:r>
              <w:rPr>
                <w:rFonts w:ascii="Arial" w:eastAsia="Arial" w:hAnsi="Arial" w:cs="Arial"/>
                <w:b/>
                <w:i/>
                <w:color w:val="FFFFFF"/>
                <w:sz w:val="16"/>
                <w:u w:val="none"/>
              </w:rPr>
              <w:t>Plus</w:t>
            </w:r>
          </w:p>
          <w:p>
            <w:pPr>
              <w:pageBreakBefore w:val="0"/>
              <w:numPr>
                <w:ilvl w:val="0"/>
                <w:numId w:val="0"/>
              </w:numPr>
              <w:spacing w:before="0" w:after="3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Fair Value at Vesting of Equity Awards Granted in Fiscal Year that Vested During Fiscal Year</w:t>
            </w:r>
            <w:r>
              <w:rPr>
                <w:rFonts w:ascii="Arial" w:eastAsia="Arial" w:hAnsi="Arial" w:cs="Arial"/>
                <w:b/>
                <w:i w:val="0"/>
                <w:color w:val="FFFFFF"/>
                <w:sz w:val="18"/>
                <w:u w:val="none"/>
                <w:vertAlign w:val="superscript"/>
              </w:rPr>
              <w:t>(e)</w:t>
            </w:r>
          </w:p>
        </w:tc>
        <w:tc>
          <w:tcPr>
            <w:tcW w:w="1200"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0" w:line="288" w:lineRule="auto"/>
              <w:ind w:left="0" w:right="0" w:firstLine="0"/>
              <w:jc w:val="right"/>
              <w:outlineLvl w:val="9"/>
              <w:rPr>
                <w:rFonts w:ascii="Arial" w:eastAsia="Arial" w:hAnsi="Arial" w:cs="Arial"/>
                <w:b/>
                <w:i/>
                <w:color w:val="FFFFFF"/>
                <w:sz w:val="16"/>
                <w:u w:val="none"/>
              </w:rPr>
            </w:pPr>
            <w:r>
              <w:rPr>
                <w:rFonts w:ascii="Arial" w:eastAsia="Arial" w:hAnsi="Arial" w:cs="Arial"/>
                <w:b/>
                <w:i/>
                <w:color w:val="FFFFFF"/>
                <w:sz w:val="16"/>
                <w:u w:val="none"/>
              </w:rPr>
              <w:t>Plus/(Minus)</w:t>
            </w:r>
          </w:p>
          <w:p>
            <w:pPr>
              <w:pageBreakBefore w:val="0"/>
              <w:numPr>
                <w:ilvl w:val="0"/>
                <w:numId w:val="0"/>
              </w:numPr>
              <w:spacing w:before="0" w:after="3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Change in Fair Value at Vesting of Equity Awards Granted in Prior Fiscal Years for Which Applicable Vesting Conditions Were Satisfied</w:t>
            </w:r>
            <w:r>
              <w:rPr>
                <w:rFonts w:ascii="Arial" w:eastAsia="Arial" w:hAnsi="Arial" w:cs="Arial"/>
                <w:b/>
                <w:i w:val="0"/>
                <w:color w:val="FFFFFF"/>
                <w:sz w:val="18"/>
                <w:u w:val="none"/>
                <w:vertAlign w:val="superscript"/>
              </w:rPr>
              <w:t>(f)</w:t>
            </w:r>
          </w:p>
        </w:tc>
        <w:tc>
          <w:tcPr>
            <w:tcW w:w="136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0" w:line="288" w:lineRule="auto"/>
              <w:ind w:left="0" w:right="0" w:firstLine="0"/>
              <w:jc w:val="right"/>
              <w:outlineLvl w:val="9"/>
              <w:rPr>
                <w:rFonts w:ascii="Arial" w:eastAsia="Arial" w:hAnsi="Arial" w:cs="Arial"/>
                <w:b/>
                <w:i/>
                <w:color w:val="FFFFFF"/>
                <w:sz w:val="16"/>
                <w:u w:val="none"/>
              </w:rPr>
            </w:pPr>
            <w:r>
              <w:rPr>
                <w:rFonts w:ascii="Arial" w:eastAsia="Arial" w:hAnsi="Arial" w:cs="Arial"/>
                <w:b/>
                <w:i/>
                <w:color w:val="FFFFFF"/>
                <w:sz w:val="16"/>
                <w:u w:val="none"/>
              </w:rPr>
              <w:t>(Minus)</w:t>
            </w:r>
          </w:p>
          <w:p>
            <w:pPr>
              <w:pageBreakBefore w:val="0"/>
              <w:numPr>
                <w:ilvl w:val="0"/>
                <w:numId w:val="0"/>
              </w:numPr>
              <w:spacing w:before="0" w:after="3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Fair Value as of Prior Fiscal Year-End of Equity Awards Granted in Prior Fiscal Years that Failed to Meet Applicable Vesting Conditions During Fiscal Year</w:t>
            </w:r>
            <w:r>
              <w:rPr>
                <w:rFonts w:ascii="Arial" w:eastAsia="Arial" w:hAnsi="Arial" w:cs="Arial"/>
                <w:b/>
                <w:i w:val="0"/>
                <w:color w:val="FFFFFF"/>
                <w:sz w:val="18"/>
                <w:u w:val="none"/>
                <w:vertAlign w:val="superscript"/>
              </w:rPr>
              <w:t>(g)</w:t>
            </w:r>
          </w:p>
        </w:tc>
        <w:tc>
          <w:tcPr>
            <w:tcW w:w="121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0" w:line="288" w:lineRule="auto"/>
              <w:ind w:left="0" w:right="0" w:firstLine="0"/>
              <w:jc w:val="right"/>
              <w:outlineLvl w:val="9"/>
              <w:rPr>
                <w:rFonts w:ascii="Arial" w:eastAsia="Arial" w:hAnsi="Arial" w:cs="Arial"/>
                <w:b/>
                <w:i/>
                <w:color w:val="FFFFFF"/>
                <w:sz w:val="16"/>
                <w:u w:val="none"/>
              </w:rPr>
            </w:pPr>
            <w:r>
              <w:rPr>
                <w:rFonts w:ascii="Arial" w:eastAsia="Arial" w:hAnsi="Arial" w:cs="Arial"/>
                <w:b/>
                <w:i/>
                <w:color w:val="FFFFFF"/>
                <w:sz w:val="16"/>
                <w:u w:val="none"/>
              </w:rPr>
              <w:t>Equals</w:t>
            </w:r>
          </w:p>
          <w:p>
            <w:pPr>
              <w:pageBreakBefore w:val="0"/>
              <w:numPr>
                <w:ilvl w:val="0"/>
                <w:numId w:val="0"/>
              </w:numPr>
              <w:spacing w:before="0" w:after="30" w:line="288" w:lineRule="auto"/>
              <w:ind w:left="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Compensation Actually Paid</w:t>
            </w:r>
          </w:p>
        </w:tc>
      </w:tr>
      <w:tr>
        <w:tblPrEx>
          <w:tblW w:w="10260" w:type="dxa"/>
          <w:tblInd w:w="0" w:type="dxa"/>
          <w:tblLayout w:type="fixed"/>
          <w:tblCellMar>
            <w:left w:w="108" w:type="dxa"/>
            <w:right w:w="108" w:type="dxa"/>
          </w:tblCellMar>
        </w:tblPrEx>
        <w:trPr>
          <w:cantSplit/>
          <w:trHeight w:hRule="exact" w:val="105"/>
        </w:trPr>
        <w:tc>
          <w:tcPr>
            <w:tcW w:w="61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9045" w:type="dxa"/>
            <w:gridSpan w:val="8"/>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ind w:left="90"/>
              <w:jc w:val="left"/>
            </w:pPr>
            <w:r>
              <w:rPr>
                <w:rFonts w:ascii="Arial" w:eastAsia="Arial" w:hAnsi="Arial" w:cs="Arial"/>
                <w:b/>
                <w:i w:val="0"/>
                <w:color w:val="FFFFFF"/>
                <w:sz w:val="16"/>
                <w:u w:val="none"/>
              </w:rPr>
              <w:t>PEO</w:t>
            </w:r>
          </w:p>
        </w:tc>
        <w:tc>
          <w:tcPr>
            <w:tcW w:w="121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105"/>
        </w:trPr>
        <w:tc>
          <w:tcPr>
            <w:tcW w:w="61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40"/>
        </w:trPr>
        <w:tc>
          <w:tcPr>
            <w:tcW w:w="615" w:type="dxa"/>
            <w:tcBorders>
              <w:top w:val="nil"/>
              <w:left w:val="nil"/>
              <w:bottom w:val="nil"/>
              <w:right w:val="nil"/>
            </w:tcBorders>
            <w:shd w:val="clear" w:color="auto" w:fill="DBDBDB"/>
            <w:tcMar>
              <w:top w:w="0" w:type="dxa"/>
              <w:left w:w="53" w:type="dxa"/>
              <w:bottom w:w="0" w:type="dxa"/>
              <w:right w:w="53" w:type="dxa"/>
            </w:tcMar>
            <w:vAlign w:val="bottom"/>
          </w:tcPr>
          <w:p>
            <w:pPr>
              <w:keepNext/>
              <w:pageBreakBefore w:val="0"/>
              <w:spacing w:before="53" w:after="30" w:line="240" w:lineRule="auto"/>
              <w:ind w:left="90"/>
              <w:jc w:val="left"/>
            </w:pPr>
            <w:r>
              <w:rPr>
                <w:rFonts w:ascii="Arial" w:eastAsia="Arial" w:hAnsi="Arial" w:cs="Arial"/>
                <w:b/>
                <w:i w:val="0"/>
                <w:color w:val="000000"/>
                <w:sz w:val="16"/>
                <w:u w:val="none"/>
              </w:rPr>
              <w:t>2023</w:t>
            </w:r>
          </w:p>
        </w:tc>
        <w:tc>
          <w:tcPr>
            <w:tcW w:w="124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415"/>
                <w:tab w:val="left" w:pos="1177"/>
              </w:tabs>
              <w:spacing w:before="53" w:after="30" w:line="240" w:lineRule="auto"/>
              <w:jc w:val="right"/>
            </w:pPr>
            <w:r>
              <w:rPr>
                <w:rFonts w:ascii="Arial" w:eastAsia="Arial" w:hAnsi="Arial" w:cs="Arial"/>
                <w:b w:val="0"/>
                <w:i w:val="0"/>
                <w:color w:val="000000"/>
                <w:sz w:val="16"/>
                <w:u w:val="none"/>
              </w:rPr>
              <w:t>$</w:t>
              <w:tab/>
              <w:t>7,492,326</w:t>
              <w:tab/>
            </w:r>
          </w:p>
        </w:tc>
        <w:tc>
          <w:tcPr>
            <w:tcW w:w="121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936"/>
                <w:tab w:val="left" w:pos="1147"/>
              </w:tabs>
              <w:spacing w:before="53" w:after="30" w:line="240" w:lineRule="auto"/>
              <w:jc w:val="right"/>
            </w:pPr>
            <w:r>
              <w:rPr>
                <w:rFonts w:ascii="Arial" w:eastAsia="Arial" w:hAnsi="Arial" w:cs="Arial"/>
                <w:b w:val="0"/>
                <w:i w:val="0"/>
                <w:color w:val="000000"/>
                <w:sz w:val="16"/>
                <w:u w:val="none"/>
              </w:rPr>
              <w:t>$</w:t>
              <w:tab/>
              <w:t>—</w:t>
              <w:tab/>
            </w:r>
          </w:p>
        </w:tc>
        <w:tc>
          <w:tcPr>
            <w:tcW w:w="1080"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801"/>
                <w:tab w:val="left" w:pos="1012"/>
              </w:tabs>
              <w:spacing w:before="53" w:after="30" w:line="240" w:lineRule="auto"/>
              <w:jc w:val="right"/>
            </w:pPr>
            <w:r>
              <w:rPr>
                <w:rFonts w:ascii="Arial" w:eastAsia="Arial" w:hAnsi="Arial" w:cs="Arial"/>
                <w:b w:val="0"/>
                <w:i w:val="0"/>
                <w:color w:val="000000"/>
                <w:sz w:val="16"/>
                <w:u w:val="none"/>
              </w:rPr>
              <w:t>$</w:t>
              <w:tab/>
              <w:t>—</w:t>
              <w:tab/>
            </w:r>
          </w:p>
        </w:tc>
        <w:tc>
          <w:tcPr>
            <w:tcW w:w="124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326"/>
                <w:tab w:val="left" w:pos="1177"/>
              </w:tabs>
              <w:spacing w:before="53" w:after="30" w:line="240" w:lineRule="auto"/>
              <w:jc w:val="right"/>
            </w:pPr>
            <w:r>
              <w:rPr>
                <w:rFonts w:ascii="Arial" w:eastAsia="Arial" w:hAnsi="Arial" w:cs="Arial"/>
                <w:b w:val="0"/>
                <w:i w:val="0"/>
                <w:color w:val="000000"/>
                <w:sz w:val="16"/>
                <w:u w:val="none"/>
              </w:rPr>
              <w:t>$</w:t>
              <w:tab/>
              <w:t>17,698,563</w:t>
              <w:tab/>
            </w:r>
          </w:p>
        </w:tc>
        <w:tc>
          <w:tcPr>
            <w:tcW w:w="1080"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801"/>
                <w:tab w:val="left" w:pos="1012"/>
              </w:tabs>
              <w:spacing w:before="53" w:after="30" w:line="240" w:lineRule="auto"/>
              <w:jc w:val="right"/>
            </w:pPr>
            <w:r>
              <w:rPr>
                <w:rFonts w:ascii="Arial" w:eastAsia="Arial" w:hAnsi="Arial" w:cs="Arial"/>
                <w:b w:val="0"/>
                <w:i w:val="0"/>
                <w:color w:val="000000"/>
                <w:sz w:val="16"/>
                <w:u w:val="none"/>
              </w:rPr>
              <w:t>$</w:t>
              <w:tab/>
              <w:t>—</w:t>
              <w:tab/>
            </w:r>
          </w:p>
        </w:tc>
        <w:tc>
          <w:tcPr>
            <w:tcW w:w="1200"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921"/>
                <w:tab w:val="left" w:pos="1132"/>
              </w:tabs>
              <w:spacing w:before="53" w:after="30" w:line="240" w:lineRule="auto"/>
              <w:jc w:val="right"/>
            </w:pPr>
            <w:r>
              <w:rPr>
                <w:rFonts w:ascii="Arial" w:eastAsia="Arial" w:hAnsi="Arial" w:cs="Arial"/>
                <w:b w:val="0"/>
                <w:i w:val="0"/>
                <w:color w:val="000000"/>
                <w:sz w:val="16"/>
                <w:u w:val="none"/>
              </w:rPr>
              <w:t>$</w:t>
              <w:tab/>
              <w:t>—</w:t>
              <w:tab/>
            </w:r>
          </w:p>
        </w:tc>
        <w:tc>
          <w:tcPr>
            <w:tcW w:w="136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1086"/>
                <w:tab w:val="left" w:pos="1297"/>
              </w:tabs>
              <w:spacing w:before="53" w:after="30" w:line="240" w:lineRule="auto"/>
              <w:jc w:val="right"/>
            </w:pPr>
            <w:r>
              <w:rPr>
                <w:rFonts w:ascii="Arial" w:eastAsia="Arial" w:hAnsi="Arial" w:cs="Arial"/>
                <w:b w:val="0"/>
                <w:i w:val="0"/>
                <w:color w:val="000000"/>
                <w:sz w:val="16"/>
                <w:u w:val="none"/>
              </w:rPr>
              <w:t>$</w:t>
              <w:tab/>
              <w:t>—</w:t>
              <w:tab/>
            </w:r>
          </w:p>
        </w:tc>
        <w:tc>
          <w:tcPr>
            <w:tcW w:w="121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296"/>
                <w:tab w:val="left" w:pos="1147"/>
              </w:tabs>
              <w:spacing w:before="53" w:after="30" w:line="240" w:lineRule="auto"/>
              <w:jc w:val="right"/>
            </w:pPr>
            <w:r>
              <w:rPr>
                <w:rFonts w:ascii="Arial" w:eastAsia="Arial" w:hAnsi="Arial" w:cs="Arial"/>
                <w:b w:val="0"/>
                <w:i w:val="0"/>
                <w:color w:val="000000"/>
                <w:sz w:val="16"/>
                <w:u w:val="none"/>
              </w:rPr>
              <w:t>$</w:t>
              <w:tab/>
              <w:t>25,190,889</w:t>
              <w:tab/>
            </w:r>
          </w:p>
        </w:tc>
      </w:tr>
      <w:tr>
        <w:tblPrEx>
          <w:tblW w:w="10260" w:type="dxa"/>
          <w:tblInd w:w="0" w:type="dxa"/>
          <w:tblLayout w:type="fixed"/>
          <w:tblCellMar>
            <w:left w:w="108" w:type="dxa"/>
            <w:right w:w="108" w:type="dxa"/>
          </w:tblCellMar>
        </w:tblPrEx>
        <w:trPr>
          <w:cantSplit/>
          <w:trHeight w:hRule="exact" w:val="75"/>
        </w:trPr>
        <w:tc>
          <w:tcPr>
            <w:tcW w:w="61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40"/>
        </w:trPr>
        <w:tc>
          <w:tcPr>
            <w:tcW w:w="6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90"/>
              <w:jc w:val="left"/>
            </w:pPr>
            <w:r>
              <w:rPr>
                <w:rFonts w:ascii="Arial" w:eastAsia="Arial" w:hAnsi="Arial" w:cs="Arial"/>
                <w:b/>
                <w:i w:val="0"/>
                <w:color w:val="000000"/>
                <w:sz w:val="16"/>
                <w:u w:val="none"/>
              </w:rPr>
              <w:t>2022</w:t>
            </w:r>
          </w:p>
        </w:tc>
        <w:tc>
          <w:tcPr>
            <w:tcW w:w="1245" w:type="dxa"/>
            <w:tcBorders>
              <w:top w:val="nil"/>
              <w:left w:val="nil"/>
              <w:bottom w:val="nil"/>
              <w:right w:val="nil"/>
            </w:tcBorders>
            <w:tcMar>
              <w:top w:w="0" w:type="dxa"/>
              <w:left w:w="0" w:type="dxa"/>
              <w:bottom w:w="0" w:type="dxa"/>
              <w:right w:w="15" w:type="dxa"/>
            </w:tcMar>
            <w:vAlign w:val="bottom"/>
          </w:tcPr>
          <w:p>
            <w:pPr>
              <w:keepNext/>
              <w:pageBreakBefore w:val="0"/>
              <w:tabs>
                <w:tab w:val="left" w:pos="326"/>
                <w:tab w:val="left" w:pos="1177"/>
              </w:tabs>
              <w:spacing w:before="53" w:after="30" w:line="240" w:lineRule="auto"/>
              <w:jc w:val="right"/>
            </w:pPr>
            <w:r>
              <w:rPr>
                <w:rFonts w:ascii="Arial" w:eastAsia="Arial" w:hAnsi="Arial" w:cs="Arial"/>
                <w:b w:val="0"/>
                <w:i w:val="0"/>
                <w:color w:val="000000"/>
                <w:sz w:val="16"/>
                <w:u w:val="none"/>
              </w:rPr>
              <w:t>$</w:t>
              <w:tab/>
              <w:t>20,941,190</w:t>
              <w:tab/>
            </w:r>
          </w:p>
        </w:tc>
        <w:tc>
          <w:tcPr>
            <w:tcW w:w="1215" w:type="dxa"/>
            <w:tcBorders>
              <w:top w:val="nil"/>
              <w:left w:val="nil"/>
              <w:bottom w:val="nil"/>
              <w:right w:val="nil"/>
            </w:tcBorders>
            <w:tcMar>
              <w:top w:w="0" w:type="dxa"/>
              <w:left w:w="0" w:type="dxa"/>
              <w:bottom w:w="0" w:type="dxa"/>
              <w:right w:w="15" w:type="dxa"/>
            </w:tcMar>
            <w:vAlign w:val="bottom"/>
          </w:tcPr>
          <w:p>
            <w:pPr>
              <w:keepNext/>
              <w:pageBreakBefore w:val="0"/>
              <w:tabs>
                <w:tab w:val="left" w:pos="223"/>
              </w:tabs>
              <w:spacing w:before="53" w:after="30" w:line="240" w:lineRule="auto"/>
              <w:jc w:val="right"/>
            </w:pPr>
            <w:r>
              <w:rPr>
                <w:rFonts w:ascii="Arial" w:eastAsia="Arial" w:hAnsi="Arial" w:cs="Arial"/>
                <w:b w:val="0"/>
                <w:i w:val="0"/>
                <w:color w:val="000000"/>
                <w:sz w:val="16"/>
                <w:u w:val="none"/>
              </w:rPr>
              <w:t>$</w:t>
              <w:tab/>
              <w:t>(15,413,418)</w:t>
            </w:r>
          </w:p>
        </w:tc>
        <w:tc>
          <w:tcPr>
            <w:tcW w:w="1080" w:type="dxa"/>
            <w:tcBorders>
              <w:top w:val="nil"/>
              <w:left w:val="nil"/>
              <w:bottom w:val="nil"/>
              <w:right w:val="nil"/>
            </w:tcBorders>
            <w:tcMar>
              <w:top w:w="0" w:type="dxa"/>
              <w:left w:w="0" w:type="dxa"/>
              <w:bottom w:w="0" w:type="dxa"/>
              <w:right w:w="15" w:type="dxa"/>
            </w:tcMar>
            <w:vAlign w:val="bottom"/>
          </w:tcPr>
          <w:p>
            <w:pPr>
              <w:keepNext/>
              <w:pageBreakBefore w:val="0"/>
              <w:tabs>
                <w:tab w:val="left" w:pos="801"/>
                <w:tab w:val="left" w:pos="1012"/>
              </w:tabs>
              <w:spacing w:before="53" w:after="30" w:line="240" w:lineRule="auto"/>
              <w:jc w:val="right"/>
            </w:pPr>
            <w:r>
              <w:rPr>
                <w:rFonts w:ascii="Arial" w:eastAsia="Arial" w:hAnsi="Arial" w:cs="Arial"/>
                <w:b w:val="0"/>
                <w:i w:val="0"/>
                <w:color w:val="000000"/>
                <w:sz w:val="16"/>
                <w:u w:val="none"/>
              </w:rPr>
              <w:t>$</w:t>
              <w:tab/>
              <w:t>—</w:t>
              <w:tab/>
            </w:r>
          </w:p>
        </w:tc>
        <w:tc>
          <w:tcPr>
            <w:tcW w:w="1245" w:type="dxa"/>
            <w:tcBorders>
              <w:top w:val="nil"/>
              <w:left w:val="nil"/>
              <w:bottom w:val="nil"/>
              <w:right w:val="nil"/>
            </w:tcBorders>
            <w:tcMar>
              <w:top w:w="0" w:type="dxa"/>
              <w:left w:w="0" w:type="dxa"/>
              <w:bottom w:w="0" w:type="dxa"/>
              <w:right w:w="15" w:type="dxa"/>
            </w:tcMar>
            <w:vAlign w:val="bottom"/>
          </w:tcPr>
          <w:p>
            <w:pPr>
              <w:keepNext/>
              <w:pageBreakBefore w:val="0"/>
              <w:tabs>
                <w:tab w:val="left" w:pos="415"/>
                <w:tab w:val="left" w:pos="1177"/>
              </w:tabs>
              <w:spacing w:before="53" w:after="30" w:line="240" w:lineRule="auto"/>
              <w:jc w:val="right"/>
            </w:pPr>
            <w:r>
              <w:rPr>
                <w:rFonts w:ascii="Arial" w:eastAsia="Arial" w:hAnsi="Arial" w:cs="Arial"/>
                <w:b w:val="0"/>
                <w:i w:val="0"/>
                <w:color w:val="000000"/>
                <w:sz w:val="16"/>
                <w:u w:val="none"/>
              </w:rPr>
              <w:t>$</w:t>
              <w:tab/>
              <w:t>1,753,453</w:t>
              <w:tab/>
            </w:r>
          </w:p>
        </w:tc>
        <w:tc>
          <w:tcPr>
            <w:tcW w:w="1080" w:type="dxa"/>
            <w:tcBorders>
              <w:top w:val="nil"/>
              <w:left w:val="nil"/>
              <w:bottom w:val="nil"/>
              <w:right w:val="nil"/>
            </w:tcBorders>
            <w:tcMar>
              <w:top w:w="0" w:type="dxa"/>
              <w:left w:w="0" w:type="dxa"/>
              <w:bottom w:w="0" w:type="dxa"/>
              <w:right w:w="15" w:type="dxa"/>
            </w:tcMar>
            <w:vAlign w:val="bottom"/>
          </w:tcPr>
          <w:p>
            <w:pPr>
              <w:keepNext/>
              <w:pageBreakBefore w:val="0"/>
              <w:tabs>
                <w:tab w:val="left" w:pos="801"/>
                <w:tab w:val="left" w:pos="1012"/>
              </w:tabs>
              <w:spacing w:before="53" w:after="30" w:line="240" w:lineRule="auto"/>
              <w:jc w:val="right"/>
            </w:pPr>
            <w:r>
              <w:rPr>
                <w:rFonts w:ascii="Arial" w:eastAsia="Arial" w:hAnsi="Arial" w:cs="Arial"/>
                <w:b w:val="0"/>
                <w:i w:val="0"/>
                <w:color w:val="000000"/>
                <w:sz w:val="16"/>
                <w:u w:val="none"/>
              </w:rPr>
              <w:t>$</w:t>
              <w:tab/>
              <w:t>—</w:t>
              <w:tab/>
            </w: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921"/>
                <w:tab w:val="left" w:pos="1132"/>
              </w:tabs>
              <w:spacing w:before="53" w:after="30" w:line="240" w:lineRule="auto"/>
              <w:jc w:val="right"/>
            </w:pPr>
            <w:r>
              <w:rPr>
                <w:rFonts w:ascii="Arial" w:eastAsia="Arial" w:hAnsi="Arial" w:cs="Arial"/>
                <w:b w:val="0"/>
                <w:i w:val="0"/>
                <w:color w:val="000000"/>
                <w:sz w:val="16"/>
                <w:u w:val="none"/>
              </w:rPr>
              <w:t>$</w:t>
              <w:tab/>
              <w:t>—</w:t>
              <w:tab/>
            </w:r>
          </w:p>
        </w:tc>
        <w:tc>
          <w:tcPr>
            <w:tcW w:w="1365" w:type="dxa"/>
            <w:tcBorders>
              <w:top w:val="nil"/>
              <w:left w:val="nil"/>
              <w:bottom w:val="nil"/>
              <w:right w:val="nil"/>
            </w:tcBorders>
            <w:tcMar>
              <w:top w:w="0" w:type="dxa"/>
              <w:left w:w="0" w:type="dxa"/>
              <w:bottom w:w="0" w:type="dxa"/>
              <w:right w:w="15" w:type="dxa"/>
            </w:tcMar>
            <w:vAlign w:val="bottom"/>
          </w:tcPr>
          <w:p>
            <w:pPr>
              <w:keepNext/>
              <w:pageBreakBefore w:val="0"/>
              <w:tabs>
                <w:tab w:val="left" w:pos="1086"/>
                <w:tab w:val="left" w:pos="1297"/>
              </w:tabs>
              <w:spacing w:before="53" w:after="30" w:line="240" w:lineRule="auto"/>
              <w:jc w:val="right"/>
            </w:pPr>
            <w:r>
              <w:rPr>
                <w:rFonts w:ascii="Arial" w:eastAsia="Arial" w:hAnsi="Arial" w:cs="Arial"/>
                <w:b w:val="0"/>
                <w:i w:val="0"/>
                <w:color w:val="000000"/>
                <w:sz w:val="16"/>
                <w:u w:val="none"/>
              </w:rPr>
              <w:t>$</w:t>
              <w:tab/>
              <w:t>—</w:t>
              <w:tab/>
            </w:r>
          </w:p>
        </w:tc>
        <w:tc>
          <w:tcPr>
            <w:tcW w:w="1215" w:type="dxa"/>
            <w:tcBorders>
              <w:top w:val="nil"/>
              <w:left w:val="nil"/>
              <w:bottom w:val="nil"/>
              <w:right w:val="nil"/>
            </w:tcBorders>
            <w:tcMar>
              <w:top w:w="0" w:type="dxa"/>
              <w:left w:w="0" w:type="dxa"/>
              <w:bottom w:w="0" w:type="dxa"/>
              <w:right w:w="15" w:type="dxa"/>
            </w:tcMar>
            <w:vAlign w:val="bottom"/>
          </w:tcPr>
          <w:p>
            <w:pPr>
              <w:keepNext/>
              <w:pageBreakBefore w:val="0"/>
              <w:tabs>
                <w:tab w:val="left" w:pos="385"/>
                <w:tab w:val="left" w:pos="1147"/>
              </w:tabs>
              <w:spacing w:before="53" w:after="30" w:line="240" w:lineRule="auto"/>
              <w:jc w:val="right"/>
            </w:pPr>
            <w:r>
              <w:rPr>
                <w:rFonts w:ascii="Arial" w:eastAsia="Arial" w:hAnsi="Arial" w:cs="Arial"/>
                <w:b w:val="0"/>
                <w:i w:val="0"/>
                <w:color w:val="000000"/>
                <w:sz w:val="16"/>
                <w:u w:val="none"/>
              </w:rPr>
              <w:t>$</w:t>
              <w:tab/>
              <w:t>7,281,225</w:t>
              <w:tab/>
            </w:r>
          </w:p>
        </w:tc>
      </w:tr>
      <w:tr>
        <w:tblPrEx>
          <w:tblW w:w="10260" w:type="dxa"/>
          <w:tblInd w:w="0" w:type="dxa"/>
          <w:tblLayout w:type="fixed"/>
          <w:tblCellMar>
            <w:left w:w="108" w:type="dxa"/>
            <w:right w:w="108" w:type="dxa"/>
          </w:tblCellMar>
        </w:tblPrEx>
        <w:trPr>
          <w:cantSplit/>
          <w:trHeight w:hRule="exact" w:val="105"/>
        </w:trPr>
        <w:tc>
          <w:tcPr>
            <w:tcW w:w="6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40"/>
        </w:trPr>
        <w:tc>
          <w:tcPr>
            <w:tcW w:w="615" w:type="dxa"/>
            <w:tcBorders>
              <w:top w:val="nil"/>
              <w:left w:val="nil"/>
              <w:bottom w:val="nil"/>
              <w:right w:val="nil"/>
            </w:tcBorders>
            <w:shd w:val="clear" w:color="auto" w:fill="DBDBDB"/>
            <w:tcMar>
              <w:top w:w="0" w:type="dxa"/>
              <w:left w:w="53" w:type="dxa"/>
              <w:bottom w:w="0" w:type="dxa"/>
              <w:right w:w="53" w:type="dxa"/>
            </w:tcMar>
            <w:vAlign w:val="bottom"/>
          </w:tcPr>
          <w:p>
            <w:pPr>
              <w:keepNext/>
              <w:pageBreakBefore w:val="0"/>
              <w:spacing w:before="53" w:after="30" w:line="240" w:lineRule="auto"/>
              <w:ind w:left="90"/>
              <w:jc w:val="left"/>
            </w:pPr>
            <w:r>
              <w:rPr>
                <w:rFonts w:ascii="Arial" w:eastAsia="Arial" w:hAnsi="Arial" w:cs="Arial"/>
                <w:b/>
                <w:i w:val="0"/>
                <w:color w:val="000000"/>
                <w:sz w:val="16"/>
                <w:u w:val="none"/>
              </w:rPr>
              <w:t>2021</w:t>
            </w:r>
          </w:p>
        </w:tc>
        <w:tc>
          <w:tcPr>
            <w:tcW w:w="124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415"/>
                <w:tab w:val="left" w:pos="1177"/>
              </w:tabs>
              <w:spacing w:before="53" w:after="30" w:line="240" w:lineRule="auto"/>
              <w:jc w:val="right"/>
            </w:pPr>
            <w:r>
              <w:rPr>
                <w:rFonts w:ascii="Arial" w:eastAsia="Arial" w:hAnsi="Arial" w:cs="Arial"/>
                <w:b w:val="0"/>
                <w:i w:val="0"/>
                <w:color w:val="000000"/>
                <w:sz w:val="16"/>
                <w:u w:val="none"/>
              </w:rPr>
              <w:t>$</w:t>
              <w:tab/>
              <w:t>5,189,781</w:t>
              <w:tab/>
            </w:r>
          </w:p>
        </w:tc>
        <w:tc>
          <w:tcPr>
            <w:tcW w:w="121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936"/>
                <w:tab w:val="left" w:pos="1147"/>
              </w:tabs>
              <w:spacing w:before="53" w:after="30" w:line="240" w:lineRule="auto"/>
              <w:jc w:val="right"/>
            </w:pPr>
            <w:r>
              <w:rPr>
                <w:rFonts w:ascii="Arial" w:eastAsia="Arial" w:hAnsi="Arial" w:cs="Arial"/>
                <w:b w:val="0"/>
                <w:i w:val="0"/>
                <w:color w:val="000000"/>
                <w:sz w:val="16"/>
                <w:u w:val="none"/>
              </w:rPr>
              <w:t>$</w:t>
              <w:tab/>
              <w:t>—</w:t>
              <w:tab/>
            </w:r>
          </w:p>
        </w:tc>
        <w:tc>
          <w:tcPr>
            <w:tcW w:w="1080"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801"/>
                <w:tab w:val="left" w:pos="1012"/>
              </w:tabs>
              <w:spacing w:before="53" w:after="30" w:line="240" w:lineRule="auto"/>
              <w:jc w:val="right"/>
            </w:pPr>
            <w:r>
              <w:rPr>
                <w:rFonts w:ascii="Arial" w:eastAsia="Arial" w:hAnsi="Arial" w:cs="Arial"/>
                <w:b w:val="0"/>
                <w:i w:val="0"/>
                <w:color w:val="000000"/>
                <w:sz w:val="16"/>
                <w:u w:val="none"/>
              </w:rPr>
              <w:t>$</w:t>
              <w:tab/>
              <w:t>—</w:t>
              <w:tab/>
            </w:r>
          </w:p>
        </w:tc>
        <w:tc>
          <w:tcPr>
            <w:tcW w:w="124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415"/>
                <w:tab w:val="left" w:pos="1177"/>
              </w:tabs>
              <w:spacing w:before="53" w:after="30" w:line="240" w:lineRule="auto"/>
              <w:jc w:val="right"/>
            </w:pPr>
            <w:r>
              <w:rPr>
                <w:rFonts w:ascii="Arial" w:eastAsia="Arial" w:hAnsi="Arial" w:cs="Arial"/>
                <w:b w:val="0"/>
                <w:i w:val="0"/>
                <w:color w:val="000000"/>
                <w:sz w:val="16"/>
                <w:u w:val="none"/>
              </w:rPr>
              <w:t>$</w:t>
              <w:tab/>
              <w:t>9,468,646</w:t>
              <w:tab/>
            </w:r>
          </w:p>
        </w:tc>
        <w:tc>
          <w:tcPr>
            <w:tcW w:w="1080"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801"/>
                <w:tab w:val="left" w:pos="1012"/>
              </w:tabs>
              <w:spacing w:before="53" w:after="30" w:line="240" w:lineRule="auto"/>
              <w:jc w:val="right"/>
            </w:pPr>
            <w:r>
              <w:rPr>
                <w:rFonts w:ascii="Arial" w:eastAsia="Arial" w:hAnsi="Arial" w:cs="Arial"/>
                <w:b w:val="0"/>
                <w:i w:val="0"/>
                <w:color w:val="000000"/>
                <w:sz w:val="16"/>
                <w:u w:val="none"/>
              </w:rPr>
              <w:t>$</w:t>
              <w:tab/>
              <w:t>—</w:t>
              <w:tab/>
            </w:r>
          </w:p>
        </w:tc>
        <w:tc>
          <w:tcPr>
            <w:tcW w:w="1200"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921"/>
                <w:tab w:val="left" w:pos="1132"/>
              </w:tabs>
              <w:spacing w:before="53" w:after="30" w:line="240" w:lineRule="auto"/>
              <w:jc w:val="right"/>
            </w:pPr>
            <w:r>
              <w:rPr>
                <w:rFonts w:ascii="Arial" w:eastAsia="Arial" w:hAnsi="Arial" w:cs="Arial"/>
                <w:b w:val="0"/>
                <w:i w:val="0"/>
                <w:color w:val="000000"/>
                <w:sz w:val="16"/>
                <w:u w:val="none"/>
              </w:rPr>
              <w:t>$</w:t>
              <w:tab/>
              <w:t>—</w:t>
              <w:tab/>
            </w:r>
          </w:p>
        </w:tc>
        <w:tc>
          <w:tcPr>
            <w:tcW w:w="136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1086"/>
                <w:tab w:val="left" w:pos="1297"/>
              </w:tabs>
              <w:spacing w:before="53" w:after="30" w:line="240" w:lineRule="auto"/>
              <w:jc w:val="right"/>
            </w:pPr>
            <w:r>
              <w:rPr>
                <w:rFonts w:ascii="Arial" w:eastAsia="Arial" w:hAnsi="Arial" w:cs="Arial"/>
                <w:b w:val="0"/>
                <w:i w:val="0"/>
                <w:color w:val="000000"/>
                <w:sz w:val="16"/>
                <w:u w:val="none"/>
              </w:rPr>
              <w:t>$</w:t>
              <w:tab/>
              <w:t>—</w:t>
              <w:tab/>
            </w:r>
          </w:p>
        </w:tc>
        <w:tc>
          <w:tcPr>
            <w:tcW w:w="121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296"/>
                <w:tab w:val="left" w:pos="1147"/>
              </w:tabs>
              <w:spacing w:before="53" w:after="30" w:line="240" w:lineRule="auto"/>
              <w:jc w:val="right"/>
            </w:pPr>
            <w:r>
              <w:rPr>
                <w:rFonts w:ascii="Arial" w:eastAsia="Arial" w:hAnsi="Arial" w:cs="Arial"/>
                <w:b w:val="0"/>
                <w:i w:val="0"/>
                <w:color w:val="000000"/>
                <w:sz w:val="16"/>
                <w:u w:val="none"/>
              </w:rPr>
              <w:t>$</w:t>
              <w:tab/>
              <w:t>14,658,427</w:t>
              <w:tab/>
            </w:r>
          </w:p>
        </w:tc>
      </w:tr>
      <w:tr>
        <w:tblPrEx>
          <w:tblW w:w="10260" w:type="dxa"/>
          <w:tblInd w:w="0" w:type="dxa"/>
          <w:tblLayout w:type="fixed"/>
          <w:tblCellMar>
            <w:left w:w="108" w:type="dxa"/>
            <w:right w:w="108" w:type="dxa"/>
          </w:tblCellMar>
        </w:tblPrEx>
        <w:trPr>
          <w:cantSplit/>
          <w:trHeight w:hRule="exact" w:val="75"/>
        </w:trPr>
        <w:tc>
          <w:tcPr>
            <w:tcW w:w="61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40"/>
        </w:trPr>
        <w:tc>
          <w:tcPr>
            <w:tcW w:w="6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90"/>
              <w:jc w:val="left"/>
            </w:pPr>
            <w:r>
              <w:rPr>
                <w:rFonts w:ascii="Arial" w:eastAsia="Arial" w:hAnsi="Arial" w:cs="Arial"/>
                <w:b/>
                <w:i w:val="0"/>
                <w:color w:val="000000"/>
                <w:sz w:val="16"/>
                <w:u w:val="none"/>
              </w:rPr>
              <w:t>2020</w:t>
            </w:r>
          </w:p>
        </w:tc>
        <w:tc>
          <w:tcPr>
            <w:tcW w:w="1245" w:type="dxa"/>
            <w:tcBorders>
              <w:top w:val="nil"/>
              <w:left w:val="nil"/>
              <w:bottom w:val="nil"/>
              <w:right w:val="nil"/>
            </w:tcBorders>
            <w:tcMar>
              <w:top w:w="0" w:type="dxa"/>
              <w:left w:w="0" w:type="dxa"/>
              <w:bottom w:w="0" w:type="dxa"/>
              <w:right w:w="15" w:type="dxa"/>
            </w:tcMar>
            <w:vAlign w:val="bottom"/>
          </w:tcPr>
          <w:p>
            <w:pPr>
              <w:keepNext/>
              <w:pageBreakBefore w:val="0"/>
              <w:tabs>
                <w:tab w:val="left" w:pos="326"/>
                <w:tab w:val="left" w:pos="1177"/>
              </w:tabs>
              <w:spacing w:before="53" w:after="30" w:line="240" w:lineRule="auto"/>
              <w:jc w:val="right"/>
            </w:pPr>
            <w:r>
              <w:rPr>
                <w:rFonts w:ascii="Arial" w:eastAsia="Arial" w:hAnsi="Arial" w:cs="Arial"/>
                <w:b w:val="0"/>
                <w:i w:val="0"/>
                <w:color w:val="000000"/>
                <w:sz w:val="16"/>
                <w:u w:val="none"/>
              </w:rPr>
              <w:t>$</w:t>
              <w:tab/>
              <w:t>23,548,966</w:t>
              <w:tab/>
            </w:r>
          </w:p>
        </w:tc>
        <w:tc>
          <w:tcPr>
            <w:tcW w:w="1215" w:type="dxa"/>
            <w:tcBorders>
              <w:top w:val="nil"/>
              <w:left w:val="nil"/>
              <w:bottom w:val="nil"/>
              <w:right w:val="nil"/>
            </w:tcBorders>
            <w:tcMar>
              <w:top w:w="0" w:type="dxa"/>
              <w:left w:w="0" w:type="dxa"/>
              <w:bottom w:w="0" w:type="dxa"/>
              <w:right w:w="15" w:type="dxa"/>
            </w:tcMar>
            <w:vAlign w:val="bottom"/>
          </w:tcPr>
          <w:p>
            <w:pPr>
              <w:keepNext/>
              <w:pageBreakBefore w:val="0"/>
              <w:tabs>
                <w:tab w:val="left" w:pos="223"/>
              </w:tabs>
              <w:spacing w:before="53" w:after="30" w:line="240" w:lineRule="auto"/>
              <w:jc w:val="right"/>
            </w:pPr>
            <w:r>
              <w:rPr>
                <w:rFonts w:ascii="Arial" w:eastAsia="Arial" w:hAnsi="Arial" w:cs="Arial"/>
                <w:b w:val="0"/>
                <w:i w:val="0"/>
                <w:color w:val="000000"/>
                <w:sz w:val="16"/>
                <w:u w:val="none"/>
              </w:rPr>
              <w:t>$</w:t>
              <w:tab/>
              <w:t>(13,648,652)</w:t>
            </w:r>
          </w:p>
        </w:tc>
        <w:tc>
          <w:tcPr>
            <w:tcW w:w="1080" w:type="dxa"/>
            <w:tcBorders>
              <w:top w:val="nil"/>
              <w:left w:val="nil"/>
              <w:bottom w:val="nil"/>
              <w:right w:val="nil"/>
            </w:tcBorders>
            <w:tcMar>
              <w:top w:w="0" w:type="dxa"/>
              <w:left w:w="0" w:type="dxa"/>
              <w:bottom w:w="0" w:type="dxa"/>
              <w:right w:w="15" w:type="dxa"/>
            </w:tcMar>
            <w:vAlign w:val="bottom"/>
          </w:tcPr>
          <w:p>
            <w:pPr>
              <w:keepNext/>
              <w:pageBreakBefore w:val="0"/>
              <w:tabs>
                <w:tab w:val="left" w:pos="161"/>
                <w:tab w:val="left" w:pos="1012"/>
              </w:tabs>
              <w:spacing w:before="53" w:after="30" w:line="240" w:lineRule="auto"/>
              <w:jc w:val="right"/>
            </w:pPr>
            <w:r>
              <w:rPr>
                <w:rFonts w:ascii="Arial" w:eastAsia="Arial" w:hAnsi="Arial" w:cs="Arial"/>
                <w:b w:val="0"/>
                <w:i w:val="0"/>
                <w:color w:val="000000"/>
                <w:sz w:val="16"/>
                <w:u w:val="none"/>
              </w:rPr>
              <w:t>$</w:t>
              <w:tab/>
              <w:t>20,028,958</w:t>
              <w:tab/>
            </w:r>
          </w:p>
        </w:tc>
        <w:tc>
          <w:tcPr>
            <w:tcW w:w="1245" w:type="dxa"/>
            <w:tcBorders>
              <w:top w:val="nil"/>
              <w:left w:val="nil"/>
              <w:bottom w:val="nil"/>
              <w:right w:val="nil"/>
            </w:tcBorders>
            <w:tcMar>
              <w:top w:w="0" w:type="dxa"/>
              <w:left w:w="0" w:type="dxa"/>
              <w:bottom w:w="0" w:type="dxa"/>
              <w:right w:w="15" w:type="dxa"/>
            </w:tcMar>
            <w:vAlign w:val="bottom"/>
          </w:tcPr>
          <w:p>
            <w:pPr>
              <w:keepNext/>
              <w:pageBreakBefore w:val="0"/>
              <w:tabs>
                <w:tab w:val="left" w:pos="966"/>
                <w:tab w:val="left" w:pos="1177"/>
              </w:tabs>
              <w:spacing w:before="53" w:after="30" w:line="240" w:lineRule="auto"/>
              <w:jc w:val="right"/>
            </w:pPr>
            <w:r>
              <w:rPr>
                <w:rFonts w:ascii="Arial" w:eastAsia="Arial" w:hAnsi="Arial" w:cs="Arial"/>
                <w:b w:val="0"/>
                <w:i w:val="0"/>
                <w:color w:val="000000"/>
                <w:sz w:val="16"/>
                <w:u w:val="none"/>
              </w:rPr>
              <w:t>$</w:t>
              <w:tab/>
              <w:t>—</w:t>
              <w:tab/>
            </w:r>
          </w:p>
        </w:tc>
        <w:tc>
          <w:tcPr>
            <w:tcW w:w="1080" w:type="dxa"/>
            <w:tcBorders>
              <w:top w:val="nil"/>
              <w:left w:val="nil"/>
              <w:bottom w:val="nil"/>
              <w:right w:val="nil"/>
            </w:tcBorders>
            <w:tcMar>
              <w:top w:w="0" w:type="dxa"/>
              <w:left w:w="0" w:type="dxa"/>
              <w:bottom w:w="0" w:type="dxa"/>
              <w:right w:w="15" w:type="dxa"/>
            </w:tcMar>
            <w:vAlign w:val="bottom"/>
          </w:tcPr>
          <w:p>
            <w:pPr>
              <w:keepNext/>
              <w:pageBreakBefore w:val="0"/>
              <w:tabs>
                <w:tab w:val="left" w:pos="801"/>
                <w:tab w:val="left" w:pos="1012"/>
              </w:tabs>
              <w:spacing w:before="53" w:after="30" w:line="240" w:lineRule="auto"/>
              <w:jc w:val="right"/>
            </w:pPr>
            <w:r>
              <w:rPr>
                <w:rFonts w:ascii="Arial" w:eastAsia="Arial" w:hAnsi="Arial" w:cs="Arial"/>
                <w:b w:val="0"/>
                <w:i w:val="0"/>
                <w:color w:val="000000"/>
                <w:sz w:val="16"/>
                <w:u w:val="none"/>
              </w:rPr>
              <w:t>$</w:t>
              <w:tab/>
              <w:t>—</w:t>
              <w:tab/>
            </w: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297"/>
              </w:tabs>
              <w:spacing w:before="53" w:after="30" w:line="240" w:lineRule="auto"/>
              <w:jc w:val="right"/>
            </w:pPr>
            <w:r>
              <w:rPr>
                <w:rFonts w:ascii="Arial" w:eastAsia="Arial" w:hAnsi="Arial" w:cs="Arial"/>
                <w:b w:val="0"/>
                <w:i w:val="0"/>
                <w:color w:val="000000"/>
                <w:sz w:val="16"/>
                <w:u w:val="none"/>
              </w:rPr>
              <w:t>$</w:t>
              <w:tab/>
              <w:t>(2,231,346)</w:t>
            </w:r>
          </w:p>
        </w:tc>
        <w:tc>
          <w:tcPr>
            <w:tcW w:w="1365" w:type="dxa"/>
            <w:tcBorders>
              <w:top w:val="nil"/>
              <w:left w:val="nil"/>
              <w:bottom w:val="nil"/>
              <w:right w:val="nil"/>
            </w:tcBorders>
            <w:tcMar>
              <w:top w:w="0" w:type="dxa"/>
              <w:left w:w="0" w:type="dxa"/>
              <w:bottom w:w="0" w:type="dxa"/>
              <w:right w:w="15" w:type="dxa"/>
            </w:tcMar>
            <w:vAlign w:val="bottom"/>
          </w:tcPr>
          <w:p>
            <w:pPr>
              <w:keepNext/>
              <w:pageBreakBefore w:val="0"/>
              <w:tabs>
                <w:tab w:val="left" w:pos="1086"/>
                <w:tab w:val="left" w:pos="1297"/>
              </w:tabs>
              <w:spacing w:before="53" w:after="30" w:line="240" w:lineRule="auto"/>
              <w:jc w:val="right"/>
            </w:pPr>
            <w:r>
              <w:rPr>
                <w:rFonts w:ascii="Arial" w:eastAsia="Arial" w:hAnsi="Arial" w:cs="Arial"/>
                <w:b w:val="0"/>
                <w:i w:val="0"/>
                <w:color w:val="000000"/>
                <w:sz w:val="16"/>
                <w:u w:val="none"/>
              </w:rPr>
              <w:t>$</w:t>
              <w:tab/>
              <w:t>—</w:t>
              <w:tab/>
            </w:r>
          </w:p>
        </w:tc>
        <w:tc>
          <w:tcPr>
            <w:tcW w:w="1215" w:type="dxa"/>
            <w:tcBorders>
              <w:top w:val="nil"/>
              <w:left w:val="nil"/>
              <w:bottom w:val="nil"/>
              <w:right w:val="nil"/>
            </w:tcBorders>
            <w:tcMar>
              <w:top w:w="0" w:type="dxa"/>
              <w:left w:w="0" w:type="dxa"/>
              <w:bottom w:w="0" w:type="dxa"/>
              <w:right w:w="15" w:type="dxa"/>
            </w:tcMar>
            <w:vAlign w:val="bottom"/>
          </w:tcPr>
          <w:p>
            <w:pPr>
              <w:keepNext/>
              <w:pageBreakBefore w:val="0"/>
              <w:tabs>
                <w:tab w:val="left" w:pos="296"/>
                <w:tab w:val="left" w:pos="1147"/>
              </w:tabs>
              <w:spacing w:before="53" w:after="30" w:line="240" w:lineRule="auto"/>
              <w:jc w:val="right"/>
            </w:pPr>
            <w:r>
              <w:rPr>
                <w:rFonts w:ascii="Arial" w:eastAsia="Arial" w:hAnsi="Arial" w:cs="Arial"/>
                <w:b w:val="0"/>
                <w:i w:val="0"/>
                <w:color w:val="000000"/>
                <w:sz w:val="16"/>
                <w:u w:val="none"/>
              </w:rPr>
              <w:t>$</w:t>
              <w:tab/>
              <w:t>27,697,926</w:t>
              <w:tab/>
            </w:r>
          </w:p>
        </w:tc>
      </w:tr>
      <w:tr>
        <w:tblPrEx>
          <w:tblW w:w="10260" w:type="dxa"/>
          <w:tblInd w:w="0" w:type="dxa"/>
          <w:tblLayout w:type="fixed"/>
          <w:tblCellMar>
            <w:left w:w="108" w:type="dxa"/>
            <w:right w:w="108" w:type="dxa"/>
          </w:tblCellMar>
        </w:tblPrEx>
        <w:trPr>
          <w:cantSplit/>
          <w:trHeight w:hRule="exact" w:val="105"/>
        </w:trPr>
        <w:tc>
          <w:tcPr>
            <w:tcW w:w="6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105"/>
        </w:trPr>
        <w:tc>
          <w:tcPr>
            <w:tcW w:w="61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9045" w:type="dxa"/>
            <w:gridSpan w:val="8"/>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ind w:left="90"/>
              <w:jc w:val="left"/>
            </w:pPr>
            <w:r>
              <w:rPr>
                <w:rFonts w:ascii="Arial" w:eastAsia="Arial" w:hAnsi="Arial" w:cs="Arial"/>
                <w:b/>
                <w:i w:val="0"/>
                <w:color w:val="FFFFFF"/>
                <w:sz w:val="16"/>
                <w:u w:val="none"/>
              </w:rPr>
              <w:t>Average of Non-PEO NEOs</w:t>
            </w:r>
          </w:p>
        </w:tc>
        <w:tc>
          <w:tcPr>
            <w:tcW w:w="121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105"/>
        </w:trPr>
        <w:tc>
          <w:tcPr>
            <w:tcW w:w="61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40"/>
        </w:trPr>
        <w:tc>
          <w:tcPr>
            <w:tcW w:w="615" w:type="dxa"/>
            <w:tcBorders>
              <w:top w:val="nil"/>
              <w:left w:val="nil"/>
              <w:bottom w:val="nil"/>
              <w:right w:val="nil"/>
            </w:tcBorders>
            <w:shd w:val="clear" w:color="auto" w:fill="DBDBDB"/>
            <w:tcMar>
              <w:top w:w="0" w:type="dxa"/>
              <w:left w:w="53" w:type="dxa"/>
              <w:bottom w:w="0" w:type="dxa"/>
              <w:right w:w="53" w:type="dxa"/>
            </w:tcMar>
            <w:vAlign w:val="bottom"/>
          </w:tcPr>
          <w:p>
            <w:pPr>
              <w:keepNext/>
              <w:pageBreakBefore w:val="0"/>
              <w:spacing w:before="53" w:after="30" w:line="240" w:lineRule="auto"/>
              <w:ind w:left="90"/>
              <w:jc w:val="left"/>
            </w:pPr>
            <w:r>
              <w:rPr>
                <w:rFonts w:ascii="Arial" w:eastAsia="Arial" w:hAnsi="Arial" w:cs="Arial"/>
                <w:b/>
                <w:i w:val="0"/>
                <w:color w:val="000000"/>
                <w:sz w:val="16"/>
                <w:u w:val="none"/>
              </w:rPr>
              <w:t>2023</w:t>
            </w:r>
          </w:p>
        </w:tc>
        <w:tc>
          <w:tcPr>
            <w:tcW w:w="124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415"/>
                <w:tab w:val="left" w:pos="1177"/>
              </w:tabs>
              <w:spacing w:before="53" w:after="30" w:line="240" w:lineRule="auto"/>
              <w:jc w:val="right"/>
            </w:pPr>
            <w:r>
              <w:rPr>
                <w:rFonts w:ascii="Arial" w:eastAsia="Arial" w:hAnsi="Arial" w:cs="Arial"/>
                <w:b w:val="0"/>
                <w:i w:val="0"/>
                <w:color w:val="000000"/>
                <w:sz w:val="16"/>
                <w:u w:val="none"/>
              </w:rPr>
              <w:t>$</w:t>
              <w:tab/>
              <w:t>5,561,313</w:t>
              <w:tab/>
            </w:r>
          </w:p>
        </w:tc>
        <w:tc>
          <w:tcPr>
            <w:tcW w:w="121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312"/>
              </w:tabs>
              <w:spacing w:before="53" w:after="30" w:line="240" w:lineRule="auto"/>
              <w:jc w:val="right"/>
            </w:pPr>
            <w:r>
              <w:rPr>
                <w:rFonts w:ascii="Arial" w:eastAsia="Arial" w:hAnsi="Arial" w:cs="Arial"/>
                <w:b w:val="0"/>
                <w:i w:val="0"/>
                <w:color w:val="000000"/>
                <w:sz w:val="16"/>
                <w:u w:val="none"/>
              </w:rPr>
              <w:t>$</w:t>
              <w:tab/>
              <w:t>(3,487,979)</w:t>
            </w:r>
          </w:p>
        </w:tc>
        <w:tc>
          <w:tcPr>
            <w:tcW w:w="1080"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250"/>
                <w:tab w:val="left" w:pos="1012"/>
              </w:tabs>
              <w:spacing w:before="53" w:after="30" w:line="240" w:lineRule="auto"/>
              <w:jc w:val="right"/>
            </w:pPr>
            <w:r>
              <w:rPr>
                <w:rFonts w:ascii="Arial" w:eastAsia="Arial" w:hAnsi="Arial" w:cs="Arial"/>
                <w:b w:val="0"/>
                <w:i w:val="0"/>
                <w:color w:val="000000"/>
                <w:sz w:val="16"/>
                <w:u w:val="none"/>
              </w:rPr>
              <w:t>$</w:t>
              <w:tab/>
              <w:t>5,820,343</w:t>
              <w:tab/>
            </w:r>
          </w:p>
        </w:tc>
        <w:tc>
          <w:tcPr>
            <w:tcW w:w="124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548"/>
                <w:tab w:val="left" w:pos="1177"/>
              </w:tabs>
              <w:spacing w:before="53" w:after="30" w:line="240" w:lineRule="auto"/>
              <w:jc w:val="right"/>
            </w:pPr>
            <w:r>
              <w:rPr>
                <w:rFonts w:ascii="Arial" w:eastAsia="Arial" w:hAnsi="Arial" w:cs="Arial"/>
                <w:b w:val="0"/>
                <w:i w:val="0"/>
                <w:color w:val="000000"/>
                <w:sz w:val="16"/>
                <w:u w:val="none"/>
              </w:rPr>
              <w:t>$</w:t>
              <w:tab/>
              <w:t>250,219</w:t>
              <w:tab/>
            </w:r>
          </w:p>
        </w:tc>
        <w:tc>
          <w:tcPr>
            <w:tcW w:w="1080"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801"/>
                <w:tab w:val="left" w:pos="1012"/>
              </w:tabs>
              <w:spacing w:before="53" w:after="30" w:line="240" w:lineRule="auto"/>
              <w:jc w:val="right"/>
            </w:pPr>
            <w:r>
              <w:rPr>
                <w:rFonts w:ascii="Arial" w:eastAsia="Arial" w:hAnsi="Arial" w:cs="Arial"/>
                <w:b w:val="0"/>
                <w:i w:val="0"/>
                <w:color w:val="000000"/>
                <w:sz w:val="16"/>
                <w:u w:val="none"/>
              </w:rPr>
              <w:t>$</w:t>
              <w:tab/>
              <w:t>—</w:t>
              <w:tab/>
            </w:r>
          </w:p>
        </w:tc>
        <w:tc>
          <w:tcPr>
            <w:tcW w:w="1200"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592"/>
                <w:tab w:val="left" w:pos="1132"/>
              </w:tabs>
              <w:spacing w:before="53" w:after="30" w:line="240" w:lineRule="auto"/>
              <w:jc w:val="right"/>
            </w:pPr>
            <w:r>
              <w:rPr>
                <w:rFonts w:ascii="Arial" w:eastAsia="Arial" w:hAnsi="Arial" w:cs="Arial"/>
                <w:b w:val="0"/>
                <w:i w:val="0"/>
                <w:color w:val="000000"/>
                <w:sz w:val="16"/>
                <w:u w:val="none"/>
              </w:rPr>
              <w:t>$</w:t>
              <w:tab/>
              <w:t>12,764</w:t>
              <w:tab/>
            </w:r>
          </w:p>
        </w:tc>
        <w:tc>
          <w:tcPr>
            <w:tcW w:w="136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1086"/>
                <w:tab w:val="left" w:pos="1297"/>
              </w:tabs>
              <w:spacing w:before="53" w:after="30" w:line="240" w:lineRule="auto"/>
              <w:jc w:val="right"/>
            </w:pPr>
            <w:r>
              <w:rPr>
                <w:rFonts w:ascii="Arial" w:eastAsia="Arial" w:hAnsi="Arial" w:cs="Arial"/>
                <w:b w:val="0"/>
                <w:i w:val="0"/>
                <w:color w:val="000000"/>
                <w:sz w:val="16"/>
                <w:u w:val="none"/>
              </w:rPr>
              <w:t>$</w:t>
              <w:tab/>
              <w:t>—</w:t>
              <w:tab/>
            </w:r>
          </w:p>
        </w:tc>
        <w:tc>
          <w:tcPr>
            <w:tcW w:w="121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385"/>
                <w:tab w:val="left" w:pos="1147"/>
              </w:tabs>
              <w:spacing w:before="53" w:after="30" w:line="240" w:lineRule="auto"/>
              <w:jc w:val="right"/>
            </w:pPr>
            <w:r>
              <w:rPr>
                <w:rFonts w:ascii="Arial" w:eastAsia="Arial" w:hAnsi="Arial" w:cs="Arial"/>
                <w:b w:val="0"/>
                <w:i w:val="0"/>
                <w:color w:val="000000"/>
                <w:sz w:val="16"/>
                <w:u w:val="none"/>
              </w:rPr>
              <w:t>$</w:t>
              <w:tab/>
              <w:t>8,156,660</w:t>
              <w:tab/>
            </w:r>
          </w:p>
        </w:tc>
      </w:tr>
      <w:tr>
        <w:tblPrEx>
          <w:tblW w:w="10260" w:type="dxa"/>
          <w:tblInd w:w="0" w:type="dxa"/>
          <w:tblLayout w:type="fixed"/>
          <w:tblCellMar>
            <w:left w:w="108" w:type="dxa"/>
            <w:right w:w="108" w:type="dxa"/>
          </w:tblCellMar>
        </w:tblPrEx>
        <w:trPr>
          <w:cantSplit/>
          <w:trHeight w:hRule="exact" w:val="75"/>
        </w:trPr>
        <w:tc>
          <w:tcPr>
            <w:tcW w:w="61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40"/>
        </w:trPr>
        <w:tc>
          <w:tcPr>
            <w:tcW w:w="6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90"/>
              <w:jc w:val="left"/>
            </w:pPr>
            <w:r>
              <w:rPr>
                <w:rFonts w:ascii="Arial" w:eastAsia="Arial" w:hAnsi="Arial" w:cs="Arial"/>
                <w:b/>
                <w:i w:val="0"/>
                <w:color w:val="000000"/>
                <w:sz w:val="16"/>
                <w:u w:val="none"/>
              </w:rPr>
              <w:t>2022</w:t>
            </w:r>
          </w:p>
        </w:tc>
        <w:tc>
          <w:tcPr>
            <w:tcW w:w="1245" w:type="dxa"/>
            <w:tcBorders>
              <w:top w:val="nil"/>
              <w:left w:val="nil"/>
              <w:bottom w:val="nil"/>
              <w:right w:val="nil"/>
            </w:tcBorders>
            <w:tcMar>
              <w:top w:w="0" w:type="dxa"/>
              <w:left w:w="0" w:type="dxa"/>
              <w:bottom w:w="0" w:type="dxa"/>
              <w:right w:w="15" w:type="dxa"/>
            </w:tcMar>
            <w:vAlign w:val="bottom"/>
          </w:tcPr>
          <w:p>
            <w:pPr>
              <w:keepNext/>
              <w:pageBreakBefore w:val="0"/>
              <w:tabs>
                <w:tab w:val="left" w:pos="415"/>
                <w:tab w:val="left" w:pos="1177"/>
              </w:tabs>
              <w:spacing w:before="53" w:after="30" w:line="240" w:lineRule="auto"/>
              <w:jc w:val="right"/>
            </w:pPr>
            <w:r>
              <w:rPr>
                <w:rFonts w:ascii="Arial" w:eastAsia="Arial" w:hAnsi="Arial" w:cs="Arial"/>
                <w:b w:val="0"/>
                <w:i w:val="0"/>
                <w:color w:val="000000"/>
                <w:sz w:val="16"/>
                <w:u w:val="none"/>
              </w:rPr>
              <w:t>$</w:t>
              <w:tab/>
              <w:t>3,241,675</w:t>
              <w:tab/>
            </w:r>
          </w:p>
        </w:tc>
        <w:tc>
          <w:tcPr>
            <w:tcW w:w="1215" w:type="dxa"/>
            <w:tcBorders>
              <w:top w:val="nil"/>
              <w:left w:val="nil"/>
              <w:bottom w:val="nil"/>
              <w:right w:val="nil"/>
            </w:tcBorders>
            <w:tcMar>
              <w:top w:w="0" w:type="dxa"/>
              <w:left w:w="0" w:type="dxa"/>
              <w:bottom w:w="0" w:type="dxa"/>
              <w:right w:w="15" w:type="dxa"/>
            </w:tcMar>
            <w:vAlign w:val="bottom"/>
          </w:tcPr>
          <w:p>
            <w:pPr>
              <w:keepNext/>
              <w:pageBreakBefore w:val="0"/>
              <w:tabs>
                <w:tab w:val="left" w:pos="312"/>
              </w:tabs>
              <w:spacing w:before="53" w:after="30" w:line="240" w:lineRule="auto"/>
              <w:jc w:val="right"/>
            </w:pPr>
            <w:r>
              <w:rPr>
                <w:rFonts w:ascii="Arial" w:eastAsia="Arial" w:hAnsi="Arial" w:cs="Arial"/>
                <w:b w:val="0"/>
                <w:i w:val="0"/>
                <w:color w:val="000000"/>
                <w:sz w:val="16"/>
                <w:u w:val="none"/>
              </w:rPr>
              <w:t>$</w:t>
              <w:tab/>
              <w:t>(1,061,221)</w:t>
            </w:r>
          </w:p>
        </w:tc>
        <w:tc>
          <w:tcPr>
            <w:tcW w:w="1080" w:type="dxa"/>
            <w:tcBorders>
              <w:top w:val="nil"/>
              <w:left w:val="nil"/>
              <w:bottom w:val="nil"/>
              <w:right w:val="nil"/>
            </w:tcBorders>
            <w:tcMar>
              <w:top w:w="0" w:type="dxa"/>
              <w:left w:w="0" w:type="dxa"/>
              <w:bottom w:w="0" w:type="dxa"/>
              <w:right w:w="15" w:type="dxa"/>
            </w:tcMar>
            <w:vAlign w:val="bottom"/>
          </w:tcPr>
          <w:p>
            <w:pPr>
              <w:keepNext/>
              <w:pageBreakBefore w:val="0"/>
              <w:tabs>
                <w:tab w:val="left" w:pos="383"/>
                <w:tab w:val="left" w:pos="1012"/>
              </w:tabs>
              <w:spacing w:before="53" w:after="30" w:line="240" w:lineRule="auto"/>
              <w:jc w:val="right"/>
            </w:pPr>
            <w:r>
              <w:rPr>
                <w:rFonts w:ascii="Arial" w:eastAsia="Arial" w:hAnsi="Arial" w:cs="Arial"/>
                <w:b w:val="0"/>
                <w:i w:val="0"/>
                <w:color w:val="000000"/>
                <w:sz w:val="16"/>
                <w:u w:val="none"/>
              </w:rPr>
              <w:t>$</w:t>
              <w:tab/>
              <w:t>936,463</w:t>
              <w:tab/>
            </w:r>
          </w:p>
        </w:tc>
        <w:tc>
          <w:tcPr>
            <w:tcW w:w="1245" w:type="dxa"/>
            <w:tcBorders>
              <w:top w:val="nil"/>
              <w:left w:val="nil"/>
              <w:bottom w:val="nil"/>
              <w:right w:val="nil"/>
            </w:tcBorders>
            <w:tcMar>
              <w:top w:w="0" w:type="dxa"/>
              <w:left w:w="0" w:type="dxa"/>
              <w:bottom w:w="0" w:type="dxa"/>
              <w:right w:w="15" w:type="dxa"/>
            </w:tcMar>
            <w:vAlign w:val="bottom"/>
          </w:tcPr>
          <w:p>
            <w:pPr>
              <w:keepNext/>
              <w:pageBreakBefore w:val="0"/>
              <w:tabs>
                <w:tab w:val="left" w:pos="342"/>
              </w:tabs>
              <w:spacing w:before="53" w:after="30" w:line="240" w:lineRule="auto"/>
              <w:jc w:val="right"/>
            </w:pPr>
            <w:r>
              <w:rPr>
                <w:rFonts w:ascii="Arial" w:eastAsia="Arial" w:hAnsi="Arial" w:cs="Arial"/>
                <w:b w:val="0"/>
                <w:i w:val="0"/>
                <w:color w:val="000000"/>
                <w:sz w:val="16"/>
                <w:u w:val="none"/>
              </w:rPr>
              <w:t>$</w:t>
              <w:tab/>
              <w:t>(3,328,690)</w:t>
            </w:r>
          </w:p>
        </w:tc>
        <w:tc>
          <w:tcPr>
            <w:tcW w:w="1080" w:type="dxa"/>
            <w:tcBorders>
              <w:top w:val="nil"/>
              <w:left w:val="nil"/>
              <w:bottom w:val="nil"/>
              <w:right w:val="nil"/>
            </w:tcBorders>
            <w:tcMar>
              <w:top w:w="0" w:type="dxa"/>
              <w:left w:w="0" w:type="dxa"/>
              <w:bottom w:w="0" w:type="dxa"/>
              <w:right w:w="15" w:type="dxa"/>
            </w:tcMar>
            <w:vAlign w:val="bottom"/>
          </w:tcPr>
          <w:p>
            <w:pPr>
              <w:keepNext/>
              <w:pageBreakBefore w:val="0"/>
              <w:tabs>
                <w:tab w:val="left" w:pos="801"/>
                <w:tab w:val="left" w:pos="1012"/>
              </w:tabs>
              <w:spacing w:before="53" w:after="30" w:line="240" w:lineRule="auto"/>
              <w:jc w:val="right"/>
            </w:pPr>
            <w:r>
              <w:rPr>
                <w:rFonts w:ascii="Arial" w:eastAsia="Arial" w:hAnsi="Arial" w:cs="Arial"/>
                <w:b w:val="0"/>
                <w:i w:val="0"/>
                <w:color w:val="000000"/>
                <w:sz w:val="16"/>
                <w:u w:val="none"/>
              </w:rPr>
              <w:t>$</w:t>
              <w:tab/>
              <w:t>—</w:t>
              <w:tab/>
            </w: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592"/>
                <w:tab w:val="left" w:pos="1132"/>
              </w:tabs>
              <w:spacing w:before="53" w:after="30" w:line="240" w:lineRule="auto"/>
              <w:jc w:val="right"/>
            </w:pPr>
            <w:r>
              <w:rPr>
                <w:rFonts w:ascii="Arial" w:eastAsia="Arial" w:hAnsi="Arial" w:cs="Arial"/>
                <w:b w:val="0"/>
                <w:i w:val="0"/>
                <w:color w:val="000000"/>
                <w:sz w:val="16"/>
                <w:u w:val="none"/>
              </w:rPr>
              <w:t>$</w:t>
              <w:tab/>
              <w:t>34,160</w:t>
              <w:tab/>
            </w:r>
          </w:p>
        </w:tc>
        <w:tc>
          <w:tcPr>
            <w:tcW w:w="1365" w:type="dxa"/>
            <w:tcBorders>
              <w:top w:val="nil"/>
              <w:left w:val="nil"/>
              <w:bottom w:val="nil"/>
              <w:right w:val="nil"/>
            </w:tcBorders>
            <w:tcMar>
              <w:top w:w="0" w:type="dxa"/>
              <w:left w:w="0" w:type="dxa"/>
              <w:bottom w:w="0" w:type="dxa"/>
              <w:right w:w="15" w:type="dxa"/>
            </w:tcMar>
            <w:vAlign w:val="bottom"/>
          </w:tcPr>
          <w:p>
            <w:pPr>
              <w:keepNext/>
              <w:pageBreakBefore w:val="0"/>
              <w:tabs>
                <w:tab w:val="left" w:pos="1086"/>
                <w:tab w:val="left" w:pos="1297"/>
              </w:tabs>
              <w:spacing w:before="53" w:after="30" w:line="240" w:lineRule="auto"/>
              <w:jc w:val="right"/>
            </w:pPr>
            <w:r>
              <w:rPr>
                <w:rFonts w:ascii="Arial" w:eastAsia="Arial" w:hAnsi="Arial" w:cs="Arial"/>
                <w:b w:val="0"/>
                <w:i w:val="0"/>
                <w:color w:val="000000"/>
                <w:sz w:val="16"/>
                <w:u w:val="none"/>
              </w:rPr>
              <w:t>$</w:t>
              <w:tab/>
              <w:t>—</w:t>
              <w:tab/>
            </w:r>
          </w:p>
        </w:tc>
        <w:tc>
          <w:tcPr>
            <w:tcW w:w="1215" w:type="dxa"/>
            <w:tcBorders>
              <w:top w:val="nil"/>
              <w:left w:val="nil"/>
              <w:bottom w:val="nil"/>
              <w:right w:val="nil"/>
            </w:tcBorders>
            <w:tcMar>
              <w:top w:w="0" w:type="dxa"/>
              <w:left w:w="0" w:type="dxa"/>
              <w:bottom w:w="0" w:type="dxa"/>
              <w:right w:w="15" w:type="dxa"/>
            </w:tcMar>
            <w:vAlign w:val="bottom"/>
          </w:tcPr>
          <w:p>
            <w:pPr>
              <w:keepNext/>
              <w:pageBreakBefore w:val="0"/>
              <w:tabs>
                <w:tab w:val="left" w:pos="445"/>
              </w:tabs>
              <w:spacing w:before="53" w:after="30" w:line="240" w:lineRule="auto"/>
              <w:jc w:val="right"/>
            </w:pPr>
            <w:r>
              <w:rPr>
                <w:rFonts w:ascii="Arial" w:eastAsia="Arial" w:hAnsi="Arial" w:cs="Arial"/>
                <w:b w:val="0"/>
                <w:i w:val="0"/>
                <w:color w:val="000000"/>
                <w:sz w:val="16"/>
                <w:u w:val="none"/>
              </w:rPr>
              <w:t>$</w:t>
              <w:tab/>
              <w:t>(177,613)</w:t>
            </w:r>
          </w:p>
        </w:tc>
      </w:tr>
      <w:tr>
        <w:tblPrEx>
          <w:tblW w:w="10260" w:type="dxa"/>
          <w:tblInd w:w="0" w:type="dxa"/>
          <w:tblLayout w:type="fixed"/>
          <w:tblCellMar>
            <w:left w:w="108" w:type="dxa"/>
            <w:right w:w="108" w:type="dxa"/>
          </w:tblCellMar>
        </w:tblPrEx>
        <w:trPr>
          <w:cantSplit/>
          <w:trHeight w:hRule="exact" w:val="105"/>
        </w:trPr>
        <w:tc>
          <w:tcPr>
            <w:tcW w:w="6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40"/>
        </w:trPr>
        <w:tc>
          <w:tcPr>
            <w:tcW w:w="615" w:type="dxa"/>
            <w:tcBorders>
              <w:top w:val="nil"/>
              <w:left w:val="nil"/>
              <w:bottom w:val="nil"/>
              <w:right w:val="nil"/>
            </w:tcBorders>
            <w:shd w:val="clear" w:color="auto" w:fill="DBDBDB"/>
            <w:tcMar>
              <w:top w:w="0" w:type="dxa"/>
              <w:left w:w="53" w:type="dxa"/>
              <w:bottom w:w="0" w:type="dxa"/>
              <w:right w:w="53" w:type="dxa"/>
            </w:tcMar>
            <w:vAlign w:val="bottom"/>
          </w:tcPr>
          <w:p>
            <w:pPr>
              <w:keepNext/>
              <w:pageBreakBefore w:val="0"/>
              <w:spacing w:before="53" w:after="30" w:line="240" w:lineRule="auto"/>
              <w:ind w:left="90"/>
              <w:jc w:val="left"/>
            </w:pPr>
            <w:r>
              <w:rPr>
                <w:rFonts w:ascii="Arial" w:eastAsia="Arial" w:hAnsi="Arial" w:cs="Arial"/>
                <w:b/>
                <w:i w:val="0"/>
                <w:color w:val="000000"/>
                <w:sz w:val="16"/>
                <w:u w:val="none"/>
              </w:rPr>
              <w:t>2021</w:t>
            </w:r>
          </w:p>
        </w:tc>
        <w:tc>
          <w:tcPr>
            <w:tcW w:w="124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415"/>
                <w:tab w:val="left" w:pos="1177"/>
              </w:tabs>
              <w:spacing w:before="53" w:after="30" w:line="240" w:lineRule="auto"/>
              <w:jc w:val="right"/>
            </w:pPr>
            <w:r>
              <w:rPr>
                <w:rFonts w:ascii="Arial" w:eastAsia="Arial" w:hAnsi="Arial" w:cs="Arial"/>
                <w:b w:val="0"/>
                <w:i w:val="0"/>
                <w:color w:val="000000"/>
                <w:sz w:val="16"/>
                <w:u w:val="none"/>
              </w:rPr>
              <w:t>$</w:t>
              <w:tab/>
              <w:t>2,584,898</w:t>
              <w:tab/>
            </w:r>
          </w:p>
        </w:tc>
        <w:tc>
          <w:tcPr>
            <w:tcW w:w="121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445"/>
              </w:tabs>
              <w:spacing w:before="53" w:after="30" w:line="240" w:lineRule="auto"/>
              <w:jc w:val="right"/>
            </w:pPr>
            <w:r>
              <w:rPr>
                <w:rFonts w:ascii="Arial" w:eastAsia="Arial" w:hAnsi="Arial" w:cs="Arial"/>
                <w:b w:val="0"/>
                <w:i w:val="0"/>
                <w:color w:val="000000"/>
                <w:sz w:val="16"/>
                <w:u w:val="none"/>
              </w:rPr>
              <w:t>$</w:t>
              <w:tab/>
              <w:t>(905,304)</w:t>
            </w:r>
          </w:p>
        </w:tc>
        <w:tc>
          <w:tcPr>
            <w:tcW w:w="1080"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383"/>
                <w:tab w:val="left" w:pos="1012"/>
              </w:tabs>
              <w:spacing w:before="53" w:after="30" w:line="240" w:lineRule="auto"/>
              <w:jc w:val="right"/>
            </w:pPr>
            <w:r>
              <w:rPr>
                <w:rFonts w:ascii="Arial" w:eastAsia="Arial" w:hAnsi="Arial" w:cs="Arial"/>
                <w:b w:val="0"/>
                <w:i w:val="0"/>
                <w:color w:val="000000"/>
                <w:sz w:val="16"/>
                <w:u w:val="none"/>
              </w:rPr>
              <w:t>$</w:t>
              <w:tab/>
              <w:t>686,113</w:t>
              <w:tab/>
            </w:r>
          </w:p>
        </w:tc>
        <w:tc>
          <w:tcPr>
            <w:tcW w:w="124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415"/>
                <w:tab w:val="left" w:pos="1177"/>
              </w:tabs>
              <w:spacing w:before="53" w:after="30" w:line="240" w:lineRule="auto"/>
              <w:jc w:val="right"/>
            </w:pPr>
            <w:r>
              <w:rPr>
                <w:rFonts w:ascii="Arial" w:eastAsia="Arial" w:hAnsi="Arial" w:cs="Arial"/>
                <w:b w:val="0"/>
                <w:i w:val="0"/>
                <w:color w:val="000000"/>
                <w:sz w:val="16"/>
                <w:u w:val="none"/>
              </w:rPr>
              <w:t>$</w:t>
              <w:tab/>
              <w:t>1,276,882</w:t>
              <w:tab/>
            </w:r>
          </w:p>
        </w:tc>
        <w:tc>
          <w:tcPr>
            <w:tcW w:w="1080"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472"/>
                <w:tab w:val="left" w:pos="1012"/>
              </w:tabs>
              <w:spacing w:before="53" w:after="30" w:line="240" w:lineRule="auto"/>
              <w:jc w:val="right"/>
            </w:pPr>
            <w:r>
              <w:rPr>
                <w:rFonts w:ascii="Arial" w:eastAsia="Arial" w:hAnsi="Arial" w:cs="Arial"/>
                <w:b w:val="0"/>
                <w:i w:val="0"/>
                <w:color w:val="000000"/>
                <w:sz w:val="16"/>
                <w:u w:val="none"/>
              </w:rPr>
              <w:t>$</w:t>
              <w:tab/>
              <w:t>66,472</w:t>
              <w:tab/>
            </w:r>
          </w:p>
        </w:tc>
        <w:tc>
          <w:tcPr>
            <w:tcW w:w="1200"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592"/>
                <w:tab w:val="left" w:pos="1132"/>
              </w:tabs>
              <w:spacing w:before="53" w:after="30" w:line="240" w:lineRule="auto"/>
              <w:jc w:val="right"/>
            </w:pPr>
            <w:r>
              <w:rPr>
                <w:rFonts w:ascii="Arial" w:eastAsia="Arial" w:hAnsi="Arial" w:cs="Arial"/>
                <w:b w:val="0"/>
                <w:i w:val="0"/>
                <w:color w:val="000000"/>
                <w:sz w:val="16"/>
                <w:u w:val="none"/>
              </w:rPr>
              <w:t>$</w:t>
              <w:tab/>
              <w:t>76,179</w:t>
              <w:tab/>
            </w:r>
          </w:p>
        </w:tc>
        <w:tc>
          <w:tcPr>
            <w:tcW w:w="136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595"/>
              </w:tabs>
              <w:spacing w:before="53" w:after="30" w:line="240" w:lineRule="auto"/>
              <w:jc w:val="right"/>
            </w:pPr>
            <w:r>
              <w:rPr>
                <w:rFonts w:ascii="Arial" w:eastAsia="Arial" w:hAnsi="Arial" w:cs="Arial"/>
                <w:b w:val="0"/>
                <w:i w:val="0"/>
                <w:color w:val="000000"/>
                <w:sz w:val="16"/>
                <w:u w:val="none"/>
              </w:rPr>
              <w:t>$</w:t>
              <w:tab/>
              <w:t>(795,964)</w:t>
            </w:r>
          </w:p>
        </w:tc>
        <w:tc>
          <w:tcPr>
            <w:tcW w:w="1215" w:type="dxa"/>
            <w:tcBorders>
              <w:top w:val="nil"/>
              <w:left w:val="nil"/>
              <w:bottom w:val="nil"/>
              <w:right w:val="nil"/>
            </w:tcBorders>
            <w:shd w:val="clear" w:color="auto" w:fill="DBDBDB"/>
            <w:tcMar>
              <w:top w:w="0" w:type="dxa"/>
              <w:left w:w="0" w:type="dxa"/>
              <w:bottom w:w="0" w:type="dxa"/>
              <w:right w:w="15" w:type="dxa"/>
            </w:tcMar>
            <w:vAlign w:val="bottom"/>
          </w:tcPr>
          <w:p>
            <w:pPr>
              <w:keepNext/>
              <w:pageBreakBefore w:val="0"/>
              <w:tabs>
                <w:tab w:val="left" w:pos="385"/>
                <w:tab w:val="left" w:pos="1147"/>
              </w:tabs>
              <w:spacing w:before="53" w:after="30" w:line="240" w:lineRule="auto"/>
              <w:jc w:val="right"/>
            </w:pPr>
            <w:r>
              <w:rPr>
                <w:rFonts w:ascii="Arial" w:eastAsia="Arial" w:hAnsi="Arial" w:cs="Arial"/>
                <w:b w:val="0"/>
                <w:i w:val="0"/>
                <w:color w:val="000000"/>
                <w:sz w:val="16"/>
                <w:u w:val="none"/>
              </w:rPr>
              <w:t>$</w:t>
              <w:tab/>
              <w:t>2,989,277</w:t>
              <w:tab/>
            </w:r>
          </w:p>
        </w:tc>
      </w:tr>
      <w:tr>
        <w:tblPrEx>
          <w:tblW w:w="10260" w:type="dxa"/>
          <w:tblInd w:w="0" w:type="dxa"/>
          <w:tblLayout w:type="fixed"/>
          <w:tblCellMar>
            <w:left w:w="108" w:type="dxa"/>
            <w:right w:w="108" w:type="dxa"/>
          </w:tblCellMar>
        </w:tblPrEx>
        <w:trPr>
          <w:cantSplit/>
          <w:trHeight w:hRule="exact" w:val="60"/>
        </w:trPr>
        <w:tc>
          <w:tcPr>
            <w:tcW w:w="61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4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08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00"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36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c>
          <w:tcPr>
            <w:tcW w:w="1215" w:type="dxa"/>
            <w:tcBorders>
              <w:top w:val="nil"/>
              <w:left w:val="nil"/>
              <w:bottom w:val="nil"/>
              <w:right w:val="nil"/>
            </w:tcBorders>
            <w:shd w:val="clear" w:color="auto" w:fill="DBDBDB"/>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240"/>
        </w:trPr>
        <w:tc>
          <w:tcPr>
            <w:tcW w:w="61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90"/>
              <w:jc w:val="left"/>
            </w:pPr>
            <w:r>
              <w:rPr>
                <w:rFonts w:ascii="Arial" w:eastAsia="Arial" w:hAnsi="Arial" w:cs="Arial"/>
                <w:b/>
                <w:i w:val="0"/>
                <w:color w:val="000000"/>
                <w:sz w:val="16"/>
                <w:u w:val="none"/>
              </w:rPr>
              <w:t>2020</w:t>
            </w:r>
          </w:p>
        </w:tc>
        <w:tc>
          <w:tcPr>
            <w:tcW w:w="1245" w:type="dxa"/>
            <w:tcBorders>
              <w:top w:val="nil"/>
              <w:left w:val="nil"/>
              <w:bottom w:val="nil"/>
              <w:right w:val="nil"/>
            </w:tcBorders>
            <w:tcMar>
              <w:top w:w="0" w:type="dxa"/>
              <w:left w:w="0" w:type="dxa"/>
              <w:bottom w:w="0" w:type="dxa"/>
              <w:right w:w="15" w:type="dxa"/>
            </w:tcMar>
            <w:vAlign w:val="bottom"/>
          </w:tcPr>
          <w:p>
            <w:pPr>
              <w:keepNext/>
              <w:pageBreakBefore w:val="0"/>
              <w:tabs>
                <w:tab w:val="left" w:pos="415"/>
                <w:tab w:val="left" w:pos="1177"/>
              </w:tabs>
              <w:spacing w:before="53" w:after="30" w:line="240" w:lineRule="auto"/>
              <w:jc w:val="right"/>
            </w:pPr>
            <w:r>
              <w:rPr>
                <w:rFonts w:ascii="Arial" w:eastAsia="Arial" w:hAnsi="Arial" w:cs="Arial"/>
                <w:b w:val="0"/>
                <w:i w:val="0"/>
                <w:color w:val="000000"/>
                <w:sz w:val="16"/>
                <w:u w:val="none"/>
              </w:rPr>
              <w:t>$</w:t>
              <w:tab/>
              <w:t>7,542,123</w:t>
              <w:tab/>
            </w:r>
          </w:p>
        </w:tc>
        <w:tc>
          <w:tcPr>
            <w:tcW w:w="1215" w:type="dxa"/>
            <w:tcBorders>
              <w:top w:val="nil"/>
              <w:left w:val="nil"/>
              <w:bottom w:val="nil"/>
              <w:right w:val="nil"/>
            </w:tcBorders>
            <w:tcMar>
              <w:top w:w="0" w:type="dxa"/>
              <w:left w:w="0" w:type="dxa"/>
              <w:bottom w:w="0" w:type="dxa"/>
              <w:right w:w="15" w:type="dxa"/>
            </w:tcMar>
            <w:vAlign w:val="bottom"/>
          </w:tcPr>
          <w:p>
            <w:pPr>
              <w:keepNext/>
              <w:pageBreakBefore w:val="0"/>
              <w:tabs>
                <w:tab w:val="left" w:pos="312"/>
              </w:tabs>
              <w:spacing w:before="53" w:after="30" w:line="240" w:lineRule="auto"/>
              <w:jc w:val="right"/>
            </w:pPr>
            <w:r>
              <w:rPr>
                <w:rFonts w:ascii="Arial" w:eastAsia="Arial" w:hAnsi="Arial" w:cs="Arial"/>
                <w:b w:val="0"/>
                <w:i w:val="0"/>
                <w:color w:val="000000"/>
                <w:sz w:val="16"/>
                <w:u w:val="none"/>
              </w:rPr>
              <w:t>$</w:t>
              <w:tab/>
              <w:t>(4,714,638)</w:t>
            </w:r>
          </w:p>
        </w:tc>
        <w:tc>
          <w:tcPr>
            <w:tcW w:w="1080" w:type="dxa"/>
            <w:tcBorders>
              <w:top w:val="nil"/>
              <w:left w:val="nil"/>
              <w:bottom w:val="nil"/>
              <w:right w:val="nil"/>
            </w:tcBorders>
            <w:tcMar>
              <w:top w:w="0" w:type="dxa"/>
              <w:left w:w="0" w:type="dxa"/>
              <w:bottom w:w="0" w:type="dxa"/>
              <w:right w:w="15" w:type="dxa"/>
            </w:tcMar>
            <w:vAlign w:val="bottom"/>
          </w:tcPr>
          <w:p>
            <w:pPr>
              <w:keepNext/>
              <w:pageBreakBefore w:val="0"/>
              <w:tabs>
                <w:tab w:val="left" w:pos="250"/>
                <w:tab w:val="left" w:pos="1012"/>
              </w:tabs>
              <w:spacing w:before="53" w:after="30" w:line="240" w:lineRule="auto"/>
              <w:jc w:val="right"/>
            </w:pPr>
            <w:r>
              <w:rPr>
                <w:rFonts w:ascii="Arial" w:eastAsia="Arial" w:hAnsi="Arial" w:cs="Arial"/>
                <w:b w:val="0"/>
                <w:i w:val="0"/>
                <w:color w:val="000000"/>
                <w:sz w:val="16"/>
                <w:u w:val="none"/>
              </w:rPr>
              <w:t>$</w:t>
              <w:tab/>
              <w:t>4,823,418</w:t>
              <w:tab/>
            </w:r>
          </w:p>
        </w:tc>
        <w:tc>
          <w:tcPr>
            <w:tcW w:w="1245" w:type="dxa"/>
            <w:tcBorders>
              <w:top w:val="nil"/>
              <w:left w:val="nil"/>
              <w:bottom w:val="nil"/>
              <w:right w:val="nil"/>
            </w:tcBorders>
            <w:tcMar>
              <w:top w:w="0" w:type="dxa"/>
              <w:left w:w="0" w:type="dxa"/>
              <w:bottom w:w="0" w:type="dxa"/>
              <w:right w:w="15" w:type="dxa"/>
            </w:tcMar>
            <w:vAlign w:val="bottom"/>
          </w:tcPr>
          <w:p>
            <w:pPr>
              <w:keepNext/>
              <w:pageBreakBefore w:val="0"/>
              <w:tabs>
                <w:tab w:val="left" w:pos="548"/>
                <w:tab w:val="left" w:pos="1177"/>
              </w:tabs>
              <w:spacing w:before="53" w:after="30" w:line="240" w:lineRule="auto"/>
              <w:jc w:val="right"/>
            </w:pPr>
            <w:r>
              <w:rPr>
                <w:rFonts w:ascii="Arial" w:eastAsia="Arial" w:hAnsi="Arial" w:cs="Arial"/>
                <w:b w:val="0"/>
                <w:i w:val="0"/>
                <w:color w:val="000000"/>
                <w:sz w:val="16"/>
                <w:u w:val="none"/>
              </w:rPr>
              <w:t>$</w:t>
              <w:tab/>
              <w:t>193,059</w:t>
              <w:tab/>
            </w:r>
          </w:p>
        </w:tc>
        <w:tc>
          <w:tcPr>
            <w:tcW w:w="1080" w:type="dxa"/>
            <w:tcBorders>
              <w:top w:val="nil"/>
              <w:left w:val="nil"/>
              <w:bottom w:val="nil"/>
              <w:right w:val="nil"/>
            </w:tcBorders>
            <w:tcMar>
              <w:top w:w="0" w:type="dxa"/>
              <w:left w:w="0" w:type="dxa"/>
              <w:bottom w:w="0" w:type="dxa"/>
              <w:right w:w="15" w:type="dxa"/>
            </w:tcMar>
            <w:vAlign w:val="bottom"/>
          </w:tcPr>
          <w:p>
            <w:pPr>
              <w:keepNext/>
              <w:pageBreakBefore w:val="0"/>
              <w:tabs>
                <w:tab w:val="left" w:pos="801"/>
                <w:tab w:val="left" w:pos="1012"/>
              </w:tabs>
              <w:spacing w:before="53" w:after="30" w:line="240" w:lineRule="auto"/>
              <w:jc w:val="right"/>
            </w:pPr>
            <w:r>
              <w:rPr>
                <w:rFonts w:ascii="Arial" w:eastAsia="Arial" w:hAnsi="Arial" w:cs="Arial"/>
                <w:b w:val="0"/>
                <w:i w:val="0"/>
                <w:color w:val="000000"/>
                <w:sz w:val="16"/>
                <w:u w:val="none"/>
              </w:rPr>
              <w:t>$</w:t>
              <w:tab/>
              <w:t>—</w:t>
              <w:tab/>
            </w:r>
          </w:p>
        </w:tc>
        <w:tc>
          <w:tcPr>
            <w:tcW w:w="1200" w:type="dxa"/>
            <w:tcBorders>
              <w:top w:val="nil"/>
              <w:left w:val="nil"/>
              <w:bottom w:val="nil"/>
              <w:right w:val="nil"/>
            </w:tcBorders>
            <w:tcMar>
              <w:top w:w="0" w:type="dxa"/>
              <w:left w:w="0" w:type="dxa"/>
              <w:bottom w:w="0" w:type="dxa"/>
              <w:right w:w="15" w:type="dxa"/>
            </w:tcMar>
            <w:vAlign w:val="bottom"/>
          </w:tcPr>
          <w:p>
            <w:pPr>
              <w:keepNext/>
              <w:pageBreakBefore w:val="0"/>
              <w:tabs>
                <w:tab w:val="left" w:pos="430"/>
              </w:tabs>
              <w:spacing w:before="53" w:after="30" w:line="240" w:lineRule="auto"/>
              <w:jc w:val="right"/>
            </w:pPr>
            <w:r>
              <w:rPr>
                <w:rFonts w:ascii="Arial" w:eastAsia="Arial" w:hAnsi="Arial" w:cs="Arial"/>
                <w:b w:val="0"/>
                <w:i w:val="0"/>
                <w:color w:val="000000"/>
                <w:sz w:val="16"/>
                <w:u w:val="none"/>
              </w:rPr>
              <w:t>$</w:t>
              <w:tab/>
              <w:t>(602,821)</w:t>
            </w:r>
          </w:p>
        </w:tc>
        <w:tc>
          <w:tcPr>
            <w:tcW w:w="1365" w:type="dxa"/>
            <w:tcBorders>
              <w:top w:val="nil"/>
              <w:left w:val="nil"/>
              <w:bottom w:val="nil"/>
              <w:right w:val="nil"/>
            </w:tcBorders>
            <w:tcMar>
              <w:top w:w="0" w:type="dxa"/>
              <w:left w:w="0" w:type="dxa"/>
              <w:bottom w:w="0" w:type="dxa"/>
              <w:right w:w="15" w:type="dxa"/>
            </w:tcMar>
            <w:vAlign w:val="bottom"/>
          </w:tcPr>
          <w:p>
            <w:pPr>
              <w:keepNext/>
              <w:pageBreakBefore w:val="0"/>
              <w:tabs>
                <w:tab w:val="left" w:pos="1086"/>
                <w:tab w:val="left" w:pos="1297"/>
              </w:tabs>
              <w:spacing w:before="53" w:after="30" w:line="240" w:lineRule="auto"/>
              <w:jc w:val="right"/>
            </w:pPr>
            <w:r>
              <w:rPr>
                <w:rFonts w:ascii="Arial" w:eastAsia="Arial" w:hAnsi="Arial" w:cs="Arial"/>
                <w:b w:val="0"/>
                <w:i w:val="0"/>
                <w:color w:val="000000"/>
                <w:sz w:val="16"/>
                <w:u w:val="none"/>
              </w:rPr>
              <w:t>$</w:t>
              <w:tab/>
              <w:t>—</w:t>
              <w:tab/>
            </w:r>
          </w:p>
        </w:tc>
        <w:tc>
          <w:tcPr>
            <w:tcW w:w="1215" w:type="dxa"/>
            <w:tcBorders>
              <w:top w:val="nil"/>
              <w:left w:val="nil"/>
              <w:bottom w:val="nil"/>
              <w:right w:val="nil"/>
            </w:tcBorders>
            <w:tcMar>
              <w:top w:w="0" w:type="dxa"/>
              <w:left w:w="0" w:type="dxa"/>
              <w:bottom w:w="0" w:type="dxa"/>
              <w:right w:w="15" w:type="dxa"/>
            </w:tcMar>
            <w:vAlign w:val="bottom"/>
          </w:tcPr>
          <w:p>
            <w:pPr>
              <w:keepNext/>
              <w:pageBreakBefore w:val="0"/>
              <w:tabs>
                <w:tab w:val="left" w:pos="385"/>
                <w:tab w:val="left" w:pos="1147"/>
              </w:tabs>
              <w:spacing w:before="53" w:after="30" w:line="240" w:lineRule="auto"/>
              <w:jc w:val="right"/>
            </w:pPr>
            <w:r>
              <w:rPr>
                <w:rFonts w:ascii="Arial" w:eastAsia="Arial" w:hAnsi="Arial" w:cs="Arial"/>
                <w:b w:val="0"/>
                <w:i w:val="0"/>
                <w:color w:val="000000"/>
                <w:sz w:val="16"/>
                <w:u w:val="none"/>
              </w:rPr>
              <w:t>$</w:t>
              <w:tab/>
              <w:t>7,241,141</w:t>
              <w:tab/>
            </w:r>
          </w:p>
        </w:tc>
      </w:tr>
      <w:tr>
        <w:tblPrEx>
          <w:tblW w:w="10260" w:type="dxa"/>
          <w:tblInd w:w="0" w:type="dxa"/>
          <w:tblLayout w:type="fixed"/>
          <w:tblCellMar>
            <w:left w:w="108" w:type="dxa"/>
            <w:right w:w="108" w:type="dxa"/>
          </w:tblCellMar>
        </w:tblPrEx>
        <w:trPr>
          <w:cantSplit/>
          <w:trHeight w:hRule="exact" w:val="60"/>
        </w:trPr>
        <w:tc>
          <w:tcPr>
            <w:tcW w:w="61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24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21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08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24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08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20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36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215"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pageBreakBefore w:val="0"/>
        <w:widowControl w:val="0"/>
        <w:numPr>
          <w:ilvl w:val="0"/>
          <w:numId w:val="328"/>
        </w:numPr>
        <w:spacing w:before="12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Represents Total Compensation as reported in the Summary Compensation Table for the indicated fiscal year. With respect to the Average of Non-PEO NEOs, amounts shown represent averages for the named executive officers for the indicated fiscal year. See footnote 1 to the "Pay Versus Performance" table for a list of the named executive officers included in the average for each indicated fiscal year.</w:t>
      </w:r>
    </w:p>
    <w:p>
      <w:pPr>
        <w:keepNext w:val="0"/>
        <w:keepLines/>
        <w:pageBreakBefore w:val="0"/>
        <w:widowControl w:val="0"/>
        <w:numPr>
          <w:ilvl w:val="0"/>
          <w:numId w:val="328"/>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Represents the grant date fair value of the equity awards granted during the indicated fiscal year, computed in accordance with the methodology used for financial reporting purposes.</w:t>
      </w:r>
    </w:p>
    <w:p>
      <w:pPr>
        <w:keepNext w:val="0"/>
        <w:keepLines/>
        <w:pageBreakBefore w:val="0"/>
        <w:widowControl w:val="0"/>
        <w:numPr>
          <w:ilvl w:val="0"/>
          <w:numId w:val="328"/>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Represents the fair value as of the indicated fiscal year-end of the outstanding and unvested equity awards granted during such fiscal year, computed in accordance with the methodology used for financial reporting purposes.</w:t>
      </w:r>
    </w:p>
    <w:p>
      <w:pPr>
        <w:keepNext w:val="0"/>
        <w:keepLines/>
        <w:pageBreakBefore w:val="0"/>
        <w:widowControl w:val="0"/>
        <w:numPr>
          <w:ilvl w:val="0"/>
          <w:numId w:val="328"/>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Represents the change in fair value during the indicated fiscal year of the outstanding and unvested equity awards held by the applicable named executive officer as of the last day of the indicated fiscal year, computed in accordance with the methodology used for financial reporting purposes and, for awards subject to performance-based vesting conditions, based on the probable outcome of such performance-based vesting conditions as of the last day of the fiscal year.</w:t>
      </w:r>
    </w:p>
    <w:p>
      <w:pPr>
        <w:keepNext w:val="0"/>
        <w:keepLines/>
        <w:pageBreakBefore w:val="0"/>
        <w:widowControl w:val="0"/>
        <w:numPr>
          <w:ilvl w:val="0"/>
          <w:numId w:val="328"/>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Represents the fair value at vesting of the equity awards that were granted and vested during the indicated fiscal year, computed in accordance with the methodology used for financial reporting purposes.</w:t>
      </w:r>
    </w:p>
    <w:p>
      <w:pPr>
        <w:keepNext w:val="0"/>
        <w:keepLines/>
        <w:pageBreakBefore w:val="0"/>
        <w:widowControl w:val="0"/>
        <w:numPr>
          <w:ilvl w:val="0"/>
          <w:numId w:val="328"/>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Represents the change in fair value, measured from the prior fiscal year-end to the vesting date, of each equity award that was granted in a prior fiscal year and which vested during the indicated fiscal year, computed in accordance with the methodology used for financial reporting purposes.</w:t>
      </w:r>
    </w:p>
    <w:p>
      <w:pPr>
        <w:keepNext w:val="0"/>
        <w:keepLines/>
        <w:pageBreakBefore w:val="0"/>
        <w:widowControl w:val="0"/>
        <w:numPr>
          <w:ilvl w:val="0"/>
          <w:numId w:val="328"/>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Represents the fair value as of the last day of the prior fiscal year of the equity awards that were granted in a prior fiscal year and which failed to meet the applicable vesting conditions in the indicated fiscal year, computed in accordance with the methodology used for financial reporting purposes.</w:t>
      </w:r>
    </w:p>
    <w:p>
      <w:pPr>
        <w:keepNext w:val="0"/>
        <w:keepLines/>
        <w:pageBreakBefore w:val="0"/>
        <w:widowControl w:val="0"/>
        <w:numPr>
          <w:ilvl w:val="0"/>
          <w:numId w:val="328"/>
        </w:numPr>
        <w:spacing w:before="0" w:after="60" w:line="288" w:lineRule="auto"/>
        <w:ind w:left="360" w:right="0" w:hanging="360"/>
        <w:jc w:val="both"/>
        <w:outlineLvl w:val="9"/>
        <w:rPr>
          <w:rFonts w:ascii="Arial" w:eastAsia="Arial" w:hAnsi="Arial" w:cs="Arial"/>
          <w:b w:val="0"/>
          <w:i w:val="0"/>
          <w:color w:val="969698"/>
          <w:sz w:val="16"/>
          <w:u w:val="none"/>
        </w:rPr>
        <w:sectPr>
          <w:headerReference w:type="default" r:id="rId309"/>
          <w:footerReference w:type="default" r:id="rId310"/>
          <w:type w:val="continuous"/>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bookmarkStart w:id="116" w:name="Section119"/>
      <w:bookmarkEnd w:id="116"/>
      <w:r>
        <w:rPr>
          <w:rFonts w:ascii="Arial" w:eastAsia="Arial" w:hAnsi="Arial" w:cs="Arial"/>
          <w:b/>
          <w:i w:val="0"/>
          <w:color w:val="171449"/>
          <w:sz w:val="24"/>
          <w:u w:val="none"/>
        </w:rPr>
        <w:t xml:space="preserve">Relationship Between </w:t>
      </w:r>
      <w:r>
        <w:rPr>
          <w:rFonts w:ascii="Arial" w:eastAsia="Arial" w:hAnsi="Arial" w:cs="Arial"/>
          <w:b/>
          <w:i w:val="0"/>
          <w:color w:val="171449"/>
          <w:sz w:val="24"/>
          <w:u w:val="none"/>
        </w:rPr>
        <w:t>CAP</w:t>
      </w:r>
      <w:r>
        <w:rPr>
          <w:rFonts w:ascii="Arial" w:eastAsia="Arial" w:hAnsi="Arial" w:cs="Arial"/>
          <w:b/>
          <w:i w:val="0"/>
          <w:color w:val="171449"/>
          <w:sz w:val="24"/>
          <w:u w:val="none"/>
        </w:rPr>
        <w:t xml:space="preserve"> and Performance</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Below is a description of the relationships between CAP to the PEO and the average of CAP to the Non-PEO NEOs, and </w:t>
      </w:r>
      <w:r>
        <w:rPr>
          <w:rFonts w:ascii="Arial" w:eastAsia="Arial" w:hAnsi="Arial" w:cs="Arial"/>
          <w:b w:val="0"/>
          <w:i w:val="0"/>
          <w:sz w:val="20"/>
        </w:rPr>
        <w:t xml:space="preserve">(i) </w:t>
      </w:r>
      <w:r>
        <w:rPr>
          <w:rFonts w:ascii="Arial" w:eastAsia="Arial" w:hAnsi="Arial" w:cs="Arial"/>
          <w:b w:val="0"/>
          <w:i w:val="0"/>
          <w:sz w:val="20"/>
        </w:rPr>
        <w:t xml:space="preserve">cumulative total shareholder return; </w:t>
      </w:r>
      <w:r>
        <w:rPr>
          <w:rFonts w:ascii="Arial" w:eastAsia="Arial" w:hAnsi="Arial" w:cs="Arial"/>
          <w:b w:val="0"/>
          <w:i w:val="0"/>
          <w:sz w:val="20"/>
        </w:rPr>
        <w:t xml:space="preserve">(ii) </w:t>
      </w:r>
      <w:r>
        <w:rPr>
          <w:rFonts w:ascii="Arial" w:eastAsia="Arial" w:hAnsi="Arial" w:cs="Arial"/>
          <w:b w:val="0"/>
          <w:i w:val="0"/>
          <w:sz w:val="20"/>
        </w:rPr>
        <w:t xml:space="preserve">net earnings (loss); and </w:t>
      </w:r>
      <w:r>
        <w:rPr>
          <w:rFonts w:ascii="Arial" w:eastAsia="Arial" w:hAnsi="Arial" w:cs="Arial"/>
          <w:b w:val="0"/>
          <w:i w:val="0"/>
          <w:sz w:val="20"/>
        </w:rPr>
        <w:t xml:space="preserve">(iii) </w:t>
      </w:r>
      <w:r>
        <w:rPr>
          <w:rFonts w:ascii="Arial" w:eastAsia="Arial" w:hAnsi="Arial" w:cs="Arial"/>
          <w:b w:val="0"/>
          <w:i w:val="0"/>
          <w:sz w:val="20"/>
        </w:rPr>
        <w:t>Adjusted ROE. Refer to Appendix A for reconciliation of Adjusted ROE to the applicable GAAP financial measure.</w:t>
      </w:r>
    </w:p>
    <w:p>
      <w:pPr>
        <w:keepNext/>
        <w:keepLines w:val="0"/>
        <w:pageBreakBefore w:val="0"/>
        <w:widowControl/>
        <w:numPr>
          <w:ilvl w:val="0"/>
          <w:numId w:val="0"/>
        </w:numPr>
        <w:spacing w:before="0" w:after="120" w:line="300" w:lineRule="auto"/>
        <w:ind w:left="0" w:right="0" w:firstLine="0"/>
        <w:jc w:val="center"/>
        <w:outlineLvl w:val="9"/>
        <w:rPr>
          <w:rFonts w:ascii="Arial" w:eastAsia="Arial" w:hAnsi="Arial" w:cs="Arial"/>
          <w:b w:val="0"/>
          <w:i w:val="0"/>
          <w:sz w:val="20"/>
        </w:rPr>
      </w:pPr>
      <w:r>
        <w:drawing>
          <wp:inline>
            <wp:extent cx="3840480" cy="2562225"/>
            <wp:docPr id="1002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
                    <pic:cNvPicPr>
                      <a:picLocks noChangeAspect="1"/>
                    </pic:cNvPicPr>
                  </pic:nvPicPr>
                  <pic:blipFill>
                    <a:blip xmlns:r="http://schemas.openxmlformats.org/officeDocument/2006/relationships" r:embed="rId311"/>
                    <a:stretch>
                      <a:fillRect/>
                    </a:stretch>
                  </pic:blipFill>
                  <pic:spPr>
                    <a:xfrm>
                      <a:off x="0" y="0"/>
                      <a:ext cx="3840480" cy="2562225"/>
                    </a:xfrm>
                    <a:prstGeom prst="rect">
                      <a:avLst/>
                    </a:prstGeom>
                  </pic:spPr>
                </pic:pic>
              </a:graphicData>
            </a:graphic>
          </wp:inline>
        </w:drawing>
      </w:r>
    </w:p>
    <w:p>
      <w:pPr>
        <w:keepNext w:val="0"/>
        <w:keepLines w:val="0"/>
        <w:pageBreakBefore w:val="0"/>
        <w:widowControl/>
        <w:numPr>
          <w:ilvl w:val="0"/>
          <w:numId w:val="0"/>
        </w:numPr>
        <w:spacing w:before="0" w:after="120" w:line="300" w:lineRule="auto"/>
        <w:ind w:left="0" w:right="0" w:firstLine="0"/>
        <w:jc w:val="center"/>
        <w:outlineLvl w:val="9"/>
        <w:rPr>
          <w:rFonts w:ascii="Arial" w:eastAsia="Arial" w:hAnsi="Arial" w:cs="Arial"/>
          <w:b w:val="0"/>
          <w:i w:val="0"/>
          <w:sz w:val="20"/>
        </w:rPr>
      </w:pPr>
      <w:r>
        <w:drawing>
          <wp:inline>
            <wp:extent cx="3840480" cy="2562225"/>
            <wp:docPr id="1002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
                    <pic:cNvPicPr>
                      <a:picLocks noChangeAspect="1"/>
                    </pic:cNvPicPr>
                  </pic:nvPicPr>
                  <pic:blipFill>
                    <a:blip xmlns:r="http://schemas.openxmlformats.org/officeDocument/2006/relationships" r:embed="rId312"/>
                    <a:stretch>
                      <a:fillRect/>
                    </a:stretch>
                  </pic:blipFill>
                  <pic:spPr>
                    <a:xfrm>
                      <a:off x="0" y="0"/>
                      <a:ext cx="3840480" cy="2562225"/>
                    </a:xfrm>
                    <a:prstGeom prst="rect">
                      <a:avLst/>
                    </a:prstGeom>
                  </pic:spPr>
                </pic:pic>
              </a:graphicData>
            </a:graphic>
          </wp:inline>
        </w:drawing>
      </w:r>
    </w:p>
    <w:p>
      <w:pPr>
        <w:keepNext w:val="0"/>
        <w:keepLines w:val="0"/>
        <w:pageBreakBefore w:val="0"/>
        <w:widowControl/>
        <w:numPr>
          <w:ilvl w:val="0"/>
          <w:numId w:val="0"/>
        </w:numPr>
        <w:spacing w:before="0" w:after="120" w:line="300" w:lineRule="auto"/>
        <w:ind w:left="0" w:right="0" w:firstLine="0"/>
        <w:jc w:val="center"/>
        <w:outlineLvl w:val="9"/>
        <w:rPr>
          <w:rFonts w:ascii="Arial" w:eastAsia="Arial" w:hAnsi="Arial" w:cs="Arial"/>
          <w:b w:val="0"/>
          <w:i w:val="0"/>
          <w:sz w:val="20"/>
        </w:rPr>
      </w:pPr>
      <w:r>
        <w:drawing>
          <wp:inline>
            <wp:extent cx="3840480" cy="2562225"/>
            <wp:docPr id="1002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
                    <pic:cNvPicPr>
                      <a:picLocks noChangeAspect="1"/>
                    </pic:cNvPicPr>
                  </pic:nvPicPr>
                  <pic:blipFill>
                    <a:blip xmlns:r="http://schemas.openxmlformats.org/officeDocument/2006/relationships" r:embed="rId313"/>
                    <a:stretch>
                      <a:fillRect/>
                    </a:stretch>
                  </pic:blipFill>
                  <pic:spPr>
                    <a:xfrm>
                      <a:off x="0" y="0"/>
                      <a:ext cx="3840480" cy="2562225"/>
                    </a:xfrm>
                    <a:prstGeom prst="rect">
                      <a:avLst/>
                    </a:prstGeom>
                  </pic:spPr>
                </pic:pic>
              </a:graphicData>
            </a:graphic>
          </wp:inline>
        </w:drawing>
      </w:r>
    </w:p>
    <w:p>
      <w:pPr>
        <w:keepNext w:val="0"/>
        <w:keepLines/>
        <w:pageBreakBefore w:val="0"/>
        <w:widowControl w:val="0"/>
        <w:numPr>
          <w:ilvl w:val="0"/>
          <w:numId w:val="0"/>
        </w:numPr>
        <w:spacing w:before="0" w:after="100" w:line="288" w:lineRule="auto"/>
        <w:ind w:left="360" w:right="0" w:hanging="360"/>
        <w:jc w:val="left"/>
        <w:outlineLvl w:val="9"/>
        <w:rPr>
          <w:rFonts w:ascii="Arial" w:eastAsia="Arial" w:hAnsi="Arial" w:cs="Arial"/>
          <w:b w:val="0"/>
          <w:i w:val="0"/>
          <w:color w:val="969698"/>
          <w:sz w:val="16"/>
          <w:u w:val="none"/>
        </w:rPr>
      </w:pPr>
    </w:p>
    <w:p>
      <w:pPr>
        <w:keepNext w:val="0"/>
        <w:keepLines/>
        <w:pageBreakBefore w:val="0"/>
        <w:widowControl w:val="0"/>
        <w:numPr>
          <w:ilvl w:val="0"/>
          <w:numId w:val="0"/>
        </w:numPr>
        <w:spacing w:before="0" w:after="60" w:line="288" w:lineRule="auto"/>
        <w:ind w:left="360" w:right="0" w:hanging="360"/>
        <w:jc w:val="left"/>
        <w:outlineLvl w:val="9"/>
        <w:sectPr>
          <w:headerReference w:type="default" r:id="rId314"/>
          <w:footerReference w:type="default" r:id="rId315"/>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117" w:name="Section120"/>
      <w:bookmarkEnd w:id="117"/>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Performance Measures Used to Link Company Performance and CAP</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000000"/>
          <w:sz w:val="20"/>
          <w:u w:val="none"/>
        </w:rPr>
      </w:pPr>
      <w:r>
        <w:rPr>
          <w:rFonts w:ascii="Arial" w:eastAsia="Arial" w:hAnsi="Arial" w:cs="Arial"/>
          <w:b w:val="0"/>
          <w:i w:val="0"/>
          <w:color w:val="000000"/>
          <w:sz w:val="20"/>
          <w:u w:val="none"/>
        </w:rPr>
        <w:t xml:space="preserve">The following is a list of financial performance measures, which in our assessment represent the most important financial performance measures used by us to link our performance to </w:t>
      </w:r>
      <w:r>
        <w:rPr>
          <w:rFonts w:ascii="Arial" w:eastAsia="Arial" w:hAnsi="Arial" w:cs="Arial"/>
          <w:b w:val="0"/>
          <w:i w:val="0"/>
          <w:color w:val="000000"/>
          <w:sz w:val="20"/>
          <w:u w:val="none"/>
        </w:rPr>
        <w:t>CAP</w:t>
      </w:r>
      <w:r>
        <w:rPr>
          <w:rFonts w:ascii="Arial" w:eastAsia="Arial" w:hAnsi="Arial" w:cs="Arial"/>
          <w:b w:val="0"/>
          <w:i w:val="0"/>
          <w:color w:val="000000"/>
          <w:sz w:val="20"/>
          <w:u w:val="none"/>
        </w:rPr>
        <w:t xml:space="preserve"> to our named executive officers for 202</w:t>
      </w:r>
      <w:r>
        <w:rPr>
          <w:rFonts w:ascii="Arial" w:eastAsia="Arial" w:hAnsi="Arial" w:cs="Arial"/>
          <w:b w:val="0"/>
          <w:i w:val="0"/>
          <w:color w:val="000000"/>
          <w:sz w:val="20"/>
          <w:u w:val="none"/>
        </w:rPr>
        <w:t>3</w:t>
      </w:r>
      <w:r>
        <w:rPr>
          <w:rFonts w:ascii="Arial" w:eastAsia="Arial" w:hAnsi="Arial" w:cs="Arial"/>
          <w:b w:val="0"/>
          <w:i w:val="0"/>
          <w:color w:val="000000"/>
          <w:sz w:val="20"/>
          <w:u w:val="none"/>
        </w:rPr>
        <w:t xml:space="preserve">. The measures in this table are not ranked: </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135"/>
        <w:gridCol w:w="712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65"/>
        </w:trPr>
        <w:tc>
          <w:tcPr>
            <w:tcW w:w="3135" w:type="dxa"/>
            <w:tcBorders>
              <w:top w:val="single" w:sz="12" w:space="0" w:color="4494D1"/>
              <w:left w:val="nil"/>
              <w:bottom w:val="single" w:sz="12" w:space="0" w:color="4494D1"/>
              <w:right w:val="nil"/>
            </w:tcBorders>
            <w:shd w:val="clear" w:color="auto" w:fill="4494D1"/>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i w:val="0"/>
                <w:color w:val="FFFFFF"/>
                <w:sz w:val="18"/>
                <w:u w:val="none"/>
              </w:rPr>
              <w:t>Measure</w:t>
            </w:r>
          </w:p>
        </w:tc>
        <w:tc>
          <w:tcPr>
            <w:tcW w:w="7125" w:type="dxa"/>
            <w:tcBorders>
              <w:top w:val="single" w:sz="12" w:space="0" w:color="4494D1"/>
              <w:left w:val="nil"/>
              <w:bottom w:val="single" w:sz="12" w:space="0" w:color="4494D1"/>
              <w:right w:val="nil"/>
            </w:tcBorders>
            <w:shd w:val="clear" w:color="auto" w:fill="4494D1"/>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i w:val="0"/>
                <w:color w:val="FFFFFF"/>
                <w:sz w:val="18"/>
                <w:u w:val="none"/>
              </w:rPr>
              <w:t>Explanation</w:t>
            </w:r>
          </w:p>
        </w:tc>
      </w:tr>
      <w:tr>
        <w:tblPrEx>
          <w:tblW w:w="10260" w:type="dxa"/>
          <w:tblInd w:w="0" w:type="dxa"/>
          <w:tblLayout w:type="fixed"/>
          <w:tblCellMar>
            <w:left w:w="108" w:type="dxa"/>
            <w:right w:w="108" w:type="dxa"/>
          </w:tblCellMar>
        </w:tblPrEx>
        <w:trPr>
          <w:cantSplit/>
          <w:trHeight w:hRule="exact" w:val="1005"/>
        </w:trPr>
        <w:tc>
          <w:tcPr>
            <w:tcW w:w="3135" w:type="dxa"/>
            <w:tcBorders>
              <w:top w:val="single" w:sz="12" w:space="0" w:color="4494D1"/>
              <w:left w:val="nil"/>
              <w:bottom w:val="nil"/>
              <w:right w:val="nil"/>
            </w:tcBorders>
            <w:shd w:val="clear" w:color="auto" w:fill="DFDDDE"/>
            <w:tcMar>
              <w:top w:w="0" w:type="dxa"/>
              <w:left w:w="53" w:type="dxa"/>
              <w:bottom w:w="0" w:type="dxa"/>
              <w:right w:w="53" w:type="dxa"/>
            </w:tcMar>
            <w:vAlign w:val="center"/>
          </w:tcPr>
          <w:p>
            <w:pPr>
              <w:keepNext/>
              <w:pageBreakBefore w:val="0"/>
              <w:spacing w:before="0" w:after="0" w:line="300" w:lineRule="auto"/>
              <w:jc w:val="left"/>
            </w:pPr>
            <w:r>
              <w:rPr>
                <w:rFonts w:ascii="Arial" w:eastAsia="Arial" w:hAnsi="Arial" w:cs="Arial"/>
                <w:b w:val="0"/>
                <w:i w:val="0"/>
                <w:color w:val="000000"/>
                <w:sz w:val="18"/>
                <w:u w:val="none"/>
              </w:rPr>
              <w:t>Adjusted Return on Equity (Adjusted ROE)</w:t>
            </w:r>
          </w:p>
        </w:tc>
        <w:tc>
          <w:tcPr>
            <w:tcW w:w="7125" w:type="dxa"/>
            <w:tcBorders>
              <w:top w:val="single" w:sz="12" w:space="0" w:color="4494D1"/>
              <w:left w:val="nil"/>
              <w:bottom w:val="nil"/>
              <w:right w:val="nil"/>
            </w:tcBorders>
            <w:shd w:val="clear" w:color="auto" w:fill="DFDDDE"/>
            <w:tcMar>
              <w:top w:w="0" w:type="dxa"/>
              <w:left w:w="53" w:type="dxa"/>
              <w:bottom w:w="0" w:type="dxa"/>
              <w:right w:w="53" w:type="dxa"/>
            </w:tcMar>
            <w:vAlign w:val="center"/>
          </w:tcPr>
          <w:p>
            <w:pPr>
              <w:keepNext/>
              <w:pageBreakBefore w:val="0"/>
              <w:numPr>
                <w:ilvl w:val="0"/>
                <w:numId w:val="0"/>
              </w:numPr>
              <w:spacing w:before="0" w:after="0" w:line="300" w:lineRule="auto"/>
              <w:ind w:left="0" w:right="90" w:firstLine="0"/>
              <w:jc w:val="both"/>
              <w:outlineLvl w:val="9"/>
              <w:rPr>
                <w:rFonts w:ascii="Arial" w:eastAsia="Arial" w:hAnsi="Arial" w:cs="Arial"/>
                <w:b w:val="0"/>
                <w:i w:val="0"/>
                <w:sz w:val="18"/>
              </w:rPr>
            </w:pPr>
            <w:r>
              <w:rPr>
                <w:rFonts w:ascii="Arial" w:eastAsia="Arial" w:hAnsi="Arial" w:cs="Arial"/>
                <w:b w:val="0"/>
                <w:i w:val="0"/>
                <w:sz w:val="18"/>
              </w:rPr>
              <w:t>Non-GAAP financial measure calculated by dividing adjusted operating income (loss) attributable to Enstar ordinary shareholders by adjusted opening Enstar ordinary shareholders’ equity.</w:t>
            </w:r>
          </w:p>
        </w:tc>
      </w:tr>
      <w:tr>
        <w:tblPrEx>
          <w:tblW w:w="10260" w:type="dxa"/>
          <w:tblInd w:w="0" w:type="dxa"/>
          <w:tblLayout w:type="fixed"/>
          <w:tblCellMar>
            <w:left w:w="108" w:type="dxa"/>
            <w:right w:w="108" w:type="dxa"/>
          </w:tblCellMar>
        </w:tblPrEx>
        <w:trPr>
          <w:cantSplit/>
          <w:trHeight w:hRule="exact" w:val="1005"/>
        </w:trPr>
        <w:tc>
          <w:tcPr>
            <w:tcW w:w="313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300" w:lineRule="auto"/>
              <w:jc w:val="left"/>
            </w:pPr>
            <w:r>
              <w:rPr>
                <w:rFonts w:ascii="Arial" w:eastAsia="Arial" w:hAnsi="Arial" w:cs="Arial"/>
                <w:b w:val="0"/>
                <w:i w:val="0"/>
                <w:color w:val="000000"/>
                <w:sz w:val="18"/>
                <w:u w:val="none"/>
              </w:rPr>
              <w:t>Fully Diluted Book Value per Ordinary Share (FDBVPS)</w:t>
            </w:r>
          </w:p>
        </w:tc>
        <w:tc>
          <w:tcPr>
            <w:tcW w:w="712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300" w:lineRule="auto"/>
              <w:ind w:left="0" w:right="90" w:firstLine="0"/>
              <w:jc w:val="both"/>
              <w:outlineLvl w:val="9"/>
              <w:rPr>
                <w:rFonts w:ascii="Arial" w:eastAsia="Arial" w:hAnsi="Arial" w:cs="Arial"/>
                <w:b w:val="0"/>
                <w:i w:val="0"/>
                <w:sz w:val="18"/>
              </w:rPr>
            </w:pPr>
            <w:r>
              <w:rPr>
                <w:rFonts w:ascii="Arial" w:eastAsia="Arial" w:hAnsi="Arial" w:cs="Arial"/>
                <w:b w:val="0"/>
                <w:i w:val="0"/>
                <w:sz w:val="18"/>
              </w:rPr>
              <w:t>Non-GAAP financial measure calculated by dividing Enstar ordinary shareholders’ equity, adjusted to add the proceeds from the assumed exercise of warrants, by the number of ordinary shares outstanding, adjusted for the exercise of warrants and equity awards granted and not yet vested.</w:t>
            </w:r>
          </w:p>
        </w:tc>
      </w:tr>
      <w:tr>
        <w:tblPrEx>
          <w:tblW w:w="10260" w:type="dxa"/>
          <w:tblInd w:w="0" w:type="dxa"/>
          <w:tblLayout w:type="fixed"/>
          <w:tblCellMar>
            <w:left w:w="108" w:type="dxa"/>
            <w:right w:w="108" w:type="dxa"/>
          </w:tblCellMar>
        </w:tblPrEx>
        <w:trPr>
          <w:cantSplit/>
          <w:trHeight w:hRule="exact" w:val="1005"/>
        </w:trPr>
        <w:tc>
          <w:tcPr>
            <w:tcW w:w="313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val="0"/>
                <w:i w:val="0"/>
                <w:color w:val="000000"/>
                <w:sz w:val="18"/>
                <w:u w:val="none"/>
              </w:rPr>
              <w:t>ESGR Stock Price</w:t>
            </w:r>
          </w:p>
        </w:tc>
        <w:tc>
          <w:tcPr>
            <w:tcW w:w="712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numPr>
                <w:ilvl w:val="0"/>
                <w:numId w:val="0"/>
              </w:numPr>
              <w:spacing w:before="0" w:after="0" w:line="300" w:lineRule="auto"/>
              <w:ind w:left="0" w:right="90" w:firstLine="0"/>
              <w:jc w:val="both"/>
              <w:outlineLvl w:val="9"/>
              <w:rPr>
                <w:rFonts w:ascii="Arial" w:eastAsia="Arial" w:hAnsi="Arial" w:cs="Arial"/>
                <w:b w:val="0"/>
                <w:i w:val="0"/>
                <w:sz w:val="18"/>
              </w:rPr>
            </w:pPr>
            <w:r>
              <w:rPr>
                <w:rFonts w:ascii="Arial" w:eastAsia="Arial" w:hAnsi="Arial" w:cs="Arial"/>
                <w:b w:val="0"/>
                <w:i w:val="0"/>
                <w:sz w:val="18"/>
              </w:rPr>
              <w:t xml:space="preserve">The price of our ordinary shares that are traded on the NASDAQ Global Select Market under the ticker symbol "ESGR". </w:t>
            </w:r>
          </w:p>
        </w:tc>
      </w:tr>
      <w:tr>
        <w:tblPrEx>
          <w:tblW w:w="10260" w:type="dxa"/>
          <w:tblInd w:w="0" w:type="dxa"/>
          <w:tblLayout w:type="fixed"/>
          <w:tblCellMar>
            <w:left w:w="108" w:type="dxa"/>
            <w:right w:w="108" w:type="dxa"/>
          </w:tblCellMar>
        </w:tblPrEx>
        <w:trPr>
          <w:cantSplit/>
          <w:trHeight w:hRule="exact" w:val="1005"/>
        </w:trPr>
        <w:tc>
          <w:tcPr>
            <w:tcW w:w="313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val="0"/>
                <w:i w:val="0"/>
                <w:sz w:val="18"/>
              </w:rPr>
            </w:pPr>
            <w:r>
              <w:rPr>
                <w:rFonts w:ascii="Arial" w:eastAsia="Arial" w:hAnsi="Arial" w:cs="Arial"/>
                <w:b w:val="0"/>
                <w:i w:val="0"/>
                <w:sz w:val="18"/>
              </w:rPr>
              <w:t>Return on Equity (ROE)</w:t>
            </w:r>
          </w:p>
        </w:tc>
        <w:tc>
          <w:tcPr>
            <w:tcW w:w="712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300" w:lineRule="auto"/>
              <w:ind w:left="0" w:right="90" w:firstLine="0"/>
              <w:jc w:val="both"/>
              <w:outlineLvl w:val="9"/>
              <w:rPr>
                <w:rFonts w:ascii="Arial" w:eastAsia="Arial" w:hAnsi="Arial" w:cs="Arial"/>
                <w:b w:val="0"/>
                <w:i w:val="0"/>
                <w:sz w:val="18"/>
              </w:rPr>
            </w:pPr>
            <w:r>
              <w:rPr>
                <w:rFonts w:ascii="Arial" w:eastAsia="Arial" w:hAnsi="Arial" w:cs="Arial"/>
                <w:b w:val="0"/>
                <w:i w:val="0"/>
                <w:sz w:val="18"/>
              </w:rPr>
              <w:t>GAAP-based financial measure calculated by dividing net earnings (loss) attributable to Enstar ordinary shareholders by opening Enstar ordinary shareholders’ equity.</w:t>
            </w:r>
          </w:p>
        </w:tc>
      </w:tr>
      <w:tr>
        <w:tblPrEx>
          <w:tblW w:w="10260" w:type="dxa"/>
          <w:tblInd w:w="0" w:type="dxa"/>
          <w:tblLayout w:type="fixed"/>
          <w:tblCellMar>
            <w:left w:w="108" w:type="dxa"/>
            <w:right w:w="108" w:type="dxa"/>
          </w:tblCellMar>
        </w:tblPrEx>
        <w:trPr>
          <w:cantSplit/>
          <w:trHeight w:hRule="exact" w:val="1005"/>
        </w:trPr>
        <w:tc>
          <w:tcPr>
            <w:tcW w:w="3135" w:type="dxa"/>
            <w:tcBorders>
              <w:top w:val="nil"/>
              <w:left w:val="nil"/>
              <w:bottom w:val="nil"/>
              <w:right w:val="nil"/>
            </w:tcBorders>
            <w:shd w:val="clear" w:color="auto" w:fill="DFDDDE"/>
            <w:tcMar>
              <w:top w:w="0" w:type="dxa"/>
              <w:left w:w="53" w:type="dxa"/>
              <w:bottom w:w="0" w:type="dxa"/>
              <w:right w:w="53" w:type="dxa"/>
            </w:tcMar>
            <w:vAlign w:val="center"/>
          </w:tcPr>
          <w:p>
            <w:pPr>
              <w:pageBreakBefore w:val="0"/>
              <w:spacing w:before="0" w:after="0" w:line="300" w:lineRule="auto"/>
              <w:jc w:val="left"/>
            </w:pPr>
            <w:r>
              <w:rPr>
                <w:rFonts w:ascii="Arial" w:eastAsia="Arial" w:hAnsi="Arial" w:cs="Arial"/>
                <w:b w:val="0"/>
                <w:i w:val="0"/>
                <w:color w:val="000000"/>
                <w:sz w:val="18"/>
                <w:u w:val="none"/>
              </w:rPr>
              <w:t>Book Value per Ordinary Share (BVPS)</w:t>
            </w:r>
          </w:p>
        </w:tc>
        <w:tc>
          <w:tcPr>
            <w:tcW w:w="7125" w:type="dxa"/>
            <w:tcBorders>
              <w:top w:val="nil"/>
              <w:left w:val="nil"/>
              <w:bottom w:val="nil"/>
              <w:right w:val="nil"/>
            </w:tcBorders>
            <w:shd w:val="clear" w:color="auto" w:fill="DFDDDE"/>
            <w:tcMar>
              <w:top w:w="0" w:type="dxa"/>
              <w:left w:w="53" w:type="dxa"/>
              <w:bottom w:w="0" w:type="dxa"/>
              <w:right w:w="53" w:type="dxa"/>
            </w:tcMar>
            <w:vAlign w:val="center"/>
          </w:tcPr>
          <w:p>
            <w:pPr>
              <w:pageBreakBefore w:val="0"/>
              <w:numPr>
                <w:ilvl w:val="0"/>
                <w:numId w:val="0"/>
              </w:numPr>
              <w:spacing w:before="0" w:after="0" w:line="300" w:lineRule="auto"/>
              <w:ind w:left="0" w:right="90" w:firstLine="0"/>
              <w:jc w:val="both"/>
              <w:outlineLvl w:val="9"/>
              <w:rPr>
                <w:rFonts w:ascii="Arial" w:eastAsia="Arial" w:hAnsi="Arial" w:cs="Arial"/>
                <w:b w:val="0"/>
                <w:i w:val="0"/>
                <w:sz w:val="18"/>
              </w:rPr>
            </w:pPr>
            <w:r>
              <w:rPr>
                <w:rFonts w:ascii="Arial" w:eastAsia="Arial" w:hAnsi="Arial" w:cs="Arial"/>
                <w:b w:val="0"/>
                <w:i w:val="0"/>
                <w:sz w:val="18"/>
              </w:rPr>
              <w:t>GAAP financial measure calculated by dividing Enstar ordinary shareholders’ equity by the number of ordinary shares outstanding.</w:t>
            </w: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sectPr>
          <w:headerReference w:type="default" r:id="rId316"/>
          <w:footerReference w:type="default" r:id="rId317"/>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bookmarkStart w:id="118" w:name="Section121"/>
      <w:bookmarkEnd w:id="118"/>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CEO PAY RATIO</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SEC rules require the Company to determine the annual total compensation of our median-compensated employee for </w:t>
      </w:r>
      <w:r>
        <w:rPr>
          <w:rFonts w:ascii="Arial" w:eastAsia="Arial" w:hAnsi="Arial" w:cs="Arial"/>
          <w:b w:val="0"/>
          <w:i w:val="0"/>
          <w:color w:val="000000"/>
          <w:sz w:val="20"/>
          <w:u w:val="none"/>
        </w:rPr>
        <w:t>2023</w:t>
      </w:r>
      <w:r>
        <w:rPr>
          <w:rFonts w:ascii="Arial" w:eastAsia="Arial" w:hAnsi="Arial" w:cs="Arial"/>
          <w:b w:val="0"/>
          <w:i w:val="0"/>
          <w:sz w:val="20"/>
        </w:rPr>
        <w:t xml:space="preserve"> and present a comparison of that person's compensation to the annual total compensation of our CEO, Dominic Silvester. Our pay ratio was calculated using the ratio of Mr. Silvester's annual total compensation (as reported in the Summary Compensation Table) to the annual total compensation of our median employee (calculated in accordance with the Summary Compensation Table rules), for fiscal year </w:t>
      </w:r>
      <w:r>
        <w:rPr>
          <w:rFonts w:ascii="Arial" w:eastAsia="Arial" w:hAnsi="Arial" w:cs="Arial"/>
          <w:b w:val="0"/>
          <w:i w:val="0"/>
          <w:color w:val="000000"/>
          <w:sz w:val="20"/>
          <w:u w:val="none"/>
        </w:rPr>
        <w:t>2023</w:t>
      </w:r>
      <w:r>
        <w:rPr>
          <w:rFonts w:ascii="Arial" w:eastAsia="Arial" w:hAnsi="Arial" w:cs="Arial"/>
          <w:b w:val="0"/>
          <w:i w:val="0"/>
          <w:sz w:val="20"/>
        </w:rPr>
        <w:t xml:space="preserve">. Mr. Silvester's </w:t>
      </w:r>
      <w:r>
        <w:rPr>
          <w:rFonts w:ascii="Arial" w:eastAsia="Arial" w:hAnsi="Arial" w:cs="Arial"/>
          <w:b w:val="0"/>
          <w:i w:val="0"/>
          <w:color w:val="000000"/>
          <w:sz w:val="20"/>
          <w:u w:val="none"/>
        </w:rPr>
        <w:t>2023</w:t>
      </w:r>
      <w:r>
        <w:rPr>
          <w:rFonts w:ascii="Arial" w:eastAsia="Arial" w:hAnsi="Arial" w:cs="Arial"/>
          <w:b w:val="0"/>
          <w:i w:val="0"/>
          <w:sz w:val="20"/>
        </w:rPr>
        <w:t xml:space="preserve"> annual total reported compensation was </w:t>
      </w:r>
      <w:r>
        <w:rPr>
          <w:rFonts w:ascii="Arial" w:eastAsia="Arial" w:hAnsi="Arial" w:cs="Arial"/>
          <w:b w:val="0"/>
          <w:i w:val="0"/>
          <w:color w:val="000000"/>
          <w:sz w:val="20"/>
          <w:u w:val="none"/>
        </w:rPr>
        <w:t>$7,492,326</w:t>
      </w:r>
      <w:r>
        <w:rPr>
          <w:rFonts w:ascii="Arial" w:eastAsia="Arial" w:hAnsi="Arial" w:cs="Arial"/>
          <w:b w:val="0"/>
          <w:i w:val="0"/>
          <w:sz w:val="20"/>
        </w:rPr>
        <w:t xml:space="preserve">. The </w:t>
      </w:r>
      <w:r>
        <w:rPr>
          <w:rFonts w:ascii="Arial" w:eastAsia="Arial" w:hAnsi="Arial" w:cs="Arial"/>
          <w:b w:val="0"/>
          <w:i w:val="0"/>
          <w:color w:val="000000"/>
          <w:sz w:val="20"/>
          <w:u w:val="none"/>
        </w:rPr>
        <w:t>2023</w:t>
      </w:r>
      <w:r>
        <w:rPr>
          <w:rFonts w:ascii="Arial" w:eastAsia="Arial" w:hAnsi="Arial" w:cs="Arial"/>
          <w:b w:val="0"/>
          <w:i w:val="0"/>
          <w:sz w:val="20"/>
        </w:rPr>
        <w:t xml:space="preserve"> annual total compensation of our median compensated employee was </w:t>
      </w:r>
      <w:r>
        <w:rPr>
          <w:rFonts w:ascii="Arial" w:eastAsia="Arial" w:hAnsi="Arial" w:cs="Arial"/>
          <w:b w:val="0"/>
          <w:i w:val="0"/>
          <w:color w:val="000000"/>
          <w:sz w:val="20"/>
          <w:u w:val="none"/>
        </w:rPr>
        <w:t>$121,735</w:t>
      </w:r>
      <w:r>
        <w:rPr>
          <w:rFonts w:ascii="Arial" w:eastAsia="Arial" w:hAnsi="Arial" w:cs="Arial"/>
          <w:b w:val="0"/>
          <w:i w:val="0"/>
          <w:sz w:val="20"/>
        </w:rPr>
        <w:t xml:space="preserve">. Accordingly, our pay ratio for </w:t>
      </w:r>
      <w:r>
        <w:rPr>
          <w:rFonts w:ascii="Arial" w:eastAsia="Arial" w:hAnsi="Arial" w:cs="Arial"/>
          <w:b w:val="0"/>
          <w:i w:val="0"/>
          <w:color w:val="000000"/>
          <w:sz w:val="20"/>
          <w:u w:val="none"/>
        </w:rPr>
        <w:t>2023</w:t>
      </w:r>
      <w:r>
        <w:rPr>
          <w:rFonts w:ascii="Arial" w:eastAsia="Arial" w:hAnsi="Arial" w:cs="Arial"/>
          <w:b w:val="0"/>
          <w:i w:val="0"/>
          <w:sz w:val="20"/>
        </w:rPr>
        <w:t xml:space="preserve"> was </w:t>
      </w:r>
      <w:r>
        <w:rPr>
          <w:rFonts w:ascii="Arial" w:eastAsia="Arial" w:hAnsi="Arial" w:cs="Arial"/>
          <w:b w:val="0"/>
          <w:i w:val="0"/>
          <w:color w:val="000000"/>
          <w:sz w:val="20"/>
          <w:u w:val="none"/>
        </w:rPr>
        <w:t>62</w:t>
      </w:r>
      <w:r>
        <w:rPr>
          <w:rFonts w:ascii="Arial" w:eastAsia="Arial" w:hAnsi="Arial" w:cs="Arial"/>
          <w:b w:val="0"/>
          <w:i w:val="0"/>
          <w:sz w:val="20"/>
        </w:rPr>
        <w:t xml:space="preserve"> to 1.</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To calculate our CEO pay ratio, we identified a median-compensated employee for whom </w:t>
      </w:r>
      <w:r>
        <w:rPr>
          <w:rFonts w:ascii="Arial" w:eastAsia="Arial" w:hAnsi="Arial" w:cs="Arial"/>
          <w:b w:val="0"/>
          <w:i w:val="0"/>
          <w:color w:val="000000"/>
          <w:sz w:val="20"/>
          <w:u w:val="none"/>
        </w:rPr>
        <w:t>2023</w:t>
      </w:r>
      <w:r>
        <w:rPr>
          <w:rFonts w:ascii="Arial" w:eastAsia="Arial" w:hAnsi="Arial" w:cs="Arial"/>
          <w:b w:val="0"/>
          <w:i w:val="0"/>
          <w:sz w:val="20"/>
        </w:rPr>
        <w:t xml:space="preserve"> annual total compensation could be determined. We determined the median-compensated employee by collecting compensation data for all of our full- and part-time staff employed by us across all jurisdictions on October 1, </w:t>
      </w:r>
      <w:r>
        <w:rPr>
          <w:rFonts w:ascii="Arial" w:eastAsia="Arial" w:hAnsi="Arial" w:cs="Arial"/>
          <w:b w:val="0"/>
          <w:i w:val="0"/>
          <w:color w:val="000000"/>
          <w:sz w:val="20"/>
          <w:u w:val="none"/>
        </w:rPr>
        <w:t>2023</w:t>
      </w:r>
      <w:r>
        <w:rPr>
          <w:rFonts w:ascii="Arial" w:eastAsia="Arial" w:hAnsi="Arial" w:cs="Arial"/>
          <w:b w:val="0"/>
          <w:i w:val="0"/>
          <w:sz w:val="20"/>
        </w:rPr>
        <w:t xml:space="preserve">, excluding Mr. Silvester. We excluded from this population all personnel classified as independent contractors whose compensation is determined by third parties. This process resulted in the use of a different person as the median-compensated employee than the prior year.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To identify the median-compensated employee, we used total cash compensation as our compensation measure, which included (i) base salary or wages, including overtime, and (ii) annual incentive payments made during the one-year period ended September 30, </w:t>
      </w:r>
      <w:r>
        <w:rPr>
          <w:rFonts w:ascii="Arial" w:eastAsia="Arial" w:hAnsi="Arial" w:cs="Arial"/>
          <w:b w:val="0"/>
          <w:i w:val="0"/>
          <w:color w:val="000000"/>
          <w:sz w:val="20"/>
          <w:u w:val="none"/>
        </w:rPr>
        <w:t>2023</w:t>
      </w:r>
      <w:r>
        <w:rPr>
          <w:rFonts w:ascii="Arial" w:eastAsia="Arial" w:hAnsi="Arial" w:cs="Arial"/>
          <w:b w:val="0"/>
          <w:i w:val="0"/>
          <w:sz w:val="20"/>
        </w:rPr>
        <w:t xml:space="preserve">. Equity compensation, including any equity awards settled in cash, was not included in total cash compensation. We did not make any cost-of-living or other adjustments, assumptions or estimates. Total cash compensation paid in a foreign currency was converted to U.S. Dollars at prevailing exchange rates as of </w:t>
      </w:r>
      <w:r>
        <w:rPr>
          <w:rFonts w:ascii="Arial" w:eastAsia="Arial" w:hAnsi="Arial" w:cs="Arial"/>
          <w:b w:val="0"/>
          <w:i w:val="0"/>
          <w:color w:val="000000"/>
          <w:sz w:val="20"/>
          <w:u w:val="none"/>
        </w:rPr>
        <w:t>September 30, 2023</w:t>
      </w:r>
      <w:r>
        <w:rPr>
          <w:rFonts w:ascii="Arial" w:eastAsia="Arial" w:hAnsi="Arial" w:cs="Arial"/>
          <w:b w:val="0"/>
          <w:i w:val="0"/>
          <w:sz w:val="20"/>
        </w:rPr>
        <w:t>.</w:t>
      </w: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20" w:line="288" w:lineRule="auto"/>
        <w:ind w:left="0" w:right="0" w:firstLine="0"/>
        <w:jc w:val="both"/>
        <w:outlineLvl w:val="9"/>
        <w:rPr>
          <w:rFonts w:ascii="Arial" w:eastAsia="Arial" w:hAnsi="Arial" w:cs="Arial"/>
          <w:b w:val="0"/>
          <w:i w:val="0"/>
          <w:sz w:val="20"/>
        </w:rPr>
        <w:sectPr>
          <w:headerReference w:type="default" r:id="rId318"/>
          <w:footerReference w:type="default" r:id="rId319"/>
          <w:pgSz w:w="12240" w:h="15840"/>
          <w:pgMar w:top="855" w:right="990" w:bottom="855" w:left="990" w:header="180" w:footer="270"/>
          <w:cols w:space="708"/>
        </w:sect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80"/>
          <w:u w:val="none"/>
        </w:rPr>
      </w:pPr>
      <w:bookmarkStart w:id="119" w:name="Section122"/>
      <w:bookmarkEnd w:id="119"/>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80" w:line="252" w:lineRule="auto"/>
        <w:ind w:left="0" w:right="0" w:firstLine="0"/>
        <w:jc w:val="left"/>
        <w:outlineLvl w:val="0"/>
        <w:rPr>
          <w:rFonts w:ascii="Arial" w:eastAsia="Arial" w:hAnsi="Arial" w:cs="Arial"/>
          <w:b/>
          <w:i w:val="0"/>
          <w:color w:val="171449"/>
          <w:sz w:val="80"/>
          <w:u w:val="none"/>
        </w:rPr>
      </w:pPr>
      <w:r>
        <w:rPr>
          <w:rFonts w:ascii="Arial" w:eastAsia="Arial" w:hAnsi="Arial" w:cs="Arial"/>
          <w:b/>
          <w:i w:val="0"/>
          <w:color w:val="171449"/>
          <w:sz w:val="80"/>
          <w:u w:val="none"/>
        </w:rPr>
        <w:t>Audit</w:t>
      </w: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80"/>
          <w:u w:val="none"/>
        </w:rPr>
      </w:pPr>
      <w:r>
        <w:rPr>
          <w:rFonts w:ascii="Arial" w:eastAsia="Arial" w:hAnsi="Arial" w:cs="Arial"/>
          <w:b/>
          <w:i w:val="0"/>
          <w:color w:val="171449"/>
          <w:sz w:val="80"/>
          <w:u w:val="none"/>
        </w:rPr>
        <w:t>Matters</w:t>
      </w: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40"/>
          <w:u w:val="none"/>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tbl>
      <w:tblPr>
        <w:tblW w:w="85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7995"/>
        <w:gridCol w:w="585"/>
      </w:tblGrid>
      <w:tr>
        <w:tblPrEx>
          <w:tblW w:w="85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15"/>
        </w:trPr>
        <w:tc>
          <w:tcPr>
            <w:tcW w:w="7995" w:type="dxa"/>
            <w:tcBorders>
              <w:top w:val="single" w:sz="8" w:space="0" w:color="929292"/>
              <w:left w:val="nil"/>
              <w:bottom w:val="nil"/>
              <w:right w:val="nil"/>
            </w:tcBorders>
            <w:tcMar>
              <w:top w:w="0" w:type="dxa"/>
              <w:left w:w="0" w:type="dxa"/>
              <w:bottom w:w="0" w:type="dxa"/>
              <w:right w:w="0" w:type="dxa"/>
            </w:tcMar>
            <w:vAlign w:val="bottom"/>
          </w:tcPr>
          <w:p>
            <w:pPr>
              <w:keepNext/>
              <w:pageBreakBefore w:val="0"/>
              <w:spacing w:before="0" w:after="0"/>
            </w:pPr>
          </w:p>
        </w:tc>
        <w:tc>
          <w:tcPr>
            <w:tcW w:w="585" w:type="dxa"/>
            <w:tcBorders>
              <w:top w:val="single" w:sz="8" w:space="0" w:color="929292"/>
              <w:left w:val="nil"/>
              <w:bottom w:val="nil"/>
              <w:right w:val="nil"/>
            </w:tcBorders>
            <w:tcMar>
              <w:top w:w="0" w:type="dxa"/>
              <w:left w:w="0" w:type="dxa"/>
              <w:bottom w:w="0" w:type="dxa"/>
              <w:right w:w="0" w:type="dxa"/>
            </w:tcMar>
            <w:vAlign w:val="bottom"/>
          </w:tcPr>
          <w:p>
            <w:pPr>
              <w:keepNext/>
              <w:pageBreakBefore w:val="0"/>
              <w:spacing w:before="0" w:after="0"/>
            </w:pPr>
          </w:p>
        </w:tc>
      </w:tr>
      <w:tr>
        <w:tblPrEx>
          <w:tblW w:w="8580" w:type="dxa"/>
          <w:tblInd w:w="0" w:type="dxa"/>
          <w:tblLayout w:type="fixed"/>
          <w:tblCellMar>
            <w:left w:w="108" w:type="dxa"/>
            <w:right w:w="108" w:type="dxa"/>
          </w:tblCellMar>
        </w:tblPrEx>
        <w:trPr>
          <w:cantSplit/>
          <w:trHeight w:hRule="exact" w:val="315"/>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23" w:history="1">
              <w:r>
                <w:rPr>
                  <w:rFonts w:ascii="Arial" w:eastAsia="Arial" w:hAnsi="Arial" w:cs="Arial"/>
                  <w:b w:val="0"/>
                  <w:i w:val="0"/>
                  <w:color w:val="000000"/>
                  <w:sz w:val="18"/>
                  <w:u w:val="none"/>
                  <w:shd w:val="clear" w:color="auto" w:fill="auto"/>
                </w:rPr>
                <w:t>Proposal No. 3 – Ratification of Appointment of Independent Registered Public Accounting Firm</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Section123</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97</w:t>
            </w:r>
            <w:r>
              <w:rPr>
                <w:rFonts w:ascii="Arial" w:eastAsia="Arial" w:hAnsi="Arial" w:cs="Arial"/>
                <w:b w:val="0"/>
                <w:i w:val="0"/>
                <w:color w:val="000000"/>
                <w:sz w:val="18"/>
                <w:u w:val="none"/>
              </w:rPr>
              <w:fldChar w:fldCharType="end"/>
            </w:r>
          </w:p>
        </w:tc>
      </w:tr>
      <w:tr>
        <w:tblPrEx>
          <w:tblW w:w="8580" w:type="dxa"/>
          <w:tblInd w:w="0" w:type="dxa"/>
          <w:tblLayout w:type="fixed"/>
          <w:tblCellMar>
            <w:left w:w="108" w:type="dxa"/>
            <w:right w:w="108" w:type="dxa"/>
          </w:tblCellMar>
        </w:tblPrEx>
        <w:trPr>
          <w:cantSplit/>
          <w:trHeight w:hRule="exact" w:val="315"/>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24" w:history="1">
              <w:r>
                <w:rPr>
                  <w:rFonts w:ascii="Arial" w:eastAsia="Arial" w:hAnsi="Arial" w:cs="Arial"/>
                  <w:b w:val="0"/>
                  <w:i w:val="0"/>
                  <w:color w:val="000000"/>
                  <w:sz w:val="18"/>
                  <w:u w:val="none"/>
                  <w:shd w:val="clear" w:color="auto" w:fill="auto"/>
                </w:rPr>
                <w:t>Report of the Audit Committee</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Section124</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98</w:t>
            </w:r>
            <w:r>
              <w:rPr>
                <w:rFonts w:ascii="Arial" w:eastAsia="Arial" w:hAnsi="Arial" w:cs="Arial"/>
                <w:b w:val="0"/>
                <w:i w:val="0"/>
                <w:color w:val="000000"/>
                <w:sz w:val="18"/>
                <w:u w:val="none"/>
              </w:rPr>
              <w:fldChar w:fldCharType="end"/>
            </w:r>
          </w:p>
        </w:tc>
      </w:tr>
      <w:tr>
        <w:tblPrEx>
          <w:tblW w:w="8580" w:type="dxa"/>
          <w:tblInd w:w="0" w:type="dxa"/>
          <w:tblLayout w:type="fixed"/>
          <w:tblCellMar>
            <w:left w:w="108" w:type="dxa"/>
            <w:right w:w="108" w:type="dxa"/>
          </w:tblCellMar>
        </w:tblPrEx>
        <w:trPr>
          <w:cantSplit/>
          <w:trHeight w:hRule="exact" w:val="315"/>
        </w:trPr>
        <w:tc>
          <w:tcPr>
            <w:tcW w:w="799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val="0"/>
                <w:i w:val="0"/>
                <w:color w:val="000000"/>
                <w:sz w:val="18"/>
                <w:u w:val="none"/>
              </w:rPr>
              <w:t>Change of Independent Registered Public Accounting Firm</w:t>
            </w:r>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Section125</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98</w:t>
            </w:r>
            <w:r>
              <w:rPr>
                <w:rFonts w:ascii="Arial" w:eastAsia="Arial" w:hAnsi="Arial" w:cs="Arial"/>
                <w:b w:val="0"/>
                <w:i w:val="0"/>
                <w:color w:val="000000"/>
                <w:sz w:val="18"/>
                <w:u w:val="none"/>
              </w:rPr>
              <w:fldChar w:fldCharType="end"/>
            </w:r>
          </w:p>
        </w:tc>
      </w:tr>
      <w:tr>
        <w:tblPrEx>
          <w:tblW w:w="8580" w:type="dxa"/>
          <w:tblInd w:w="0" w:type="dxa"/>
          <w:tblLayout w:type="fixed"/>
          <w:tblCellMar>
            <w:left w:w="108" w:type="dxa"/>
            <w:right w:w="108" w:type="dxa"/>
          </w:tblCellMar>
        </w:tblPrEx>
        <w:trPr>
          <w:cantSplit/>
          <w:trHeight w:hRule="exact" w:val="315"/>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26" w:history="1">
              <w:r>
                <w:rPr>
                  <w:rFonts w:ascii="Arial" w:eastAsia="Arial" w:hAnsi="Arial" w:cs="Arial"/>
                  <w:b w:val="0"/>
                  <w:i w:val="0"/>
                  <w:color w:val="000000"/>
                  <w:sz w:val="18"/>
                  <w:u w:val="none"/>
                  <w:shd w:val="clear" w:color="auto" w:fill="auto"/>
                </w:rPr>
                <w:t>Audit and Non-Audit Fees</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Section126</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99</w:t>
            </w:r>
            <w:r>
              <w:rPr>
                <w:rFonts w:ascii="Arial" w:eastAsia="Arial" w:hAnsi="Arial" w:cs="Arial"/>
                <w:b w:val="0"/>
                <w:i w:val="0"/>
                <w:color w:val="000000"/>
                <w:sz w:val="18"/>
                <w:u w:val="none"/>
              </w:rPr>
              <w:fldChar w:fldCharType="end"/>
            </w:r>
          </w:p>
        </w:tc>
      </w:tr>
    </w:tbl>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sectPr>
          <w:headerReference w:type="default" r:id="rId320"/>
          <w:footerReference w:type="default" r:id="rId321"/>
          <w:pgSz w:w="12240" w:h="15840"/>
          <w:pgMar w:top="855" w:right="990" w:bottom="855" w:left="990" w:header="180" w:footer="270"/>
          <w:cols w:space="708"/>
        </w:sect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bookmarkStart w:id="120" w:name="Section123"/>
      <w:bookmarkEnd w:id="120"/>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15"/>
        <w:gridCol w:w="195"/>
        <w:gridCol w:w="1140"/>
        <w:gridCol w:w="1905"/>
        <w:gridCol w:w="2685"/>
        <w:gridCol w:w="3495"/>
        <w:gridCol w:w="52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45" w:type="dxa"/>
            <w:gridSpan w:val="2"/>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2060"/>
                <w:sz w:val="24"/>
                <w:u w:val="none"/>
              </w:rPr>
              <w:t>Proposal 3:</w:t>
            </w:r>
          </w:p>
        </w:tc>
        <w:tc>
          <w:tcPr>
            <w:tcW w:w="2685" w:type="dxa"/>
            <w:tcBorders>
              <w:top w:val="nil"/>
              <w:left w:val="nil"/>
              <w:bottom w:val="single" w:sz="4" w:space="0" w:color="4494D1"/>
              <w:right w:val="nil"/>
            </w:tcBorders>
            <w:tcMar>
              <w:top w:w="0" w:type="dxa"/>
              <w:left w:w="0" w:type="dxa"/>
              <w:bottom w:w="0" w:type="dxa"/>
              <w:right w:w="0" w:type="dxa"/>
            </w:tcMar>
            <w:vAlign w:val="bottom"/>
          </w:tcPr>
          <w:p>
            <w:pPr>
              <w:keepNext/>
              <w:pageBreakBefore w:val="0"/>
              <w:spacing w:before="0" w:after="0"/>
            </w:pPr>
          </w:p>
        </w:tc>
        <w:tc>
          <w:tcPr>
            <w:tcW w:w="3495" w:type="dxa"/>
            <w:tcBorders>
              <w:top w:val="nil"/>
              <w:left w:val="nil"/>
              <w:bottom w:val="single" w:sz="4" w:space="0" w:color="4494D1"/>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single" w:sz="4" w:space="0" w:color="4494D1"/>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1320"/>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225" w:type="dxa"/>
            <w:gridSpan w:val="4"/>
            <w:tcBorders>
              <w:top w:val="nil"/>
              <w:left w:val="nil"/>
              <w:bottom w:val="nil"/>
              <w:right w:val="nil"/>
            </w:tcBorders>
            <w:tcMar>
              <w:top w:w="0" w:type="dxa"/>
              <w:left w:w="53" w:type="dxa"/>
              <w:bottom w:w="0" w:type="dxa"/>
              <w:right w:w="53" w:type="dxa"/>
            </w:tcMar>
            <w:vAlign w:val="bottom"/>
          </w:tcPr>
          <w:p>
            <w:pPr>
              <w:keepNext/>
              <w:pageBreakBefore w:val="0"/>
              <w:spacing w:before="43" w:line="240" w:lineRule="auto"/>
              <w:jc w:val="left"/>
            </w:pPr>
            <w:r>
              <w:rPr>
                <w:rFonts w:ascii="Arial" w:eastAsia="Arial" w:hAnsi="Arial" w:cs="Arial"/>
                <w:b/>
                <w:i w:val="0"/>
                <w:color w:val="4494D1"/>
                <w:sz w:val="40"/>
                <w:u w:val="none"/>
              </w:rPr>
              <w:t xml:space="preserve">Ratification of PricewaterhouseCoopers LLP </w:t>
            </w:r>
          </w:p>
          <w:p>
            <w:pPr>
              <w:spacing w:line="240" w:lineRule="auto"/>
              <w:jc w:val="left"/>
            </w:pPr>
            <w:r>
              <w:rPr>
                <w:rFonts w:ascii="Arial" w:eastAsia="Arial" w:hAnsi="Arial" w:cs="Arial"/>
                <w:b/>
                <w:i w:val="0"/>
                <w:color w:val="4494D1"/>
                <w:sz w:val="40"/>
                <w:u w:val="none"/>
              </w:rPr>
              <w:t xml:space="preserve">as Independent Registered </w:t>
            </w:r>
          </w:p>
          <w:p>
            <w:pPr>
              <w:spacing w:after="30" w:line="240" w:lineRule="auto"/>
              <w:jc w:val="left"/>
            </w:pPr>
            <w:r>
              <w:rPr>
                <w:rFonts w:ascii="Arial" w:eastAsia="Arial" w:hAnsi="Arial" w:cs="Arial"/>
                <w:b/>
                <w:i w:val="0"/>
                <w:color w:val="4494D1"/>
                <w:sz w:val="40"/>
                <w:u w:val="none"/>
              </w:rPr>
              <w:t>Public Accounting Firm</w:t>
            </w:r>
          </w:p>
        </w:tc>
        <w:tc>
          <w:tcPr>
            <w:tcW w:w="525" w:type="dxa"/>
            <w:tcBorders>
              <w:top w:val="single" w:sz="4" w:space="0" w:color="4494D1"/>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9945" w:type="dxa"/>
            <w:gridSpan w:val="6"/>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45" w:type="dxa"/>
            <w:gridSpan w:val="2"/>
            <w:tcBorders>
              <w:top w:val="nil"/>
              <w:left w:val="nil"/>
              <w:bottom w:val="nil"/>
              <w:right w:val="nil"/>
            </w:tcBorders>
            <w:shd w:val="clear" w:color="auto" w:fill="4494D1"/>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i w:val="0"/>
                <w:color w:val="FFFFFF"/>
                <w:sz w:val="20"/>
                <w:u w:val="none"/>
              </w:rPr>
              <w:t>WHAT AM I VOTING ON?</w:t>
            </w:r>
          </w:p>
        </w:tc>
        <w:tc>
          <w:tcPr>
            <w:tcW w:w="26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4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6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4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145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225" w:type="dxa"/>
            <w:gridSpan w:val="4"/>
            <w:tcBorders>
              <w:top w:val="nil"/>
              <w:left w:val="nil"/>
              <w:bottom w:val="nil"/>
              <w:right w:val="nil"/>
            </w:tcBorders>
            <w:tcMar>
              <w:top w:w="0" w:type="dxa"/>
              <w:left w:w="53" w:type="dxa"/>
              <w:bottom w:w="0" w:type="dxa"/>
              <w:right w:w="53" w:type="dxa"/>
            </w:tcMar>
            <w:vAlign w:val="center"/>
          </w:tcPr>
          <w:p>
            <w:pPr>
              <w:keepNext/>
              <w:pageBreakBefore w:val="0"/>
              <w:spacing w:before="0" w:after="0" w:line="336" w:lineRule="auto"/>
              <w:jc w:val="both"/>
            </w:pPr>
            <w:r>
              <w:rPr>
                <w:rFonts w:ascii="Arial" w:eastAsia="Arial" w:hAnsi="Arial" w:cs="Arial"/>
                <w:b/>
                <w:i w:val="0"/>
                <w:color w:val="000000"/>
                <w:sz w:val="20"/>
                <w:u w:val="none"/>
              </w:rPr>
              <w:t>The Audit Committee of our Board has appointed and is requesting ratification by shareholders of the committee's appointment of PricewaterhouseCoopers LLP ("PwC") as the independent registered public accounting firm to audit our consolidated financial statements for the year ending December 31, 2024, and to authorize our Board, acting through the Audit Committee, to approve the fees for PwC.</w:t>
            </w: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6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4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45" w:type="dxa"/>
            <w:gridSpan w:val="2"/>
            <w:tcBorders>
              <w:top w:val="nil"/>
              <w:left w:val="nil"/>
              <w:bottom w:val="nil"/>
              <w:right w:val="nil"/>
            </w:tcBorders>
            <w:shd w:val="clear" w:color="auto" w:fill="4494D1"/>
            <w:tcMar>
              <w:top w:w="0" w:type="dxa"/>
              <w:left w:w="53" w:type="dxa"/>
              <w:bottom w:w="0" w:type="dxa"/>
              <w:right w:w="53" w:type="dxa"/>
            </w:tcMar>
            <w:vAlign w:val="center"/>
          </w:tcPr>
          <w:p>
            <w:pPr>
              <w:keepNext/>
              <w:pageBreakBefore w:val="0"/>
              <w:spacing w:before="0" w:after="0" w:line="288" w:lineRule="auto"/>
              <w:jc w:val="center"/>
            </w:pPr>
            <w:r>
              <w:rPr>
                <w:rFonts w:ascii="Arial" w:eastAsia="Arial" w:hAnsi="Arial" w:cs="Arial"/>
                <w:b/>
                <w:i w:val="0"/>
                <w:color w:val="FFFFFF"/>
                <w:sz w:val="20"/>
                <w:u w:val="none"/>
              </w:rPr>
              <w:t>RECOMMENDATION</w:t>
            </w:r>
          </w:p>
        </w:tc>
        <w:tc>
          <w:tcPr>
            <w:tcW w:w="26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4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6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4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190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center"/>
              <w:outlineLvl w:val="9"/>
              <w:rPr>
                <w:rFonts w:ascii="Wingdings" w:eastAsia="Wingdings" w:hAnsi="Wingdings" w:cs="Wingdings"/>
                <w:b/>
                <w:i w:val="0"/>
                <w:color w:val="4494D1"/>
                <w:sz w:val="90"/>
                <w:u w:val="none"/>
              </w:rPr>
            </w:pPr>
            <w:r>
              <w:pict>
                <v:shape id="_x0000_s1253" type="#_x0000_t75" style="width:50.4pt;height:50.4pt;margin-top:0;margin-left:0;mso-position-horizontal:center;position:absolute;z-index:251797504">
                  <v:imagedata r:id="rId43" o:title=""/>
                  <o:lock v:ext="edit" aspectratio="t"/>
                  <w10:wrap type="square"/>
                </v:shape>
              </w:pict>
            </w:r>
          </w:p>
        </w:tc>
        <w:tc>
          <w:tcPr>
            <w:tcW w:w="8085" w:type="dxa"/>
            <w:gridSpan w:val="3"/>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both"/>
              <w:outlineLvl w:val="9"/>
              <w:rPr>
                <w:rFonts w:ascii="Arial" w:eastAsia="Arial" w:hAnsi="Arial" w:cs="Arial"/>
                <w:b/>
                <w:i w:val="0"/>
                <w:sz w:val="28"/>
              </w:rPr>
            </w:pPr>
            <w:r>
              <w:rPr>
                <w:rFonts w:ascii="Arial" w:eastAsia="Arial" w:hAnsi="Arial" w:cs="Arial"/>
                <w:b/>
                <w:i w:val="0"/>
                <w:sz w:val="28"/>
              </w:rPr>
              <w:t xml:space="preserve">The Board recommends a vote </w:t>
            </w:r>
            <w:r>
              <w:rPr>
                <w:rFonts w:ascii="Arial" w:eastAsia="Arial" w:hAnsi="Arial" w:cs="Arial"/>
                <w:b/>
                <w:i w:val="0"/>
                <w:color w:val="4494D1"/>
                <w:sz w:val="28"/>
                <w:u w:val="none"/>
              </w:rPr>
              <w:t>FOR</w:t>
            </w:r>
            <w:r>
              <w:rPr>
                <w:rFonts w:ascii="Arial" w:eastAsia="Arial" w:hAnsi="Arial" w:cs="Arial"/>
                <w:b/>
                <w:i w:val="0"/>
                <w:sz w:val="28"/>
              </w:rPr>
              <w:t xml:space="preserve"> the ratification of the appointment of PwC as our independent registered public accounting firm for </w:t>
            </w:r>
            <w:r>
              <w:rPr>
                <w:rFonts w:ascii="Arial" w:eastAsia="Arial" w:hAnsi="Arial" w:cs="Arial"/>
                <w:b/>
                <w:i w:val="0"/>
                <w:sz w:val="28"/>
              </w:rPr>
              <w:t>202</w:t>
            </w:r>
            <w:r>
              <w:rPr>
                <w:rFonts w:ascii="Arial" w:eastAsia="Arial" w:hAnsi="Arial" w:cs="Arial"/>
                <w:b/>
                <w:i w:val="0"/>
                <w:sz w:val="28"/>
              </w:rPr>
              <w:t>4</w:t>
            </w:r>
            <w:r>
              <w:rPr>
                <w:rFonts w:ascii="Arial" w:eastAsia="Arial" w:hAnsi="Arial" w:cs="Arial"/>
                <w:b/>
                <w:i w:val="0"/>
                <w:sz w:val="28"/>
              </w:rPr>
              <w:t>, and the authorization of our Board, acting through the Audit Committee, to approve the fees for PwC.</w:t>
            </w: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6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4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45" w:type="dxa"/>
            <w:gridSpan w:val="2"/>
            <w:tcBorders>
              <w:top w:val="nil"/>
              <w:left w:val="nil"/>
              <w:bottom w:val="nil"/>
              <w:right w:val="nil"/>
            </w:tcBorders>
            <w:shd w:val="clear" w:color="auto" w:fill="4494D1"/>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i w:val="0"/>
                <w:color w:val="FFFFFF"/>
                <w:sz w:val="20"/>
                <w:u w:val="none"/>
              </w:rPr>
              <w:t>ADDITIONAL INFORMATION</w:t>
            </w:r>
          </w:p>
        </w:tc>
        <w:tc>
          <w:tcPr>
            <w:tcW w:w="26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4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14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6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4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1875"/>
        </w:trPr>
        <w:tc>
          <w:tcPr>
            <w:tcW w:w="315" w:type="dxa"/>
            <w:tcBorders>
              <w:top w:val="nil"/>
              <w:left w:val="single" w:sz="4" w:space="0" w:color="4494D1"/>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225" w:type="dxa"/>
            <w:gridSpan w:val="4"/>
            <w:tcBorders>
              <w:top w:val="nil"/>
              <w:left w:val="nil"/>
              <w:bottom w:val="nil"/>
              <w:right w:val="nil"/>
            </w:tcBorders>
            <w:tcMar>
              <w:top w:w="0" w:type="dxa"/>
              <w:left w:w="53" w:type="dxa"/>
              <w:bottom w:w="0" w:type="dxa"/>
              <w:right w:w="53" w:type="dxa"/>
            </w:tcMar>
            <w:vAlign w:val="center"/>
          </w:tcPr>
          <w:p>
            <w:pPr>
              <w:keepNext/>
              <w:pageBreakBefore w:val="0"/>
              <w:numPr>
                <w:ilvl w:val="0"/>
                <w:numId w:val="0"/>
              </w:numPr>
              <w:spacing w:before="0" w:after="0" w:line="300" w:lineRule="auto"/>
              <w:ind w:left="0" w:right="0" w:firstLine="0"/>
              <w:jc w:val="both"/>
              <w:outlineLvl w:val="1"/>
              <w:rPr>
                <w:rFonts w:ascii="Arial" w:eastAsia="Arial" w:hAnsi="Arial" w:cs="Arial"/>
                <w:b w:val="0"/>
                <w:i w:val="0"/>
                <w:sz w:val="20"/>
              </w:rPr>
            </w:pPr>
            <w:r>
              <w:rPr>
                <w:rFonts w:ascii="Arial" w:eastAsia="Arial" w:hAnsi="Arial" w:cs="Arial"/>
                <w:b w:val="0"/>
                <w:i w:val="0"/>
                <w:sz w:val="20"/>
              </w:rPr>
              <w:t xml:space="preserve">The Audit Committee of our Board has appointed PricewaterhouseCoopers LLP ("PwC"), as our independent registered public accounting firm for the year ending December 31, </w:t>
            </w:r>
            <w:r>
              <w:rPr>
                <w:rFonts w:ascii="Arial" w:eastAsia="Arial" w:hAnsi="Arial" w:cs="Arial"/>
                <w:b w:val="0"/>
                <w:i w:val="0"/>
                <w:color w:val="000000"/>
                <w:sz w:val="20"/>
                <w:u w:val="none"/>
              </w:rPr>
              <w:t>2024</w:t>
            </w:r>
            <w:r>
              <w:rPr>
                <w:rFonts w:ascii="Arial" w:eastAsia="Arial" w:hAnsi="Arial" w:cs="Arial"/>
                <w:b w:val="0"/>
                <w:i w:val="0"/>
                <w:sz w:val="20"/>
              </w:rPr>
              <w:t xml:space="preserve">. At the Annual General Meeting, shareholders will be asked to ratify this appointment and to authorize our Board, acting through the Audit Committee, to approve the fees for PwC. PwC has served as our independent registered public accounting firm since March 2022. A representative of PwC is expected to be present at the virtual meeting. The representative will have the opportunity to make a statement if the representative desires to do so and is expected to be available to respond to appropriate questions. </w:t>
            </w:r>
          </w:p>
        </w:tc>
        <w:tc>
          <w:tcPr>
            <w:tcW w:w="525" w:type="dxa"/>
            <w:tcBorders>
              <w:top w:val="nil"/>
              <w:left w:val="nil"/>
              <w:bottom w:val="nil"/>
              <w:right w:val="single" w:sz="4" w:space="0" w:color="4494D1"/>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315"/>
        </w:trPr>
        <w:tc>
          <w:tcPr>
            <w:tcW w:w="315" w:type="dxa"/>
            <w:tcBorders>
              <w:top w:val="nil"/>
              <w:left w:val="single" w:sz="4" w:space="0" w:color="4494D1"/>
              <w:bottom w:val="single" w:sz="20" w:space="0" w:color="4494D1"/>
              <w:right w:val="nil"/>
            </w:tcBorders>
            <w:tcMar>
              <w:top w:w="0" w:type="dxa"/>
              <w:left w:w="0" w:type="dxa"/>
              <w:bottom w:w="0" w:type="dxa"/>
              <w:right w:w="0" w:type="dxa"/>
            </w:tcMar>
            <w:vAlign w:val="bottom"/>
          </w:tcPr>
          <w:p>
            <w:pPr>
              <w:pageBreakBefore w:val="0"/>
              <w:spacing w:before="0" w:after="0"/>
            </w:pPr>
          </w:p>
        </w:tc>
        <w:tc>
          <w:tcPr>
            <w:tcW w:w="195" w:type="dxa"/>
            <w:tcBorders>
              <w:top w:val="nil"/>
              <w:left w:val="nil"/>
              <w:bottom w:val="single" w:sz="20" w:space="0" w:color="4494D1"/>
              <w:right w:val="nil"/>
            </w:tcBorders>
            <w:tcMar>
              <w:top w:w="0" w:type="dxa"/>
              <w:left w:w="0" w:type="dxa"/>
              <w:bottom w:w="0" w:type="dxa"/>
              <w:right w:w="0" w:type="dxa"/>
            </w:tcMar>
            <w:vAlign w:val="bottom"/>
          </w:tcPr>
          <w:p>
            <w:pPr>
              <w:pageBreakBefore w:val="0"/>
              <w:spacing w:before="0" w:after="0"/>
            </w:pPr>
          </w:p>
        </w:tc>
        <w:tc>
          <w:tcPr>
            <w:tcW w:w="1140" w:type="dxa"/>
            <w:tcBorders>
              <w:top w:val="nil"/>
              <w:left w:val="nil"/>
              <w:bottom w:val="single" w:sz="20" w:space="0" w:color="4494D1"/>
              <w:right w:val="nil"/>
            </w:tcBorders>
            <w:tcMar>
              <w:top w:w="0" w:type="dxa"/>
              <w:left w:w="0" w:type="dxa"/>
              <w:bottom w:w="0" w:type="dxa"/>
              <w:right w:w="0" w:type="dxa"/>
            </w:tcMar>
            <w:vAlign w:val="bottom"/>
          </w:tcPr>
          <w:p>
            <w:pPr>
              <w:pageBreakBefore w:val="0"/>
              <w:spacing w:before="0" w:after="0"/>
            </w:pPr>
          </w:p>
        </w:tc>
        <w:tc>
          <w:tcPr>
            <w:tcW w:w="1905" w:type="dxa"/>
            <w:tcBorders>
              <w:top w:val="nil"/>
              <w:left w:val="nil"/>
              <w:bottom w:val="single" w:sz="20" w:space="0" w:color="4494D1"/>
              <w:right w:val="nil"/>
            </w:tcBorders>
            <w:tcMar>
              <w:top w:w="0" w:type="dxa"/>
              <w:left w:w="0" w:type="dxa"/>
              <w:bottom w:w="0" w:type="dxa"/>
              <w:right w:w="0" w:type="dxa"/>
            </w:tcMar>
            <w:vAlign w:val="bottom"/>
          </w:tcPr>
          <w:p>
            <w:pPr>
              <w:pageBreakBefore w:val="0"/>
              <w:spacing w:before="0" w:after="0"/>
            </w:pPr>
          </w:p>
        </w:tc>
        <w:tc>
          <w:tcPr>
            <w:tcW w:w="2685" w:type="dxa"/>
            <w:tcBorders>
              <w:top w:val="nil"/>
              <w:left w:val="nil"/>
              <w:bottom w:val="single" w:sz="20" w:space="0" w:color="4494D1"/>
              <w:right w:val="nil"/>
            </w:tcBorders>
            <w:tcMar>
              <w:top w:w="0" w:type="dxa"/>
              <w:left w:w="0" w:type="dxa"/>
              <w:bottom w:w="0" w:type="dxa"/>
              <w:right w:w="0" w:type="dxa"/>
            </w:tcMar>
            <w:vAlign w:val="bottom"/>
          </w:tcPr>
          <w:p>
            <w:pPr>
              <w:pageBreakBefore w:val="0"/>
              <w:spacing w:before="0" w:after="0"/>
            </w:pPr>
          </w:p>
        </w:tc>
        <w:tc>
          <w:tcPr>
            <w:tcW w:w="3495" w:type="dxa"/>
            <w:tcBorders>
              <w:top w:val="nil"/>
              <w:left w:val="nil"/>
              <w:bottom w:val="single" w:sz="20" w:space="0" w:color="4494D1"/>
              <w:right w:val="nil"/>
            </w:tcBorders>
            <w:tcMar>
              <w:top w:w="0" w:type="dxa"/>
              <w:left w:w="0" w:type="dxa"/>
              <w:bottom w:w="0" w:type="dxa"/>
              <w:right w:w="0" w:type="dxa"/>
            </w:tcMar>
            <w:vAlign w:val="bottom"/>
          </w:tcPr>
          <w:p>
            <w:pPr>
              <w:pageBreakBefore w:val="0"/>
              <w:spacing w:before="0" w:after="0"/>
            </w:pPr>
          </w:p>
        </w:tc>
        <w:tc>
          <w:tcPr>
            <w:tcW w:w="525" w:type="dxa"/>
            <w:tcBorders>
              <w:top w:val="nil"/>
              <w:left w:val="nil"/>
              <w:bottom w:val="single" w:sz="20" w:space="0" w:color="4494D1"/>
              <w:right w:val="single" w:sz="4" w:space="0" w:color="4494D1"/>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0" w:line="288"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0" w:line="288" w:lineRule="auto"/>
        <w:ind w:left="0" w:right="0" w:firstLine="0"/>
        <w:jc w:val="left"/>
        <w:outlineLvl w:val="9"/>
        <w:rPr>
          <w:rFonts w:ascii="Arial" w:eastAsia="Arial" w:hAnsi="Arial" w:cs="Arial"/>
          <w:b/>
          <w:i w:val="0"/>
          <w:color w:val="4495D1"/>
          <w:sz w:val="20"/>
          <w:u w:val="none"/>
        </w:rPr>
      </w:pPr>
    </w:p>
    <w:p>
      <w:pPr>
        <w:keepNext w:val="0"/>
        <w:keepLines w:val="0"/>
        <w:pageBreakBefore w:val="0"/>
        <w:widowControl/>
        <w:numPr>
          <w:ilvl w:val="0"/>
          <w:numId w:val="0"/>
        </w:numPr>
        <w:spacing w:before="0" w:after="0" w:line="288" w:lineRule="auto"/>
        <w:ind w:left="0" w:right="0" w:firstLine="0"/>
        <w:jc w:val="left"/>
        <w:outlineLvl w:val="9"/>
        <w:rPr>
          <w:rFonts w:ascii="Arial" w:eastAsia="Arial" w:hAnsi="Arial" w:cs="Arial"/>
          <w:b w:val="0"/>
          <w:i w:val="0"/>
          <w:sz w:val="20"/>
        </w:rPr>
        <w:sectPr>
          <w:headerReference w:type="default" r:id="rId322"/>
          <w:footerReference w:type="default" r:id="rId323"/>
          <w:pgSz w:w="12240" w:h="15840"/>
          <w:pgMar w:top="855" w:right="990" w:bottom="855" w:left="990" w:header="180" w:footer="270"/>
          <w:cols w:space="708"/>
        </w:sect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bookmarkStart w:id="121" w:name="Section124"/>
      <w:bookmarkEnd w:id="121"/>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REPORT OF THE AUDIT COMMITTEE</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 primary purpose of the Audit Committee is to assist the Board of Directors in its oversight of the integrity of the Company’s financial statements, the Company’s compliance with legal and regulatory requirements, the independent registered public accounting firm’s qualifications, independence and performance, and the performance of the Company’s internal audit function. The Audit Committee is solely responsible for the appointment, retention, and compensation of the Company’s independent registered public accounting firm. It is not the responsibility of the Audit Committee to plan or conduct audits or to determine that the Company’s financial statements are complete and accurate or are in accordance with generally accepted accounting principles and applicable rules and regulations. This is the responsibility of management and the independent registered public accounting firm, as appropriate.</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In performing its duties, the Audit Committee:</w:t>
      </w:r>
    </w:p>
    <w:p>
      <w:pPr>
        <w:keepNext w:val="0"/>
        <w:keepLines w:val="0"/>
        <w:pageBreakBefore w:val="0"/>
        <w:widowControl/>
        <w:numPr>
          <w:ilvl w:val="0"/>
          <w:numId w:val="329"/>
        </w:numPr>
        <w:spacing w:before="0" w:after="120" w:line="300" w:lineRule="auto"/>
        <w:ind w:left="540" w:right="0" w:hanging="180"/>
        <w:jc w:val="both"/>
        <w:outlineLvl w:val="9"/>
        <w:rPr>
          <w:rFonts w:ascii="Arial" w:eastAsia="Arial" w:hAnsi="Arial" w:cs="Arial"/>
          <w:b w:val="0"/>
          <w:i w:val="0"/>
          <w:color w:val="171449"/>
          <w:sz w:val="20"/>
          <w:u w:val="none"/>
        </w:rPr>
      </w:pPr>
      <w:r>
        <w:rPr>
          <w:rFonts w:ascii="Arial" w:eastAsia="Arial" w:hAnsi="Arial" w:cs="Arial"/>
          <w:b w:val="0"/>
          <w:i w:val="0"/>
          <w:sz w:val="20"/>
        </w:rPr>
        <w:t xml:space="preserve">has reviewed the Company’s audited financial statements for the year ended </w:t>
      </w:r>
      <w:r>
        <w:rPr>
          <w:rFonts w:ascii="Arial" w:eastAsia="Arial" w:hAnsi="Arial" w:cs="Arial"/>
          <w:b w:val="0"/>
          <w:i w:val="0"/>
          <w:color w:val="000000"/>
          <w:sz w:val="20"/>
          <w:u w:val="none"/>
        </w:rPr>
        <w:t>December 31, 2023</w:t>
      </w:r>
      <w:r>
        <w:rPr>
          <w:rFonts w:ascii="Arial" w:eastAsia="Arial" w:hAnsi="Arial" w:cs="Arial"/>
          <w:b w:val="0"/>
          <w:i w:val="0"/>
          <w:sz w:val="20"/>
        </w:rPr>
        <w:t xml:space="preserve"> and had discussions with management regarding the audited financial statements;</w:t>
      </w:r>
    </w:p>
    <w:p>
      <w:pPr>
        <w:keepNext w:val="0"/>
        <w:keepLines w:val="0"/>
        <w:pageBreakBefore w:val="0"/>
        <w:widowControl/>
        <w:numPr>
          <w:ilvl w:val="0"/>
          <w:numId w:val="330"/>
        </w:numPr>
        <w:spacing w:before="0" w:after="120" w:line="300" w:lineRule="auto"/>
        <w:ind w:left="540" w:right="0" w:hanging="180"/>
        <w:jc w:val="both"/>
        <w:outlineLvl w:val="9"/>
        <w:rPr>
          <w:rFonts w:ascii="Arial" w:eastAsia="Arial" w:hAnsi="Arial" w:cs="Arial"/>
          <w:b w:val="0"/>
          <w:i w:val="0"/>
          <w:color w:val="171449"/>
          <w:sz w:val="20"/>
          <w:u w:val="none"/>
        </w:rPr>
      </w:pPr>
      <w:r>
        <w:rPr>
          <w:rFonts w:ascii="Arial" w:eastAsia="Arial" w:hAnsi="Arial" w:cs="Arial"/>
          <w:b w:val="0"/>
          <w:i w:val="0"/>
          <w:sz w:val="20"/>
        </w:rPr>
        <w:t>has discussed with representatives of the independent registered public accounting firm the matters required to be discussed by the applicable requirements of the Public Company Accounting Oversight Board (“PCAOB”) and the Commission;</w:t>
      </w:r>
    </w:p>
    <w:p>
      <w:pPr>
        <w:keepNext w:val="0"/>
        <w:keepLines w:val="0"/>
        <w:pageBreakBefore w:val="0"/>
        <w:widowControl/>
        <w:numPr>
          <w:ilvl w:val="0"/>
          <w:numId w:val="331"/>
        </w:numPr>
        <w:spacing w:before="0" w:after="120" w:line="300" w:lineRule="auto"/>
        <w:ind w:left="540" w:right="0" w:hanging="180"/>
        <w:jc w:val="both"/>
        <w:outlineLvl w:val="9"/>
        <w:rPr>
          <w:rFonts w:ascii="Arial" w:eastAsia="Arial" w:hAnsi="Arial" w:cs="Arial"/>
          <w:b w:val="0"/>
          <w:i w:val="0"/>
          <w:color w:val="171449"/>
          <w:sz w:val="20"/>
          <w:u w:val="none"/>
        </w:rPr>
      </w:pPr>
      <w:r>
        <w:rPr>
          <w:rFonts w:ascii="Arial" w:eastAsia="Arial" w:hAnsi="Arial" w:cs="Arial"/>
          <w:b w:val="0"/>
          <w:i w:val="0"/>
          <w:sz w:val="20"/>
        </w:rPr>
        <w:t>has received the written disclosures and the letter from the independent registered public accounting firm required by applicable requirements of the PCAOB regarding the independent registered public accounting firm's communication with the Audit Committee concerning independence; and</w:t>
      </w:r>
    </w:p>
    <w:p>
      <w:pPr>
        <w:keepNext w:val="0"/>
        <w:keepLines w:val="0"/>
        <w:pageBreakBefore w:val="0"/>
        <w:widowControl/>
        <w:numPr>
          <w:ilvl w:val="0"/>
          <w:numId w:val="332"/>
        </w:numPr>
        <w:spacing w:before="0" w:after="120" w:line="300" w:lineRule="auto"/>
        <w:ind w:left="540" w:right="0" w:hanging="180"/>
        <w:jc w:val="both"/>
        <w:outlineLvl w:val="9"/>
        <w:rPr>
          <w:rFonts w:ascii="Arial" w:eastAsia="Arial" w:hAnsi="Arial" w:cs="Arial"/>
          <w:b w:val="0"/>
          <w:i w:val="0"/>
          <w:color w:val="171449"/>
          <w:sz w:val="20"/>
          <w:u w:val="none"/>
        </w:rPr>
      </w:pPr>
      <w:r>
        <w:rPr>
          <w:rFonts w:ascii="Arial" w:eastAsia="Arial" w:hAnsi="Arial" w:cs="Arial"/>
          <w:b w:val="0"/>
          <w:i w:val="0"/>
          <w:sz w:val="20"/>
        </w:rPr>
        <w:t>has discussed with representatives of the independent registered public accounting firm their independence, the audited financial statements and other matters the Audit Committee deemed relevant and appropriate.</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Based on these reviews and discussions, the Audit Committee recommended to the Board of Directors that the audited financial statements as of and for the year ended </w:t>
      </w:r>
      <w:r>
        <w:rPr>
          <w:rFonts w:ascii="Arial" w:eastAsia="Arial" w:hAnsi="Arial" w:cs="Arial"/>
          <w:b w:val="0"/>
          <w:i w:val="0"/>
          <w:color w:val="000000"/>
          <w:sz w:val="20"/>
          <w:u w:val="none"/>
        </w:rPr>
        <w:t>December 31, 2023</w:t>
      </w:r>
      <w:r>
        <w:rPr>
          <w:rFonts w:ascii="Arial" w:eastAsia="Arial" w:hAnsi="Arial" w:cs="Arial"/>
          <w:b w:val="0"/>
          <w:i w:val="0"/>
          <w:sz w:val="20"/>
        </w:rPr>
        <w:t xml:space="preserve"> be included in the Company’s Annual Report on Form 10-K for that year.</w:t>
      </w:r>
    </w:p>
    <w:p>
      <w:pPr>
        <w:keepNext w:val="0"/>
        <w:keepLines w:val="0"/>
        <w:pageBreakBefore w:val="0"/>
        <w:widowControl/>
        <w:numPr>
          <w:ilvl w:val="0"/>
          <w:numId w:val="0"/>
        </w:numPr>
        <w:spacing w:before="0" w:after="0" w:line="288" w:lineRule="auto"/>
        <w:ind w:left="0" w:right="0" w:firstLine="0"/>
        <w:jc w:val="both"/>
        <w:outlineLvl w:val="9"/>
        <w:rPr>
          <w:rFonts w:ascii="Arial" w:eastAsia="Arial" w:hAnsi="Arial" w:cs="Arial"/>
          <w:b/>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i w:val="0"/>
          <w:sz w:val="20"/>
        </w:rPr>
        <w:t>AUDIT COMMITTEE</w:t>
      </w:r>
    </w:p>
    <w:tbl>
      <w:tblPr>
        <w:tblW w:w="101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400"/>
        <w:gridCol w:w="195"/>
        <w:gridCol w:w="2400"/>
        <w:gridCol w:w="195"/>
        <w:gridCol w:w="2400"/>
        <w:gridCol w:w="195"/>
        <w:gridCol w:w="2400"/>
      </w:tblGrid>
      <w:tr>
        <w:tblPrEx>
          <w:tblW w:w="101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125"/>
        </w:trPr>
        <w:tc>
          <w:tcPr>
            <w:tcW w:w="240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s1254" type="#_x0000_t75" style="width:46.55pt;height:54pt;margin-top:0;margin-left:0;mso-position-horizontal:left;position:absolute;z-index:251798528">
                  <v:imagedata r:id="rId48" o:title=""/>
                  <o:lock v:ext="edit" aspectratio="t"/>
                  <w10:wrap type="square"/>
                </v:shape>
              </w:pict>
            </w:r>
          </w:p>
        </w:tc>
        <w:tc>
          <w:tcPr>
            <w:tcW w:w="19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p>
        </w:tc>
        <w:tc>
          <w:tcPr>
            <w:tcW w:w="2400"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s1255" type="#_x0000_t75" style="width:47.09pt;height:54pt;margin-top:0;margin-left:0;mso-position-horizontal:left;position:absolute;z-index:251799552">
                  <v:imagedata r:id="rId46" o:title=""/>
                  <o:lock v:ext="edit" aspectratio="t"/>
                  <w10:wrap type="square"/>
                </v:shape>
              </w:pict>
            </w: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40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s1256" type="#_x0000_t75" style="width:47.21pt;height:54pt;margin-top:0;margin-left:0;mso-position-horizontal:left;position:absolute;z-index:251800576">
                  <v:imagedata r:id="rId50" o:title=""/>
                  <o:lock v:ext="edit" aspectratio="t"/>
                  <w10:wrap type="square"/>
                </v:shape>
              </w:pict>
            </w: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40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20"/>
              </w:rPr>
            </w:pPr>
            <w:r>
              <w:pict>
                <v:shape id="_x0000_s1257" type="#_x0000_t75" style="width:43.24pt;height:54pt;margin-top:0;margin-left:0;mso-position-horizontal:left;position:absolute;z-index:251801600">
                  <v:imagedata r:id="rId55" o:title=""/>
                  <o:lock v:ext="edit" aspectratio="t"/>
                  <w10:wrap type="square"/>
                </v:shape>
              </w:pict>
            </w:r>
          </w:p>
        </w:tc>
      </w:tr>
      <w:tr>
        <w:tblPrEx>
          <w:tblW w:w="10185" w:type="dxa"/>
          <w:tblInd w:w="0" w:type="dxa"/>
          <w:tblLayout w:type="fixed"/>
          <w:tblCellMar>
            <w:left w:w="108" w:type="dxa"/>
            <w:right w:w="108" w:type="dxa"/>
          </w:tblCellMar>
        </w:tblPrEx>
        <w:trPr>
          <w:cantSplit/>
          <w:trHeight w:hRule="exact" w:val="195"/>
        </w:trPr>
        <w:tc>
          <w:tcPr>
            <w:tcW w:w="24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4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4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4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85" w:type="dxa"/>
          <w:tblInd w:w="0" w:type="dxa"/>
          <w:tblLayout w:type="fixed"/>
          <w:tblCellMar>
            <w:left w:w="108" w:type="dxa"/>
            <w:right w:w="108" w:type="dxa"/>
          </w:tblCellMar>
        </w:tblPrEx>
        <w:trPr>
          <w:cantSplit/>
          <w:trHeight w:hRule="exact" w:val="435"/>
        </w:trPr>
        <w:tc>
          <w:tcPr>
            <w:tcW w:w="2400" w:type="dxa"/>
            <w:tcBorders>
              <w:top w:val="nil"/>
              <w:left w:val="nil"/>
              <w:bottom w:val="nil"/>
              <w:right w:val="nil"/>
            </w:tcBorders>
            <w:tcMar>
              <w:top w:w="0" w:type="dxa"/>
              <w:left w:w="53" w:type="dxa"/>
              <w:bottom w:w="0" w:type="dxa"/>
              <w:right w:w="53" w:type="dxa"/>
            </w:tcMar>
            <w:vAlign w:val="top"/>
          </w:tcPr>
          <w:p>
            <w:pPr>
              <w:keepNext/>
              <w:pageBreakBefore w:val="0"/>
              <w:spacing w:before="53" w:line="240" w:lineRule="auto"/>
              <w:jc w:val="left"/>
            </w:pPr>
            <w:r>
              <w:rPr>
                <w:rFonts w:ascii="Arial" w:eastAsia="Arial" w:hAnsi="Arial" w:cs="Arial"/>
                <w:b/>
                <w:i w:val="0"/>
                <w:color w:val="000000"/>
                <w:sz w:val="18"/>
                <w:u w:val="none"/>
              </w:rPr>
              <w:t>Robert J. Campbell</w:t>
            </w:r>
          </w:p>
          <w:p>
            <w:pPr>
              <w:spacing w:after="30" w:line="240" w:lineRule="auto"/>
              <w:jc w:val="left"/>
            </w:pPr>
            <w:r>
              <w:rPr>
                <w:rFonts w:ascii="Arial" w:eastAsia="Arial" w:hAnsi="Arial" w:cs="Arial"/>
                <w:b/>
                <w:i w:val="0"/>
                <w:color w:val="000000"/>
                <w:sz w:val="18"/>
                <w:u w:val="none"/>
              </w:rPr>
              <w:t>(Chair)</w:t>
            </w: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40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ind w:left="90" w:hanging="90"/>
              <w:jc w:val="left"/>
            </w:pPr>
            <w:r>
              <w:rPr>
                <w:rFonts w:ascii="Arial" w:eastAsia="Arial" w:hAnsi="Arial" w:cs="Arial"/>
                <w:b/>
                <w:i w:val="0"/>
                <w:color w:val="000000"/>
                <w:sz w:val="18"/>
                <w:u w:val="none"/>
              </w:rPr>
              <w:t>B. Frederick Becker</w:t>
            </w:r>
          </w:p>
        </w:tc>
        <w:tc>
          <w:tcPr>
            <w:tcW w:w="1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40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i w:val="0"/>
                <w:color w:val="000000"/>
                <w:sz w:val="18"/>
                <w:u w:val="none"/>
              </w:rPr>
              <w:t>Susan L. Cross</w:t>
            </w:r>
          </w:p>
        </w:tc>
        <w:tc>
          <w:tcPr>
            <w:tcW w:w="19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p>
        </w:tc>
        <w:tc>
          <w:tcPr>
            <w:tcW w:w="240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i w:val="0"/>
                <w:color w:val="000000"/>
                <w:sz w:val="18"/>
                <w:u w:val="none"/>
              </w:rPr>
              <w:t>Hitesh R. Patel</w:t>
            </w:r>
          </w:p>
        </w:tc>
      </w:tr>
      <w:tr>
        <w:tblPrEx>
          <w:tblW w:w="10185" w:type="dxa"/>
          <w:tblInd w:w="0" w:type="dxa"/>
          <w:tblLayout w:type="fixed"/>
          <w:tblCellMar>
            <w:left w:w="108" w:type="dxa"/>
            <w:right w:w="108" w:type="dxa"/>
          </w:tblCellMar>
        </w:tblPrEx>
        <w:trPr>
          <w:cantSplit/>
          <w:trHeight w:hRule="exact" w:val="315"/>
        </w:trPr>
        <w:tc>
          <w:tcPr>
            <w:tcW w:w="240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2400" w:type="dxa"/>
            <w:tcBorders>
              <w:top w:val="nil"/>
              <w:left w:val="nil"/>
              <w:bottom w:val="nil"/>
              <w:right w:val="nil"/>
            </w:tcBorders>
            <w:tcMar>
              <w:top w:w="0" w:type="dxa"/>
              <w:left w:w="53" w:type="dxa"/>
              <w:bottom w:w="0" w:type="dxa"/>
              <w:right w:w="53" w:type="dxa"/>
            </w:tcMar>
            <w:vAlign w:val="bottom"/>
          </w:tcPr>
          <w:p>
            <w:pPr>
              <w:pageBreakBefore w:val="0"/>
              <w:spacing w:before="53" w:after="30" w:line="240" w:lineRule="auto"/>
              <w:ind w:left="90" w:hanging="90"/>
              <w:jc w:val="left"/>
            </w:pPr>
          </w:p>
        </w:tc>
        <w:tc>
          <w:tcPr>
            <w:tcW w:w="1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240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1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2400"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sectPr>
          <w:headerReference w:type="default" r:id="rId324"/>
          <w:footerReference w:type="default" r:id="rId325"/>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4"/>
          <w:u w:val="none"/>
        </w:rPr>
      </w:pPr>
      <w:bookmarkStart w:id="122" w:name="Section125"/>
      <w:bookmarkEnd w:id="122"/>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CHANGE OF INDEPENDENT REGISTERED PUBLIC ACCOUNTING FIRM</w:t>
      </w:r>
    </w:p>
    <w:tbl>
      <w:tblPr>
        <w:tblW w:w="1020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jc w:val="left"/>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6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On March 15, 2022, the Audit Committee dismissed KPMG Audit Limited ("KPMG") as the Company’s independent registered public accounting firm for the Company’s 2022 fiscal year. KPMG served as our independent registered public accounting firm for 2021.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KPMG’s audit reports on the Company’s consolidated financial statements as of, and for the year ended, December 31, 2021, which are included in our 2022 Annual Report on Form 10-K, did not contain an adverse opinion or a disclaimer of opinion, nor were they qualified or modified as to uncertainty, audit scope, or accounting principles, except to make reference to the Company’s change in accounting policy relating to deferred charge assets as described in Notes 2(b) and 9 to the consolidated financial statements as of, and for the year ended, December 31, 2021.</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During the year ended December 31, 2021 and the subsequent interim period through the date of the Audit Committee's decision not to reappoint KPMG, there were no disagreements within the meaning of Item 304(a)(1)(iv) of Regulation S-K between the Company and KPMG on any matter of accounting principles or practices, financial statement disclosures, or auditing scope or procedure that, if not resolved to KPMG's satisfaction, would have caused KPMG to make reference to the subject matter thereof in connection with its report on the Company's consolidated financial statements for either year, and there were no “reportable events” within the meaning of Item 304(a)(1)(v) of Regulation S-K.</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 Company provided KPMG with a copy of the foregoing disclosure in paragraphs 2 and 3 of this subsection "Change of Independent Registered Public Accounting Firm" and KPMG has stated in response that it agrees with such disclosure in all respects.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sectPr>
          <w:headerReference w:type="default" r:id="rId326"/>
          <w:footerReference w:type="default" r:id="rId327"/>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123" w:name="Section126"/>
      <w:bookmarkEnd w:id="123"/>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AUDIT AND NON-AUDIT FEES</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10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Aggregate fees for professional services rendered to us by PricewaterhouseCoopers Ltd. ("PwC") and PwC member firms fo</w:t>
      </w:r>
      <w:r>
        <w:rPr>
          <w:rFonts w:ascii="Arial" w:eastAsia="Arial" w:hAnsi="Arial" w:cs="Arial"/>
          <w:b w:val="0"/>
          <w:i w:val="0"/>
          <w:sz w:val="20"/>
        </w:rPr>
        <w:t>r</w:t>
      </w:r>
      <w:r>
        <w:rPr>
          <w:rFonts w:ascii="Arial" w:eastAsia="Arial" w:hAnsi="Arial" w:cs="Arial"/>
          <w:b w:val="0"/>
          <w:i w:val="0"/>
          <w:sz w:val="20"/>
        </w:rPr>
        <w:t xml:space="preserve"> </w:t>
      </w:r>
      <w:r>
        <w:rPr>
          <w:rFonts w:ascii="Arial" w:eastAsia="Arial" w:hAnsi="Arial" w:cs="Arial"/>
          <w:b w:val="0"/>
          <w:i w:val="0"/>
          <w:color w:val="000000"/>
          <w:sz w:val="20"/>
          <w:u w:val="none"/>
        </w:rPr>
        <w:t>2023</w:t>
      </w:r>
      <w:r>
        <w:rPr>
          <w:rFonts w:ascii="Arial" w:eastAsia="Arial" w:hAnsi="Arial" w:cs="Arial"/>
          <w:b w:val="0"/>
          <w:i w:val="0"/>
          <w:sz w:val="20"/>
        </w:rPr>
        <w:t xml:space="preserve"> and</w:t>
      </w:r>
      <w:r>
        <w:rPr>
          <w:rFonts w:ascii="Arial" w:eastAsia="Arial" w:hAnsi="Arial" w:cs="Arial"/>
          <w:b w:val="0"/>
          <w:i w:val="0"/>
          <w:sz w:val="20"/>
        </w:rPr>
        <w:t xml:space="preserve"> </w:t>
      </w:r>
      <w:r>
        <w:rPr>
          <w:rFonts w:ascii="Arial" w:eastAsia="Arial" w:hAnsi="Arial" w:cs="Arial"/>
          <w:b w:val="0"/>
          <w:i w:val="0"/>
          <w:color w:val="000000"/>
          <w:sz w:val="20"/>
          <w:u w:val="none"/>
        </w:rPr>
        <w:t>2022</w:t>
      </w:r>
      <w:r>
        <w:rPr>
          <w:rFonts w:ascii="Arial" w:eastAsia="Arial" w:hAnsi="Arial" w:cs="Arial"/>
          <w:b w:val="0"/>
          <w:i w:val="0"/>
          <w:sz w:val="20"/>
        </w:rPr>
        <w:t xml:space="preserve"> are set forth below.</w:t>
      </w: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6315"/>
        <w:gridCol w:w="1725"/>
        <w:gridCol w:w="195"/>
        <w:gridCol w:w="1905"/>
      </w:tblGrid>
      <w:tr>
        <w:tblPrEx>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00"/>
          <w:jc w:val="center"/>
        </w:trPr>
        <w:tc>
          <w:tcPr>
            <w:tcW w:w="631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825" w:type="dxa"/>
            <w:gridSpan w:val="3"/>
            <w:tcBorders>
              <w:top w:val="nil"/>
              <w:left w:val="nil"/>
              <w:bottom w:val="nil"/>
              <w:right w:val="nil"/>
            </w:tcBorders>
            <w:shd w:val="clear" w:color="auto" w:fill="1D64A3"/>
            <w:tcMar>
              <w:top w:w="0" w:type="dxa"/>
              <w:left w:w="53" w:type="dxa"/>
              <w:bottom w:w="0" w:type="dxa"/>
              <w:right w:w="53" w:type="dxa"/>
            </w:tcMar>
            <w:vAlign w:val="center"/>
          </w:tcPr>
          <w:p>
            <w:pPr>
              <w:keepNext/>
              <w:pageBreakBefore w:val="0"/>
              <w:spacing w:before="0" w:after="0" w:line="288" w:lineRule="auto"/>
              <w:jc w:val="center"/>
            </w:pPr>
            <w:r>
              <w:rPr>
                <w:rFonts w:ascii="Arial" w:eastAsia="Arial" w:hAnsi="Arial" w:cs="Arial"/>
                <w:b/>
                <w:i w:val="0"/>
                <w:color w:val="FFFFFF"/>
                <w:sz w:val="16"/>
                <w:u w:val="none"/>
              </w:rPr>
              <w:t>In thousands of U.S. Dollars</w:t>
            </w:r>
          </w:p>
        </w:tc>
      </w:tr>
      <w:tr>
        <w:tblPrEx>
          <w:tblW w:w="10140" w:type="dxa"/>
          <w:jc w:val="center"/>
          <w:tblLayout w:type="fixed"/>
          <w:tblCellMar>
            <w:left w:w="108" w:type="dxa"/>
            <w:right w:w="108" w:type="dxa"/>
          </w:tblCellMar>
        </w:tblPrEx>
        <w:trPr>
          <w:cantSplit/>
          <w:trHeight w:hRule="exact" w:val="405"/>
          <w:jc w:val="center"/>
        </w:trPr>
        <w:tc>
          <w:tcPr>
            <w:tcW w:w="631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72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jc w:val="center"/>
            </w:pPr>
            <w:r>
              <w:rPr>
                <w:rFonts w:ascii="Arial" w:eastAsia="Arial" w:hAnsi="Arial" w:cs="Arial"/>
                <w:b/>
                <w:i w:val="0"/>
                <w:color w:val="FFFFFF"/>
                <w:sz w:val="16"/>
                <w:u w:val="none"/>
              </w:rPr>
              <w:t>2023</w:t>
            </w:r>
          </w:p>
        </w:tc>
        <w:tc>
          <w:tcPr>
            <w:tcW w:w="195" w:type="dxa"/>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c>
          <w:tcPr>
            <w:tcW w:w="190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jc w:val="center"/>
            </w:pPr>
            <w:r>
              <w:rPr>
                <w:rFonts w:ascii="Arial" w:eastAsia="Arial" w:hAnsi="Arial" w:cs="Arial"/>
                <w:b/>
                <w:i w:val="0"/>
                <w:color w:val="FFFFFF"/>
                <w:sz w:val="16"/>
                <w:u w:val="none"/>
              </w:rPr>
              <w:t>2022</w:t>
            </w:r>
          </w:p>
        </w:tc>
      </w:tr>
      <w:tr>
        <w:tblPrEx>
          <w:tblW w:w="10140" w:type="dxa"/>
          <w:jc w:val="center"/>
          <w:tblLayout w:type="fixed"/>
          <w:tblCellMar>
            <w:left w:w="108" w:type="dxa"/>
            <w:right w:w="108" w:type="dxa"/>
          </w:tblCellMar>
        </w:tblPrEx>
        <w:trPr>
          <w:cantSplit/>
          <w:trHeight w:hRule="exact" w:val="105"/>
          <w:jc w:val="center"/>
        </w:trPr>
        <w:tc>
          <w:tcPr>
            <w:tcW w:w="631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FFFFFF"/>
                <w:sz w:val="16"/>
                <w:u w:val="none"/>
              </w:rPr>
              <w:t>  </w:t>
            </w:r>
          </w:p>
        </w:tc>
        <w:tc>
          <w:tcPr>
            <w:tcW w:w="3825" w:type="dxa"/>
            <w:gridSpan w:val="3"/>
            <w:tcBorders>
              <w:top w:val="nil"/>
              <w:left w:val="nil"/>
              <w:bottom w:val="nil"/>
              <w:right w:val="nil"/>
            </w:tcBorders>
            <w:shd w:val="clear" w:color="auto" w:fill="4495D1"/>
            <w:tcMar>
              <w:top w:w="0" w:type="dxa"/>
              <w:left w:w="0" w:type="dxa"/>
              <w:bottom w:w="0" w:type="dxa"/>
              <w:right w:w="0" w:type="dxa"/>
            </w:tcMar>
            <w:vAlign w:val="bottom"/>
          </w:tcPr>
          <w:p>
            <w:pPr>
              <w:keepNext/>
              <w:pageBreakBefore w:val="0"/>
              <w:spacing w:before="0" w:after="0"/>
            </w:pPr>
          </w:p>
        </w:tc>
      </w:tr>
      <w:tr>
        <w:tblPrEx>
          <w:tblW w:w="10140" w:type="dxa"/>
          <w:jc w:val="center"/>
          <w:tblLayout w:type="fixed"/>
          <w:tblCellMar>
            <w:left w:w="108" w:type="dxa"/>
            <w:right w:w="108" w:type="dxa"/>
          </w:tblCellMar>
        </w:tblPrEx>
        <w:trPr>
          <w:cantSplit/>
          <w:trHeight w:hRule="exact" w:val="285"/>
          <w:jc w:val="center"/>
        </w:trPr>
        <w:tc>
          <w:tcPr>
            <w:tcW w:w="631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20"/>
                <w:u w:val="none"/>
              </w:rPr>
              <w:t>Audit Fees</w:t>
            </w:r>
          </w:p>
        </w:tc>
        <w:tc>
          <w:tcPr>
            <w:tcW w:w="172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092"/>
                <w:tab w:val="left" w:pos="1657"/>
              </w:tabs>
              <w:spacing w:before="0" w:after="0" w:line="240" w:lineRule="auto"/>
              <w:jc w:val="right"/>
            </w:pPr>
            <w:r>
              <w:rPr>
                <w:rFonts w:ascii="Arial" w:eastAsia="Arial" w:hAnsi="Arial" w:cs="Arial"/>
                <w:b w:val="0"/>
                <w:i w:val="0"/>
                <w:color w:val="000000"/>
                <w:sz w:val="20"/>
                <w:u w:val="none"/>
              </w:rPr>
              <w:t>$</w:t>
              <w:tab/>
              <w:t>9,150</w:t>
              <w:tab/>
            </w:r>
          </w:p>
        </w:tc>
        <w:tc>
          <w:tcPr>
            <w:tcW w:w="19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90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272"/>
                <w:tab w:val="left" w:pos="1837"/>
              </w:tabs>
              <w:spacing w:before="0" w:after="0" w:line="240" w:lineRule="auto"/>
              <w:jc w:val="right"/>
            </w:pPr>
            <w:r>
              <w:rPr>
                <w:rFonts w:ascii="Arial" w:eastAsia="Arial" w:hAnsi="Arial" w:cs="Arial"/>
                <w:b w:val="0"/>
                <w:i w:val="0"/>
                <w:color w:val="000000"/>
                <w:sz w:val="20"/>
                <w:u w:val="none"/>
              </w:rPr>
              <w:t>$</w:t>
              <w:tab/>
              <w:t>8,528</w:t>
              <w:tab/>
            </w:r>
          </w:p>
        </w:tc>
      </w:tr>
      <w:tr>
        <w:tblPrEx>
          <w:tblW w:w="10140" w:type="dxa"/>
          <w:jc w:val="center"/>
          <w:tblLayout w:type="fixed"/>
          <w:tblCellMar>
            <w:left w:w="108" w:type="dxa"/>
            <w:right w:w="108" w:type="dxa"/>
          </w:tblCellMar>
        </w:tblPrEx>
        <w:trPr>
          <w:cantSplit/>
          <w:trHeight w:hRule="exact" w:val="285"/>
          <w:jc w:val="center"/>
        </w:trPr>
        <w:tc>
          <w:tcPr>
            <w:tcW w:w="631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20"/>
                <w:u w:val="none"/>
              </w:rPr>
              <w:t>Audit-Related Fees</w:t>
            </w:r>
          </w:p>
        </w:tc>
        <w:tc>
          <w:tcPr>
            <w:tcW w:w="172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259"/>
                <w:tab w:val="left" w:pos="1657"/>
              </w:tabs>
              <w:spacing w:before="0" w:after="0" w:line="240" w:lineRule="auto"/>
              <w:jc w:val="right"/>
            </w:pPr>
            <w:r>
              <w:rPr>
                <w:rFonts w:ascii="Arial" w:eastAsia="Arial" w:hAnsi="Arial" w:cs="Arial"/>
                <w:b w:val="0"/>
                <w:i w:val="0"/>
                <w:color w:val="000000"/>
                <w:sz w:val="20"/>
                <w:u w:val="none"/>
              </w:rPr>
              <w:tab/>
              <w:t>675</w:t>
              <w:tab/>
            </w:r>
          </w:p>
        </w:tc>
        <w:tc>
          <w:tcPr>
            <w:tcW w:w="19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90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439"/>
                <w:tab w:val="left" w:pos="1837"/>
              </w:tabs>
              <w:spacing w:before="0" w:after="0" w:line="240" w:lineRule="auto"/>
              <w:jc w:val="right"/>
            </w:pPr>
            <w:r>
              <w:rPr>
                <w:rFonts w:ascii="Arial" w:eastAsia="Arial" w:hAnsi="Arial" w:cs="Arial"/>
                <w:b w:val="0"/>
                <w:i w:val="0"/>
                <w:color w:val="000000"/>
                <w:sz w:val="20"/>
                <w:u w:val="none"/>
              </w:rPr>
              <w:tab/>
              <w:t>368</w:t>
              <w:tab/>
            </w:r>
          </w:p>
        </w:tc>
      </w:tr>
      <w:tr>
        <w:tblPrEx>
          <w:tblW w:w="10140" w:type="dxa"/>
          <w:jc w:val="center"/>
          <w:tblLayout w:type="fixed"/>
          <w:tblCellMar>
            <w:left w:w="108" w:type="dxa"/>
            <w:right w:w="108" w:type="dxa"/>
          </w:tblCellMar>
        </w:tblPrEx>
        <w:trPr>
          <w:cantSplit/>
          <w:trHeight w:hRule="exact" w:val="285"/>
          <w:jc w:val="center"/>
        </w:trPr>
        <w:tc>
          <w:tcPr>
            <w:tcW w:w="631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20"/>
                <w:u w:val="none"/>
              </w:rPr>
              <w:t>Tax Fees</w:t>
            </w:r>
          </w:p>
        </w:tc>
        <w:tc>
          <w:tcPr>
            <w:tcW w:w="172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259"/>
                <w:tab w:val="left" w:pos="1657"/>
              </w:tabs>
              <w:spacing w:before="0" w:after="0" w:line="240" w:lineRule="auto"/>
              <w:jc w:val="right"/>
            </w:pPr>
            <w:r>
              <w:rPr>
                <w:rFonts w:ascii="Arial" w:eastAsia="Arial" w:hAnsi="Arial" w:cs="Arial"/>
                <w:b w:val="0"/>
                <w:i w:val="0"/>
                <w:color w:val="000000"/>
                <w:sz w:val="20"/>
                <w:u w:val="none"/>
              </w:rPr>
              <w:tab/>
              <w:t>132</w:t>
              <w:tab/>
            </w:r>
          </w:p>
        </w:tc>
        <w:tc>
          <w:tcPr>
            <w:tcW w:w="195" w:type="dxa"/>
            <w:tcBorders>
              <w:top w:val="nil"/>
              <w:left w:val="nil"/>
              <w:bottom w:val="nil"/>
              <w:right w:val="nil"/>
            </w:tcBorders>
            <w:shd w:val="clear" w:color="auto" w:fill="DFDDDE"/>
            <w:tcMar>
              <w:top w:w="0" w:type="dxa"/>
              <w:left w:w="0" w:type="dxa"/>
              <w:bottom w:w="0" w:type="dxa"/>
              <w:right w:w="0" w:type="dxa"/>
            </w:tcMar>
            <w:vAlign w:val="bottom"/>
          </w:tcPr>
          <w:p>
            <w:pPr>
              <w:keepNext/>
              <w:pageBreakBefore w:val="0"/>
              <w:spacing w:before="0" w:after="0"/>
            </w:pPr>
          </w:p>
        </w:tc>
        <w:tc>
          <w:tcPr>
            <w:tcW w:w="190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439"/>
                <w:tab w:val="left" w:pos="1837"/>
              </w:tabs>
              <w:spacing w:before="0" w:after="0" w:line="240" w:lineRule="auto"/>
              <w:jc w:val="right"/>
            </w:pPr>
            <w:r>
              <w:rPr>
                <w:rFonts w:ascii="Arial" w:eastAsia="Arial" w:hAnsi="Arial" w:cs="Arial"/>
                <w:b w:val="0"/>
                <w:i w:val="0"/>
                <w:color w:val="000000"/>
                <w:sz w:val="20"/>
                <w:u w:val="none"/>
              </w:rPr>
              <w:tab/>
              <w:t>296</w:t>
              <w:tab/>
            </w:r>
          </w:p>
        </w:tc>
      </w:tr>
      <w:tr>
        <w:tblPrEx>
          <w:tblW w:w="10140" w:type="dxa"/>
          <w:jc w:val="center"/>
          <w:tblLayout w:type="fixed"/>
          <w:tblCellMar>
            <w:left w:w="108" w:type="dxa"/>
            <w:right w:w="108" w:type="dxa"/>
          </w:tblCellMar>
        </w:tblPrEx>
        <w:trPr>
          <w:cantSplit/>
          <w:trHeight w:hRule="exact" w:val="285"/>
          <w:jc w:val="center"/>
        </w:trPr>
        <w:tc>
          <w:tcPr>
            <w:tcW w:w="631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spacing w:before="0" w:after="0" w:line="288" w:lineRule="auto"/>
              <w:ind w:left="90"/>
              <w:jc w:val="left"/>
            </w:pPr>
            <w:r>
              <w:rPr>
                <w:rFonts w:ascii="Arial" w:eastAsia="Arial" w:hAnsi="Arial" w:cs="Arial"/>
                <w:b w:val="0"/>
                <w:i w:val="0"/>
                <w:color w:val="000000"/>
                <w:sz w:val="20"/>
                <w:u w:val="none"/>
              </w:rPr>
              <w:t>All Other Fees</w:t>
            </w:r>
          </w:p>
        </w:tc>
        <w:tc>
          <w:tcPr>
            <w:tcW w:w="172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370"/>
                <w:tab w:val="left" w:pos="1657"/>
              </w:tabs>
              <w:spacing w:before="0" w:after="0" w:line="240" w:lineRule="auto"/>
              <w:jc w:val="right"/>
            </w:pPr>
            <w:r>
              <w:rPr>
                <w:rFonts w:ascii="Arial" w:eastAsia="Arial" w:hAnsi="Arial" w:cs="Arial"/>
                <w:b w:val="0"/>
                <w:i w:val="0"/>
                <w:color w:val="000000"/>
                <w:sz w:val="20"/>
                <w:u w:val="none"/>
              </w:rPr>
              <w:tab/>
              <w:t>13</w:t>
              <w:tab/>
            </w:r>
          </w:p>
        </w:tc>
        <w:tc>
          <w:tcPr>
            <w:tcW w:w="195" w:type="dxa"/>
            <w:tcBorders>
              <w:top w:val="nil"/>
              <w:left w:val="nil"/>
              <w:bottom w:val="nil"/>
              <w:right w:val="nil"/>
            </w:tcBorders>
            <w:shd w:val="clear" w:color="auto" w:fill="FFFFFF"/>
            <w:tcMar>
              <w:top w:w="0" w:type="dxa"/>
              <w:left w:w="0" w:type="dxa"/>
              <w:bottom w:w="0" w:type="dxa"/>
              <w:right w:w="0" w:type="dxa"/>
            </w:tcMar>
            <w:vAlign w:val="bottom"/>
          </w:tcPr>
          <w:p>
            <w:pPr>
              <w:keepNext/>
              <w:pageBreakBefore w:val="0"/>
              <w:spacing w:before="0" w:after="0"/>
            </w:pPr>
          </w:p>
        </w:tc>
        <w:tc>
          <w:tcPr>
            <w:tcW w:w="190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550"/>
                <w:tab w:val="left" w:pos="1837"/>
              </w:tabs>
              <w:spacing w:before="0" w:after="0" w:line="240" w:lineRule="auto"/>
              <w:jc w:val="right"/>
            </w:pPr>
            <w:r>
              <w:rPr>
                <w:rFonts w:ascii="Arial" w:eastAsia="Arial" w:hAnsi="Arial" w:cs="Arial"/>
                <w:b w:val="0"/>
                <w:i w:val="0"/>
                <w:color w:val="000000"/>
                <w:sz w:val="20"/>
                <w:u w:val="none"/>
              </w:rPr>
              <w:tab/>
              <w:t>17</w:t>
              <w:tab/>
            </w:r>
          </w:p>
        </w:tc>
      </w:tr>
      <w:tr>
        <w:tblPrEx>
          <w:tblW w:w="10140" w:type="dxa"/>
          <w:jc w:val="center"/>
          <w:tblLayout w:type="fixed"/>
          <w:tblCellMar>
            <w:left w:w="108" w:type="dxa"/>
            <w:right w:w="108" w:type="dxa"/>
          </w:tblCellMar>
        </w:tblPrEx>
        <w:trPr>
          <w:cantSplit/>
          <w:trHeight w:hRule="exact" w:val="285"/>
          <w:jc w:val="center"/>
        </w:trPr>
        <w:tc>
          <w:tcPr>
            <w:tcW w:w="6315" w:type="dxa"/>
            <w:tcBorders>
              <w:top w:val="nil"/>
              <w:left w:val="nil"/>
              <w:bottom w:val="nil"/>
              <w:right w:val="nil"/>
            </w:tcBorders>
            <w:shd w:val="clear" w:color="auto" w:fill="DFDDDE"/>
            <w:tcMar>
              <w:top w:w="0" w:type="dxa"/>
              <w:left w:w="53" w:type="dxa"/>
              <w:bottom w:w="0" w:type="dxa"/>
              <w:right w:w="53" w:type="dxa"/>
            </w:tcMar>
            <w:vAlign w:val="center"/>
          </w:tcPr>
          <w:p>
            <w:pPr>
              <w:pageBreakBefore w:val="0"/>
              <w:spacing w:before="0" w:after="0" w:line="288" w:lineRule="auto"/>
              <w:ind w:left="90"/>
              <w:jc w:val="left"/>
            </w:pPr>
            <w:r>
              <w:rPr>
                <w:rFonts w:ascii="Arial" w:eastAsia="Arial" w:hAnsi="Arial" w:cs="Arial"/>
                <w:b/>
                <w:i w:val="0"/>
                <w:color w:val="000000"/>
                <w:sz w:val="20"/>
                <w:u w:val="none"/>
              </w:rPr>
              <w:t>Total</w:t>
            </w:r>
          </w:p>
        </w:tc>
        <w:tc>
          <w:tcPr>
            <w:tcW w:w="1725" w:type="dxa"/>
            <w:tcBorders>
              <w:top w:val="nil"/>
              <w:left w:val="nil"/>
              <w:bottom w:val="nil"/>
              <w:right w:val="nil"/>
            </w:tcBorders>
            <w:shd w:val="clear" w:color="auto" w:fill="DFDDDE"/>
            <w:tcMar>
              <w:top w:w="0" w:type="dxa"/>
              <w:left w:w="0" w:type="dxa"/>
              <w:bottom w:w="0" w:type="dxa"/>
              <w:right w:w="15" w:type="dxa"/>
            </w:tcMar>
            <w:vAlign w:val="center"/>
          </w:tcPr>
          <w:p>
            <w:pPr>
              <w:pageBreakBefore w:val="0"/>
              <w:tabs>
                <w:tab w:val="left" w:pos="1069"/>
              </w:tabs>
              <w:spacing w:before="0" w:after="0" w:line="288" w:lineRule="auto"/>
              <w:ind w:right="90"/>
              <w:jc w:val="right"/>
            </w:pPr>
            <w:r>
              <w:rPr>
                <w:rFonts w:ascii="Arial" w:eastAsia="Arial" w:hAnsi="Arial" w:cs="Arial"/>
                <w:b/>
                <w:i w:val="0"/>
                <w:color w:val="000000"/>
                <w:sz w:val="20"/>
                <w:u w:val="none"/>
              </w:rPr>
              <w:t>$</w:t>
              <w:tab/>
              <w:t>9,970</w:t>
            </w:r>
          </w:p>
        </w:tc>
        <w:tc>
          <w:tcPr>
            <w:tcW w:w="195" w:type="dxa"/>
            <w:tcBorders>
              <w:top w:val="nil"/>
              <w:left w:val="nil"/>
              <w:bottom w:val="nil"/>
              <w:right w:val="nil"/>
            </w:tcBorders>
            <w:shd w:val="clear" w:color="auto" w:fill="DFDDDE"/>
            <w:tcMar>
              <w:top w:w="0" w:type="dxa"/>
              <w:left w:w="0" w:type="dxa"/>
              <w:bottom w:w="0" w:type="dxa"/>
              <w:right w:w="0" w:type="dxa"/>
            </w:tcMar>
            <w:vAlign w:val="bottom"/>
          </w:tcPr>
          <w:p>
            <w:pPr>
              <w:pageBreakBefore w:val="0"/>
              <w:spacing w:before="0" w:after="0"/>
            </w:pPr>
          </w:p>
        </w:tc>
        <w:tc>
          <w:tcPr>
            <w:tcW w:w="1905" w:type="dxa"/>
            <w:tcBorders>
              <w:top w:val="nil"/>
              <w:left w:val="nil"/>
              <w:bottom w:val="nil"/>
              <w:right w:val="nil"/>
            </w:tcBorders>
            <w:shd w:val="clear" w:color="auto" w:fill="DFDDDE"/>
            <w:tcMar>
              <w:top w:w="0" w:type="dxa"/>
              <w:left w:w="0" w:type="dxa"/>
              <w:bottom w:w="0" w:type="dxa"/>
              <w:right w:w="15" w:type="dxa"/>
            </w:tcMar>
            <w:vAlign w:val="center"/>
          </w:tcPr>
          <w:p>
            <w:pPr>
              <w:pageBreakBefore w:val="0"/>
              <w:tabs>
                <w:tab w:val="left" w:pos="1249"/>
              </w:tabs>
              <w:spacing w:before="0" w:after="0" w:line="288" w:lineRule="auto"/>
              <w:ind w:right="90"/>
              <w:jc w:val="right"/>
            </w:pPr>
            <w:r>
              <w:rPr>
                <w:rFonts w:ascii="Arial" w:eastAsia="Arial" w:hAnsi="Arial" w:cs="Arial"/>
                <w:b/>
                <w:i w:val="0"/>
                <w:color w:val="000000"/>
                <w:sz w:val="20"/>
                <w:u w:val="none"/>
              </w:rPr>
              <w:t>$</w:t>
              <w:tab/>
              <w:t>9,209</w:t>
            </w:r>
          </w:p>
        </w:tc>
      </w:tr>
    </w:tbl>
    <w:p>
      <w:pPr>
        <w:keepNext w:val="0"/>
        <w:keepLines w:val="0"/>
        <w:pageBreakBefore w:val="0"/>
        <w:widowControl/>
        <w:numPr>
          <w:ilvl w:val="0"/>
          <w:numId w:val="0"/>
        </w:numPr>
        <w:spacing w:before="120" w:after="120" w:line="300" w:lineRule="auto"/>
        <w:ind w:left="0" w:right="0" w:firstLine="0"/>
        <w:jc w:val="left"/>
        <w:outlineLvl w:val="9"/>
        <w:rPr>
          <w:rFonts w:ascii="Arial" w:eastAsia="Arial" w:hAnsi="Arial" w:cs="Arial"/>
          <w:b w:val="0"/>
          <w:i/>
          <w:color w:val="1D64A3"/>
          <w:sz w:val="18"/>
          <w:u w:val="none"/>
        </w:rPr>
      </w:pPr>
      <w:r>
        <w:rPr>
          <w:rFonts w:ascii="Arial" w:eastAsia="Arial" w:hAnsi="Arial" w:cs="Arial"/>
          <w:b w:val="0"/>
          <w:i/>
          <w:color w:val="1D64A3"/>
          <w:sz w:val="18"/>
          <w:u w:val="none"/>
        </w:rPr>
        <w:t>Audit Fees</w:t>
      </w:r>
      <w:r>
        <w:rPr>
          <w:rFonts w:ascii="Arial" w:eastAsia="Arial" w:hAnsi="Arial" w:cs="Arial"/>
          <w:b w:val="0"/>
          <w:i w:val="0"/>
          <w:sz w:val="20"/>
        </w:rPr>
        <w:t xml:space="preserve"> </w:t>
      </w:r>
      <w:r>
        <w:rPr>
          <w:rFonts w:ascii="Arial" w:eastAsia="Arial" w:hAnsi="Arial" w:cs="Arial"/>
          <w:b w:val="0"/>
          <w:i w:val="0"/>
          <w:sz w:val="20"/>
        </w:rPr>
        <w:t xml:space="preserve">for </w:t>
      </w:r>
      <w:r>
        <w:rPr>
          <w:rFonts w:ascii="Arial" w:eastAsia="Arial" w:hAnsi="Arial" w:cs="Arial"/>
          <w:b w:val="0"/>
          <w:i w:val="0"/>
          <w:color w:val="000000"/>
          <w:sz w:val="20"/>
          <w:u w:val="none"/>
        </w:rPr>
        <w:t>2023</w:t>
      </w:r>
      <w:r>
        <w:rPr>
          <w:rFonts w:ascii="Arial" w:eastAsia="Arial" w:hAnsi="Arial" w:cs="Arial"/>
          <w:b w:val="0"/>
          <w:i w:val="0"/>
          <w:sz w:val="20"/>
        </w:rPr>
        <w:t xml:space="preserve"> and </w:t>
      </w:r>
      <w:r>
        <w:rPr>
          <w:rFonts w:ascii="Arial" w:eastAsia="Arial" w:hAnsi="Arial" w:cs="Arial"/>
          <w:b w:val="0"/>
          <w:i w:val="0"/>
          <w:color w:val="000000"/>
          <w:sz w:val="20"/>
          <w:u w:val="none"/>
        </w:rPr>
        <w:t>2022</w:t>
      </w:r>
      <w:r>
        <w:rPr>
          <w:rFonts w:ascii="Arial" w:eastAsia="Arial" w:hAnsi="Arial" w:cs="Arial"/>
          <w:b w:val="0"/>
          <w:i w:val="0"/>
          <w:sz w:val="20"/>
        </w:rPr>
        <w:t xml:space="preserve"> </w:t>
      </w:r>
      <w:r>
        <w:rPr>
          <w:rFonts w:ascii="Arial" w:eastAsia="Arial" w:hAnsi="Arial" w:cs="Arial"/>
          <w:b w:val="0"/>
          <w:i w:val="0"/>
          <w:sz w:val="20"/>
        </w:rPr>
        <w:t>were for professional services rendered for the audit of our annual consolidated</w:t>
      </w:r>
      <w:r>
        <w:rPr>
          <w:rFonts w:ascii="Arial" w:eastAsia="Arial" w:hAnsi="Arial" w:cs="Arial"/>
          <w:b w:val="0"/>
          <w:i w:val="0"/>
          <w:sz w:val="20"/>
        </w:rPr>
        <w:t xml:space="preserve"> </w:t>
      </w:r>
      <w:r>
        <w:rPr>
          <w:rFonts w:ascii="Arial" w:eastAsia="Arial" w:hAnsi="Arial" w:cs="Arial"/>
          <w:b w:val="0"/>
          <w:i w:val="0"/>
          <w:sz w:val="20"/>
        </w:rPr>
        <w:t>financial statements, for t</w:t>
      </w:r>
      <w:r>
        <w:rPr>
          <w:rFonts w:ascii="Arial" w:eastAsia="Arial" w:hAnsi="Arial" w:cs="Arial"/>
          <w:b w:val="0"/>
          <w:i w:val="0"/>
          <w:sz w:val="20"/>
        </w:rPr>
        <w:t>he review of our quarterly consolidated financial statements, as w</w:t>
      </w:r>
      <w:r>
        <w:rPr>
          <w:rFonts w:ascii="Arial" w:eastAsia="Arial" w:hAnsi="Arial" w:cs="Arial"/>
          <w:b w:val="0"/>
          <w:i w:val="0"/>
          <w:sz w:val="20"/>
        </w:rPr>
        <w:t>ell as for sta</w:t>
      </w:r>
      <w:r>
        <w:rPr>
          <w:rFonts w:ascii="Arial" w:eastAsia="Arial" w:hAnsi="Arial" w:cs="Arial"/>
          <w:b w:val="0"/>
          <w:i w:val="0"/>
          <w:sz w:val="20"/>
        </w:rPr>
        <w:t>t</w:t>
      </w:r>
      <w:r>
        <w:rPr>
          <w:rFonts w:ascii="Arial" w:eastAsia="Arial" w:hAnsi="Arial" w:cs="Arial"/>
          <w:b w:val="0"/>
          <w:i w:val="0"/>
          <w:sz w:val="20"/>
        </w:rPr>
        <w:t>utory audits for insurance regulatory purposes in the va</w:t>
      </w:r>
      <w:r>
        <w:rPr>
          <w:rFonts w:ascii="Arial" w:eastAsia="Arial" w:hAnsi="Arial" w:cs="Arial"/>
          <w:b w:val="0"/>
          <w:i w:val="0"/>
          <w:sz w:val="20"/>
        </w:rPr>
        <w:t>ri</w:t>
      </w:r>
      <w:r>
        <w:rPr>
          <w:rFonts w:ascii="Arial" w:eastAsia="Arial" w:hAnsi="Arial" w:cs="Arial"/>
          <w:b w:val="0"/>
          <w:i w:val="0"/>
          <w:sz w:val="20"/>
        </w:rPr>
        <w:t>ous jurisdictions directly related to the performance of the consolidated audits. To</w:t>
      </w:r>
      <w:r>
        <w:rPr>
          <w:rFonts w:ascii="Arial" w:eastAsia="Arial" w:hAnsi="Arial" w:cs="Arial"/>
          <w:b w:val="0"/>
          <w:i w:val="0"/>
          <w:sz w:val="20"/>
        </w:rPr>
        <w:t>tal ou</w:t>
      </w:r>
      <w:r>
        <w:rPr>
          <w:rFonts w:ascii="Arial" w:eastAsia="Arial" w:hAnsi="Arial" w:cs="Arial"/>
          <w:b w:val="0"/>
          <w:i w:val="0"/>
          <w:sz w:val="20"/>
        </w:rPr>
        <w:t>t-of-p</w:t>
      </w:r>
      <w:r>
        <w:rPr>
          <w:rFonts w:ascii="Arial" w:eastAsia="Arial" w:hAnsi="Arial" w:cs="Arial"/>
          <w:b w:val="0"/>
          <w:i w:val="0"/>
          <w:sz w:val="20"/>
        </w:rPr>
        <w:t>o</w:t>
      </w:r>
      <w:r>
        <w:rPr>
          <w:rFonts w:ascii="Arial" w:eastAsia="Arial" w:hAnsi="Arial" w:cs="Arial"/>
          <w:b w:val="0"/>
          <w:i w:val="0"/>
          <w:sz w:val="20"/>
        </w:rPr>
        <w:t>c</w:t>
      </w:r>
      <w:r>
        <w:rPr>
          <w:rFonts w:ascii="Arial" w:eastAsia="Arial" w:hAnsi="Arial" w:cs="Arial"/>
          <w:b w:val="0"/>
          <w:i w:val="0"/>
          <w:sz w:val="20"/>
        </w:rPr>
        <w:t xml:space="preserve">ket expenses for 2023 and </w:t>
      </w:r>
      <w:r>
        <w:rPr>
          <w:rFonts w:ascii="Arial" w:eastAsia="Arial" w:hAnsi="Arial" w:cs="Arial"/>
          <w:b w:val="0"/>
          <w:i w:val="0"/>
          <w:color w:val="000000"/>
          <w:sz w:val="20"/>
          <w:u w:val="none"/>
        </w:rPr>
        <w:t>2022</w:t>
      </w:r>
      <w:r>
        <w:rPr>
          <w:rFonts w:ascii="Arial" w:eastAsia="Arial" w:hAnsi="Arial" w:cs="Arial"/>
          <w:b w:val="0"/>
          <w:i w:val="0"/>
          <w:sz w:val="20"/>
        </w:rPr>
        <w:t xml:space="preserve"> were </w:t>
      </w:r>
      <w:r>
        <w:rPr>
          <w:rFonts w:ascii="Arial" w:eastAsia="Arial" w:hAnsi="Arial" w:cs="Arial"/>
          <w:b w:val="0"/>
          <w:i w:val="0"/>
          <w:color w:val="000000"/>
          <w:sz w:val="20"/>
          <w:u w:val="none"/>
        </w:rPr>
        <w:t>$200 thous</w:t>
      </w:r>
      <w:r>
        <w:rPr>
          <w:rFonts w:ascii="Arial" w:eastAsia="Arial" w:hAnsi="Arial" w:cs="Arial"/>
          <w:b w:val="0"/>
          <w:i w:val="0"/>
          <w:color w:val="000000"/>
          <w:sz w:val="20"/>
          <w:u w:val="none"/>
        </w:rPr>
        <w:t>and and $193 thou</w:t>
      </w:r>
      <w:r>
        <w:rPr>
          <w:rFonts w:ascii="Arial" w:eastAsia="Arial" w:hAnsi="Arial" w:cs="Arial"/>
          <w:b w:val="0"/>
          <w:i w:val="0"/>
          <w:color w:val="000000"/>
          <w:sz w:val="20"/>
          <w:u w:val="none"/>
        </w:rPr>
        <w:t>sand</w:t>
      </w:r>
      <w:r>
        <w:rPr>
          <w:rFonts w:ascii="Arial" w:eastAsia="Arial" w:hAnsi="Arial" w:cs="Arial"/>
          <w:b w:val="0"/>
          <w:i w:val="0"/>
          <w:sz w:val="20"/>
        </w:rPr>
        <w:t>, respectively</w:t>
      </w:r>
      <w:r>
        <w:rPr>
          <w:rFonts w:ascii="Arial" w:eastAsia="Arial" w:hAnsi="Arial" w:cs="Arial"/>
          <w:b w:val="0"/>
          <w:i w:val="0"/>
          <w:sz w:val="20"/>
        </w:rPr>
        <w:t xml:space="preserve">.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color w:val="1D64A3"/>
          <w:sz w:val="18"/>
          <w:u w:val="none"/>
        </w:rPr>
      </w:pPr>
      <w:r>
        <w:rPr>
          <w:rFonts w:ascii="Arial" w:eastAsia="Arial" w:hAnsi="Arial" w:cs="Arial"/>
          <w:b w:val="0"/>
          <w:i/>
          <w:color w:val="1D64A3"/>
          <w:sz w:val="18"/>
          <w:u w:val="none"/>
        </w:rPr>
        <w:t>Audit-Related Fees</w:t>
      </w:r>
      <w:r>
        <w:rPr>
          <w:rFonts w:ascii="Arial" w:eastAsia="Arial" w:hAnsi="Arial" w:cs="Arial"/>
          <w:b w:val="0"/>
          <w:i w:val="0"/>
          <w:sz w:val="20"/>
        </w:rPr>
        <w:t xml:space="preserve"> </w:t>
      </w:r>
      <w:r>
        <w:rPr>
          <w:rFonts w:ascii="Arial" w:eastAsia="Arial" w:hAnsi="Arial" w:cs="Arial"/>
          <w:b w:val="0"/>
          <w:i w:val="0"/>
          <w:sz w:val="20"/>
        </w:rPr>
        <w:t xml:space="preserve">for </w:t>
      </w:r>
      <w:r>
        <w:rPr>
          <w:rFonts w:ascii="Arial" w:eastAsia="Arial" w:hAnsi="Arial" w:cs="Arial"/>
          <w:b w:val="0"/>
          <w:i w:val="0"/>
          <w:color w:val="000000"/>
          <w:sz w:val="20"/>
          <w:u w:val="none"/>
        </w:rPr>
        <w:t>2023</w:t>
      </w:r>
      <w:r>
        <w:rPr>
          <w:rFonts w:ascii="Arial" w:eastAsia="Arial" w:hAnsi="Arial" w:cs="Arial"/>
          <w:b w:val="0"/>
          <w:i w:val="0"/>
          <w:sz w:val="20"/>
        </w:rPr>
        <w:t xml:space="preserve"> and </w:t>
      </w:r>
      <w:r>
        <w:rPr>
          <w:rFonts w:ascii="Arial" w:eastAsia="Arial" w:hAnsi="Arial" w:cs="Arial"/>
          <w:b w:val="0"/>
          <w:i w:val="0"/>
          <w:color w:val="000000"/>
          <w:sz w:val="20"/>
          <w:u w:val="none"/>
        </w:rPr>
        <w:t>2022</w:t>
      </w:r>
      <w:r>
        <w:rPr>
          <w:rFonts w:ascii="Arial" w:eastAsia="Arial" w:hAnsi="Arial" w:cs="Arial"/>
          <w:b w:val="0"/>
          <w:i w:val="0"/>
          <w:sz w:val="20"/>
        </w:rPr>
        <w:t xml:space="preserve"> </w:t>
      </w:r>
      <w:r>
        <w:rPr>
          <w:rFonts w:ascii="Arial" w:eastAsia="Arial" w:hAnsi="Arial" w:cs="Arial"/>
          <w:b w:val="0"/>
          <w:i w:val="0"/>
          <w:sz w:val="20"/>
        </w:rPr>
        <w:t>consisted of professional services rendered for assurance and related services that are traditionally performed by independent accountants, including: audit and pre- and post-implementation reviews of systems, processes and controls, accounting changes related to subsequent years, statutory audits not directly related to the consolidated financial statement audit and financial accounting and reporting consultations.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color w:val="1D64A3"/>
          <w:sz w:val="18"/>
          <w:u w:val="none"/>
        </w:rPr>
      </w:pPr>
      <w:r>
        <w:rPr>
          <w:rFonts w:ascii="Arial" w:eastAsia="Arial" w:hAnsi="Arial" w:cs="Arial"/>
          <w:b w:val="0"/>
          <w:i/>
          <w:color w:val="1D64A3"/>
          <w:sz w:val="18"/>
          <w:u w:val="none"/>
        </w:rPr>
        <w:t xml:space="preserve">Tax Fees </w:t>
      </w:r>
      <w:r>
        <w:rPr>
          <w:rFonts w:ascii="Arial" w:eastAsia="Arial" w:hAnsi="Arial" w:cs="Arial"/>
          <w:b w:val="0"/>
          <w:i w:val="0"/>
          <w:sz w:val="20"/>
        </w:rPr>
        <w:t xml:space="preserve">for </w:t>
      </w:r>
      <w:r>
        <w:rPr>
          <w:rFonts w:ascii="Arial" w:eastAsia="Arial" w:hAnsi="Arial" w:cs="Arial"/>
          <w:b w:val="0"/>
          <w:i w:val="0"/>
          <w:color w:val="000000"/>
          <w:sz w:val="20"/>
          <w:u w:val="none"/>
        </w:rPr>
        <w:t>2023</w:t>
      </w:r>
      <w:r>
        <w:rPr>
          <w:rFonts w:ascii="Arial" w:eastAsia="Arial" w:hAnsi="Arial" w:cs="Arial"/>
          <w:b w:val="0"/>
          <w:i w:val="0"/>
          <w:sz w:val="20"/>
        </w:rPr>
        <w:t xml:space="preserve"> and </w:t>
      </w:r>
      <w:r>
        <w:rPr>
          <w:rFonts w:ascii="Arial" w:eastAsia="Arial" w:hAnsi="Arial" w:cs="Arial"/>
          <w:b w:val="0"/>
          <w:i w:val="0"/>
          <w:color w:val="000000"/>
          <w:sz w:val="20"/>
          <w:u w:val="none"/>
        </w:rPr>
        <w:t>2022</w:t>
      </w:r>
      <w:r>
        <w:rPr>
          <w:rFonts w:ascii="Arial" w:eastAsia="Arial" w:hAnsi="Arial" w:cs="Arial"/>
          <w:b w:val="0"/>
          <w:i w:val="0"/>
          <w:sz w:val="20"/>
        </w:rPr>
        <w:t xml:space="preserve"> were for professional services rendered for </w:t>
      </w:r>
      <w:r>
        <w:rPr>
          <w:rFonts w:ascii="Arial" w:eastAsia="Arial" w:hAnsi="Arial" w:cs="Arial"/>
          <w:b w:val="0"/>
          <w:i w:val="0"/>
          <w:sz w:val="20"/>
        </w:rPr>
        <w:t xml:space="preserve">tax </w:t>
      </w:r>
      <w:r>
        <w:rPr>
          <w:rFonts w:ascii="Arial" w:eastAsia="Arial" w:hAnsi="Arial" w:cs="Arial"/>
          <w:b w:val="0"/>
          <w:i w:val="0"/>
          <w:sz w:val="20"/>
        </w:rPr>
        <w:t>compliance</w:t>
      </w:r>
      <w:r>
        <w:rPr>
          <w:rFonts w:ascii="Arial" w:eastAsia="Arial" w:hAnsi="Arial" w:cs="Arial"/>
          <w:b w:val="0"/>
          <w:i w:val="0"/>
          <w:sz w:val="20"/>
        </w:rPr>
        <w:t xml:space="preserve">, transaction-based tax reviews, review of tax accounting matters and other tax planning consultations.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color w:val="1D64A3"/>
          <w:sz w:val="18"/>
          <w:u w:val="none"/>
        </w:rPr>
      </w:pPr>
      <w:r>
        <w:rPr>
          <w:rFonts w:ascii="Arial" w:eastAsia="Arial" w:hAnsi="Arial" w:cs="Arial"/>
          <w:b w:val="0"/>
          <w:i/>
          <w:color w:val="1D64A3"/>
          <w:sz w:val="18"/>
          <w:u w:val="none"/>
        </w:rPr>
        <w:t>All Other Fees</w:t>
      </w:r>
      <w:r>
        <w:rPr>
          <w:rFonts w:ascii="Arial" w:eastAsia="Arial" w:hAnsi="Arial" w:cs="Arial"/>
          <w:b w:val="0"/>
          <w:i w:val="0"/>
          <w:sz w:val="20"/>
        </w:rPr>
        <w:t xml:space="preserve"> for </w:t>
      </w:r>
      <w:r>
        <w:rPr>
          <w:rFonts w:ascii="Arial" w:eastAsia="Arial" w:hAnsi="Arial" w:cs="Arial"/>
          <w:b w:val="0"/>
          <w:i w:val="0"/>
          <w:color w:val="000000"/>
          <w:sz w:val="20"/>
          <w:u w:val="none"/>
        </w:rPr>
        <w:t>2023</w:t>
      </w:r>
      <w:r>
        <w:rPr>
          <w:rFonts w:ascii="Arial" w:eastAsia="Arial" w:hAnsi="Arial" w:cs="Arial"/>
          <w:b w:val="0"/>
          <w:i w:val="0"/>
          <w:sz w:val="20"/>
        </w:rPr>
        <w:t xml:space="preserve"> and </w:t>
      </w:r>
      <w:r>
        <w:rPr>
          <w:rFonts w:ascii="Arial" w:eastAsia="Arial" w:hAnsi="Arial" w:cs="Arial"/>
          <w:b w:val="0"/>
          <w:i w:val="0"/>
          <w:color w:val="000000"/>
          <w:sz w:val="20"/>
          <w:u w:val="none"/>
        </w:rPr>
        <w:t>2022</w:t>
      </w:r>
      <w:r>
        <w:rPr>
          <w:rFonts w:ascii="Arial" w:eastAsia="Arial" w:hAnsi="Arial" w:cs="Arial"/>
          <w:b w:val="0"/>
          <w:i w:val="0"/>
          <w:sz w:val="20"/>
        </w:rPr>
        <w:t xml:space="preserve"> were for professional services rendered for </w:t>
      </w:r>
      <w:r>
        <w:rPr>
          <w:rFonts w:ascii="Arial" w:eastAsia="Arial" w:hAnsi="Arial" w:cs="Arial"/>
          <w:b w:val="0"/>
          <w:i w:val="0"/>
          <w:sz w:val="20"/>
        </w:rPr>
        <w:t xml:space="preserve">information based subscriptions and surveys.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color w:val="1D64A3"/>
          <w:sz w:val="18"/>
          <w:u w:val="none"/>
        </w:rPr>
        <w:sectPr>
          <w:headerReference w:type="default" r:id="rId328"/>
          <w:footerReference w:type="default" r:id="rId329"/>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0"/>
          <w:u w:val="none"/>
        </w:rPr>
      </w:pPr>
      <w:bookmarkStart w:id="124" w:name="Section127"/>
      <w:bookmarkEnd w:id="124"/>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4495D1"/>
          <w:sz w:val="20"/>
          <w:u w:val="none"/>
        </w:rPr>
      </w:pPr>
      <w:r>
        <w:rPr>
          <w:rFonts w:ascii="Arial" w:eastAsia="Arial" w:hAnsi="Arial" w:cs="Arial"/>
          <w:b/>
          <w:i w:val="0"/>
          <w:color w:val="4495D1"/>
          <w:sz w:val="20"/>
          <w:u w:val="none"/>
        </w:rPr>
        <w:t>Consideration of Auditor Independence</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 Audit Committee has concluded that the provision of the non-audit services by PwC</w:t>
      </w:r>
      <w:r>
        <w:rPr>
          <w:rFonts w:ascii="Arial" w:eastAsia="Arial" w:hAnsi="Arial" w:cs="Arial"/>
          <w:b w:val="0"/>
          <w:i w:val="0"/>
          <w:sz w:val="20"/>
        </w:rPr>
        <w:t xml:space="preserve"> is compatible with maintaining their</w:t>
      </w:r>
      <w:r>
        <w:rPr>
          <w:rFonts w:ascii="Arial" w:eastAsia="Arial" w:hAnsi="Arial" w:cs="Arial"/>
          <w:b w:val="0"/>
          <w:i w:val="0"/>
          <w:sz w:val="20"/>
        </w:rPr>
        <w:t xml:space="preserve"> </w:t>
      </w:r>
      <w:r>
        <w:rPr>
          <w:rFonts w:ascii="Arial" w:eastAsia="Arial" w:hAnsi="Arial" w:cs="Arial"/>
          <w:b w:val="0"/>
          <w:i w:val="0"/>
          <w:sz w:val="20"/>
        </w:rPr>
        <w:t>independence.</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30"/>
          <w:footerReference w:type="default" r:id="rId331"/>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0"/>
          <w:u w:val="none"/>
        </w:rPr>
      </w:pPr>
      <w:bookmarkStart w:id="125" w:name="Section128"/>
      <w:bookmarkEnd w:id="125"/>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4495D1"/>
          <w:sz w:val="20"/>
          <w:u w:val="none"/>
        </w:rPr>
      </w:pPr>
      <w:r>
        <w:rPr>
          <w:rFonts w:ascii="Arial" w:eastAsia="Arial" w:hAnsi="Arial" w:cs="Arial"/>
          <w:b/>
          <w:i w:val="0"/>
          <w:color w:val="4495D1"/>
          <w:sz w:val="20"/>
          <w:u w:val="none"/>
        </w:rPr>
        <w:t>Procedures for Pre-Approval of Audit and Non-Audit Services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Our Audit Committee has adopted a policy to pre-approve all audit and permissible non-audit services provided by our independent registered public accounting firm.</w:t>
      </w:r>
      <w:r>
        <w:rPr>
          <w:rFonts w:ascii="Arial" w:eastAsia="Arial" w:hAnsi="Arial" w:cs="Arial"/>
          <w:b w:val="0"/>
          <w:i w:val="0"/>
          <w:sz w:val="20"/>
        </w:rPr>
        <w:t xml:space="preserve"> </w:t>
      </w:r>
      <w:r>
        <w:rPr>
          <w:rFonts w:ascii="Arial" w:eastAsia="Arial" w:hAnsi="Arial" w:cs="Arial"/>
          <w:b w:val="0"/>
          <w:i w:val="0"/>
          <w:sz w:val="20"/>
        </w:rPr>
        <w:t>Any engagements falling within these pre-approved outlines can be entered into, with our independent registered public accounting firm and management reporting the details of any such pre-approved engagements to the Audit Committee at its next meeting. The Audit Committee will review the scope of the pre-approv</w:t>
      </w:r>
      <w:r>
        <w:rPr>
          <w:rFonts w:ascii="Arial" w:eastAsia="Arial" w:hAnsi="Arial" w:cs="Arial"/>
          <w:b w:val="0"/>
          <w:i w:val="0"/>
          <w:sz w:val="20"/>
        </w:rPr>
        <w:t>ed services at each meeting</w:t>
      </w:r>
      <w:r>
        <w:rPr>
          <w:rFonts w:ascii="Arial" w:eastAsia="Arial" w:hAnsi="Arial" w:cs="Arial"/>
          <w:b w:val="0"/>
          <w:i w:val="0"/>
          <w:sz w:val="20"/>
        </w:rPr>
        <w:t xml:space="preserve">. In the event it becomes necessary to engage the independent registered public accounting firm for additional services not contemplated in the original </w:t>
      </w:r>
      <w:r>
        <w:rPr>
          <w:rFonts w:ascii="Arial" w:eastAsia="Arial" w:hAnsi="Arial" w:cs="Arial"/>
          <w:b w:val="0"/>
          <w:i w:val="0"/>
          <w:sz w:val="20"/>
        </w:rPr>
        <w:t xml:space="preserve">listing of </w:t>
      </w:r>
      <w:r>
        <w:rPr>
          <w:rFonts w:ascii="Arial" w:eastAsia="Arial" w:hAnsi="Arial" w:cs="Arial"/>
          <w:b w:val="0"/>
          <w:i w:val="0"/>
          <w:sz w:val="20"/>
        </w:rPr>
        <w:t>pre-approv</w:t>
      </w:r>
      <w:r>
        <w:rPr>
          <w:rFonts w:ascii="Arial" w:eastAsia="Arial" w:hAnsi="Arial" w:cs="Arial"/>
          <w:b w:val="0"/>
          <w:i w:val="0"/>
          <w:sz w:val="20"/>
        </w:rPr>
        <w:t>ed servi</w:t>
      </w:r>
      <w:r>
        <w:rPr>
          <w:rFonts w:ascii="Arial" w:eastAsia="Arial" w:hAnsi="Arial" w:cs="Arial"/>
          <w:b w:val="0"/>
          <w:i w:val="0"/>
          <w:sz w:val="20"/>
        </w:rPr>
        <w:t>ces</w:t>
      </w:r>
      <w:r>
        <w:rPr>
          <w:rFonts w:ascii="Arial" w:eastAsia="Arial" w:hAnsi="Arial" w:cs="Arial"/>
          <w:b w:val="0"/>
          <w:i w:val="0"/>
          <w:sz w:val="20"/>
        </w:rPr>
        <w:t xml:space="preserve"> at a time that does not correspond to a committee meeting, the Audit Committee has delegated authority to review and approve such services to the Audit Committee Chairman, who would report any such approvals to the full committee at its next meeting.</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w:t>
      </w:r>
      <w:r>
        <w:rPr>
          <w:rFonts w:ascii="Arial" w:eastAsia="Arial" w:hAnsi="Arial" w:cs="Arial"/>
          <w:b w:val="0"/>
          <w:i w:val="0"/>
          <w:sz w:val="20"/>
        </w:rPr>
        <w:t xml:space="preserve">he Audit Committee approved all </w:t>
      </w:r>
      <w:r>
        <w:rPr>
          <w:rFonts w:ascii="Arial" w:eastAsia="Arial" w:hAnsi="Arial" w:cs="Arial"/>
          <w:b w:val="0"/>
          <w:i w:val="0"/>
          <w:color w:val="000000"/>
          <w:sz w:val="20"/>
          <w:u w:val="none"/>
        </w:rPr>
        <w:t>2023</w:t>
      </w:r>
      <w:r>
        <w:rPr>
          <w:rFonts w:ascii="Arial" w:eastAsia="Arial" w:hAnsi="Arial" w:cs="Arial"/>
          <w:b w:val="0"/>
          <w:i w:val="0"/>
          <w:sz w:val="20"/>
        </w:rPr>
        <w:t xml:space="preserve"> </w:t>
      </w:r>
      <w:r>
        <w:rPr>
          <w:rFonts w:ascii="Arial" w:eastAsia="Arial" w:hAnsi="Arial" w:cs="Arial"/>
          <w:b w:val="0"/>
          <w:i w:val="0"/>
          <w:sz w:val="20"/>
        </w:rPr>
        <w:t xml:space="preserve">and </w:t>
      </w:r>
      <w:r>
        <w:rPr>
          <w:rFonts w:ascii="Arial" w:eastAsia="Arial" w:hAnsi="Arial" w:cs="Arial"/>
          <w:b w:val="0"/>
          <w:i w:val="0"/>
          <w:color w:val="000000"/>
          <w:sz w:val="20"/>
          <w:u w:val="none"/>
        </w:rPr>
        <w:t>2022</w:t>
      </w:r>
      <w:r>
        <w:rPr>
          <w:rFonts w:ascii="Arial" w:eastAsia="Arial" w:hAnsi="Arial" w:cs="Arial"/>
          <w:b w:val="0"/>
          <w:i w:val="0"/>
          <w:sz w:val="20"/>
        </w:rPr>
        <w:t xml:space="preserve"> </w:t>
      </w:r>
      <w:r>
        <w:rPr>
          <w:rFonts w:ascii="Arial" w:eastAsia="Arial" w:hAnsi="Arial" w:cs="Arial"/>
          <w:b w:val="0"/>
          <w:i w:val="0"/>
          <w:sz w:val="20"/>
        </w:rPr>
        <w:t>audit and non-audit services by our independent registered public accounting firm either on an individual basis as the need arose or by way of the pre-approval process described above.</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32"/>
          <w:footerReference w:type="default" r:id="rId333"/>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80"/>
          <w:u w:val="none"/>
        </w:rPr>
      </w:pPr>
      <w:bookmarkStart w:id="126" w:name="Section129"/>
      <w:bookmarkEnd w:id="126"/>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80" w:line="252" w:lineRule="auto"/>
        <w:ind w:left="0" w:right="0" w:firstLine="0"/>
        <w:jc w:val="left"/>
        <w:outlineLvl w:val="0"/>
        <w:rPr>
          <w:rFonts w:ascii="Arial" w:eastAsia="Arial" w:hAnsi="Arial" w:cs="Arial"/>
          <w:b/>
          <w:i w:val="0"/>
          <w:color w:val="171449"/>
          <w:sz w:val="80"/>
          <w:u w:val="none"/>
        </w:rPr>
      </w:pPr>
      <w:r>
        <w:rPr>
          <w:rFonts w:ascii="Arial" w:eastAsia="Arial" w:hAnsi="Arial" w:cs="Arial"/>
          <w:b/>
          <w:i w:val="0"/>
          <w:color w:val="171449"/>
          <w:sz w:val="80"/>
          <w:u w:val="none"/>
        </w:rPr>
        <w:t>Certain Relationships   and Related-Party Transactions</w:t>
      </w: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40"/>
          <w:u w:val="none"/>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tbl>
      <w:tblPr>
        <w:tblW w:w="85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7995"/>
        <w:gridCol w:w="585"/>
      </w:tblGrid>
      <w:tr>
        <w:tblPrEx>
          <w:tblW w:w="85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15"/>
        </w:trPr>
        <w:tc>
          <w:tcPr>
            <w:tcW w:w="7995" w:type="dxa"/>
            <w:tcBorders>
              <w:top w:val="single" w:sz="8" w:space="0" w:color="929292"/>
              <w:left w:val="nil"/>
              <w:bottom w:val="nil"/>
              <w:right w:val="nil"/>
            </w:tcBorders>
            <w:tcMar>
              <w:top w:w="0" w:type="dxa"/>
              <w:left w:w="0" w:type="dxa"/>
              <w:bottom w:w="0" w:type="dxa"/>
              <w:right w:w="0" w:type="dxa"/>
            </w:tcMar>
            <w:vAlign w:val="bottom"/>
          </w:tcPr>
          <w:p>
            <w:pPr>
              <w:keepNext/>
              <w:pageBreakBefore w:val="0"/>
              <w:spacing w:before="0" w:after="0"/>
            </w:pPr>
          </w:p>
        </w:tc>
        <w:tc>
          <w:tcPr>
            <w:tcW w:w="585" w:type="dxa"/>
            <w:tcBorders>
              <w:top w:val="single" w:sz="8" w:space="0" w:color="929292"/>
              <w:left w:val="nil"/>
              <w:bottom w:val="nil"/>
              <w:right w:val="nil"/>
            </w:tcBorders>
            <w:tcMar>
              <w:top w:w="0" w:type="dxa"/>
              <w:left w:w="0" w:type="dxa"/>
              <w:bottom w:w="0" w:type="dxa"/>
              <w:right w:w="0" w:type="dxa"/>
            </w:tcMar>
            <w:vAlign w:val="bottom"/>
          </w:tcPr>
          <w:p>
            <w:pPr>
              <w:keepNext/>
              <w:pageBreakBefore w:val="0"/>
              <w:spacing w:before="0" w:after="0"/>
            </w:pPr>
          </w:p>
        </w:tc>
      </w:tr>
      <w:tr>
        <w:tblPrEx>
          <w:tblW w:w="8580" w:type="dxa"/>
          <w:tblInd w:w="0" w:type="dxa"/>
          <w:tblLayout w:type="fixed"/>
          <w:tblCellMar>
            <w:left w:w="108" w:type="dxa"/>
            <w:right w:w="108" w:type="dxa"/>
          </w:tblCellMar>
        </w:tblPrEx>
        <w:trPr>
          <w:cantSplit/>
          <w:trHeight w:hRule="exact" w:val="315"/>
        </w:trPr>
        <w:tc>
          <w:tcPr>
            <w:tcW w:w="799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30" w:history="1">
              <w:r>
                <w:rPr>
                  <w:rFonts w:ascii="Arial" w:eastAsia="Arial" w:hAnsi="Arial" w:cs="Arial"/>
                  <w:b w:val="0"/>
                  <w:i w:val="0"/>
                  <w:color w:val="000000"/>
                  <w:sz w:val="18"/>
                  <w:u w:val="none"/>
                  <w:shd w:val="clear" w:color="auto" w:fill="auto"/>
                </w:rPr>
                <w:t>Beneficial Ownership of Certain Holders</w:t>
              </w:r>
            </w:hyperlink>
          </w:p>
        </w:tc>
        <w:tc>
          <w:tcPr>
            <w:tcW w:w="58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Section130</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102</w:t>
            </w:r>
            <w:r>
              <w:rPr>
                <w:rFonts w:ascii="Arial" w:eastAsia="Arial" w:hAnsi="Arial" w:cs="Arial"/>
                <w:b w:val="0"/>
                <w:i w:val="0"/>
                <w:color w:val="000000"/>
                <w:sz w:val="18"/>
                <w:u w:val="none"/>
              </w:rPr>
              <w:fldChar w:fldCharType="end"/>
            </w:r>
          </w:p>
        </w:tc>
      </w:tr>
      <w:tr>
        <w:tblPrEx>
          <w:tblW w:w="8580" w:type="dxa"/>
          <w:tblInd w:w="0" w:type="dxa"/>
          <w:tblLayout w:type="fixed"/>
          <w:tblCellMar>
            <w:left w:w="108" w:type="dxa"/>
            <w:right w:w="108" w:type="dxa"/>
          </w:tblCellMar>
        </w:tblPrEx>
        <w:trPr>
          <w:cantSplit/>
          <w:trHeight w:hRule="exact" w:val="315"/>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31" w:history="1">
              <w:r>
                <w:rPr>
                  <w:rFonts w:ascii="Arial" w:eastAsia="Arial" w:hAnsi="Arial" w:cs="Arial"/>
                  <w:b w:val="0"/>
                  <w:i w:val="0"/>
                  <w:color w:val="000000"/>
                  <w:sz w:val="18"/>
                  <w:u w:val="none"/>
                  <w:shd w:val="clear" w:color="auto" w:fill="auto"/>
                </w:rPr>
                <w:t>Certain Relationships and Related Transactions</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Section131</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104</w:t>
            </w:r>
            <w:r>
              <w:rPr>
                <w:rFonts w:ascii="Arial" w:eastAsia="Arial" w:hAnsi="Arial" w:cs="Arial"/>
                <w:b w:val="0"/>
                <w:i w:val="0"/>
                <w:color w:val="000000"/>
                <w:sz w:val="18"/>
                <w:u w:val="none"/>
              </w:rPr>
              <w:fldChar w:fldCharType="end"/>
            </w:r>
          </w:p>
        </w:tc>
      </w:tr>
    </w:tbl>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
        </w:rPr>
        <w:sectPr>
          <w:headerReference w:type="default" r:id="rId334"/>
          <w:footerReference w:type="default" r:id="rId335"/>
          <w:pgSz w:w="12240" w:h="15840"/>
          <w:pgMar w:top="855" w:right="990" w:bottom="855" w:left="990" w:header="180" w:footer="270"/>
          <w:cols w:space="708"/>
        </w:sect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bookmarkStart w:id="127" w:name="Section130"/>
      <w:bookmarkEnd w:id="127"/>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BENEFICIAL OWNERSHIP OF CERTAIN HOLDERS</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table below sets forth information as of </w:t>
      </w:r>
      <w:r>
        <w:rPr>
          <w:rFonts w:ascii="Arial" w:eastAsia="Arial" w:hAnsi="Arial" w:cs="Arial"/>
          <w:b w:val="0"/>
          <w:i w:val="0"/>
          <w:color w:val="000000"/>
          <w:sz w:val="20"/>
          <w:u w:val="none"/>
        </w:rPr>
        <w:t>April 8, 2024</w:t>
      </w:r>
      <w:r>
        <w:rPr>
          <w:rFonts w:ascii="Arial" w:eastAsia="Arial" w:hAnsi="Arial" w:cs="Arial"/>
          <w:b w:val="0"/>
          <w:i w:val="0"/>
          <w:sz w:val="20"/>
        </w:rPr>
        <w:t xml:space="preserve"> (unless otherwise indicated) regarding beneficial ownership of our voting ordinary shares by each of the following, in each case based on information provided to us by these individuals:</w:t>
      </w:r>
    </w:p>
    <w:p>
      <w:pPr>
        <w:keepNext w:val="0"/>
        <w:keepLines w:val="0"/>
        <w:pageBreakBefore w:val="0"/>
        <w:widowControl/>
        <w:numPr>
          <w:ilvl w:val="0"/>
          <w:numId w:val="333"/>
        </w:numPr>
        <w:spacing w:before="0" w:after="120" w:line="300" w:lineRule="auto"/>
        <w:ind w:left="720" w:right="0" w:hanging="360"/>
        <w:jc w:val="both"/>
        <w:outlineLvl w:val="9"/>
        <w:rPr>
          <w:rFonts w:ascii="Arial" w:eastAsia="Arial" w:hAnsi="Arial" w:cs="Arial"/>
          <w:b w:val="0"/>
          <w:i w:val="0"/>
          <w:color w:val="171449"/>
          <w:sz w:val="20"/>
          <w:u w:val="none"/>
        </w:rPr>
      </w:pPr>
      <w:r>
        <w:rPr>
          <w:rFonts w:ascii="Arial" w:eastAsia="Arial" w:hAnsi="Arial" w:cs="Arial"/>
          <w:b w:val="0"/>
          <w:i w:val="0"/>
          <w:sz w:val="20"/>
        </w:rPr>
        <w:t>each person or group known to us to be the beneficial owner of more than 5% of our ordinary shares;</w:t>
      </w:r>
    </w:p>
    <w:p>
      <w:pPr>
        <w:keepNext w:val="0"/>
        <w:keepLines w:val="0"/>
        <w:pageBreakBefore w:val="0"/>
        <w:widowControl/>
        <w:numPr>
          <w:ilvl w:val="0"/>
          <w:numId w:val="334"/>
        </w:numPr>
        <w:spacing w:before="0" w:after="120" w:line="300" w:lineRule="auto"/>
        <w:ind w:left="720" w:right="0" w:hanging="360"/>
        <w:jc w:val="both"/>
        <w:outlineLvl w:val="9"/>
        <w:rPr>
          <w:rFonts w:ascii="Arial" w:eastAsia="Arial" w:hAnsi="Arial" w:cs="Arial"/>
          <w:b w:val="0"/>
          <w:i w:val="0"/>
          <w:color w:val="171449"/>
          <w:sz w:val="20"/>
          <w:u w:val="none"/>
        </w:rPr>
      </w:pPr>
      <w:r>
        <w:rPr>
          <w:rFonts w:ascii="Arial" w:eastAsia="Arial" w:hAnsi="Arial" w:cs="Arial"/>
          <w:b w:val="0"/>
          <w:i w:val="0"/>
          <w:sz w:val="20"/>
        </w:rPr>
        <w:t>each of our current directors and director nominees;</w:t>
      </w:r>
    </w:p>
    <w:p>
      <w:pPr>
        <w:keepNext w:val="0"/>
        <w:keepLines w:val="0"/>
        <w:pageBreakBefore w:val="0"/>
        <w:widowControl/>
        <w:numPr>
          <w:ilvl w:val="0"/>
          <w:numId w:val="335"/>
        </w:numPr>
        <w:spacing w:before="0" w:after="120" w:line="300" w:lineRule="auto"/>
        <w:ind w:left="720" w:right="0" w:hanging="360"/>
        <w:jc w:val="both"/>
        <w:outlineLvl w:val="9"/>
        <w:rPr>
          <w:rFonts w:ascii="Arial" w:eastAsia="Arial" w:hAnsi="Arial" w:cs="Arial"/>
          <w:b w:val="0"/>
          <w:i w:val="0"/>
          <w:color w:val="171449"/>
          <w:sz w:val="20"/>
          <w:u w:val="none"/>
        </w:rPr>
      </w:pPr>
      <w:r>
        <w:rPr>
          <w:rFonts w:ascii="Arial" w:eastAsia="Arial" w:hAnsi="Arial" w:cs="Arial"/>
          <w:b w:val="0"/>
          <w:i w:val="0"/>
          <w:sz w:val="20"/>
        </w:rPr>
        <w:t>each of the individuals named in the Summary Compensation Table; and</w:t>
      </w:r>
    </w:p>
    <w:p>
      <w:pPr>
        <w:keepNext w:val="0"/>
        <w:keepLines w:val="0"/>
        <w:pageBreakBefore w:val="0"/>
        <w:widowControl/>
        <w:numPr>
          <w:ilvl w:val="0"/>
          <w:numId w:val="336"/>
        </w:numPr>
        <w:spacing w:before="0" w:after="120" w:line="300" w:lineRule="auto"/>
        <w:ind w:left="720" w:right="0" w:hanging="360"/>
        <w:jc w:val="both"/>
        <w:outlineLvl w:val="9"/>
        <w:rPr>
          <w:rFonts w:ascii="Arial" w:eastAsia="Arial" w:hAnsi="Arial" w:cs="Arial"/>
          <w:b w:val="0"/>
          <w:i w:val="0"/>
          <w:color w:val="171449"/>
          <w:sz w:val="20"/>
          <w:u w:val="none"/>
        </w:rPr>
      </w:pPr>
      <w:r>
        <w:rPr>
          <w:rFonts w:ascii="Arial" w:eastAsia="Arial" w:hAnsi="Arial" w:cs="Arial"/>
          <w:b w:val="0"/>
          <w:i w:val="0"/>
          <w:sz w:val="20"/>
        </w:rPr>
        <w:t>all of our current directors and executive officers as a group.</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table describes the ownership of our voting ordinary shares (including restricted voting ordinary shares), which are the only shares entitled to vote at the Annual General Meeting. Percentages are based on </w:t>
      </w:r>
      <w:r>
        <w:rPr>
          <w:rFonts w:ascii="Arial" w:eastAsia="Arial" w:hAnsi="Arial" w:cs="Arial"/>
          <w:b w:val="0"/>
          <w:i w:val="0"/>
          <w:color w:val="000000"/>
          <w:sz w:val="20"/>
          <w:u w:val="none"/>
        </w:rPr>
        <w:t>15,221,164</w:t>
      </w:r>
      <w:r>
        <w:rPr>
          <w:rFonts w:ascii="Arial" w:eastAsia="Arial" w:hAnsi="Arial" w:cs="Arial"/>
          <w:b w:val="0"/>
          <w:i w:val="0"/>
          <w:color w:val="000000"/>
          <w:sz w:val="20"/>
          <w:u w:val="none"/>
          <w:shd w:val="clear" w:color="auto" w:fill="FFFFFF"/>
        </w:rPr>
        <w:t xml:space="preserve"> ordinary shares outstanding as of </w:t>
      </w:r>
      <w:r>
        <w:rPr>
          <w:rFonts w:ascii="Arial" w:eastAsia="Arial" w:hAnsi="Arial" w:cs="Arial"/>
          <w:b w:val="0"/>
          <w:i w:val="0"/>
          <w:color w:val="000000"/>
          <w:sz w:val="20"/>
          <w:u w:val="none"/>
          <w:shd w:val="clear" w:color="auto" w:fill="FFFFFF"/>
        </w:rPr>
        <w:t>April 8, 2024</w:t>
      </w:r>
      <w:r>
        <w:rPr>
          <w:rFonts w:ascii="Arial" w:eastAsia="Arial" w:hAnsi="Arial" w:cs="Arial"/>
          <w:b w:val="0"/>
          <w:i w:val="0"/>
          <w:sz w:val="20"/>
        </w:rPr>
        <w:t xml:space="preserve">.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Unless otherwise indicated, each person has sole voting and dispositive power with respect to all shares shown as beneficially owned by them.</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7215"/>
        <w:gridCol w:w="1560"/>
        <w:gridCol w:w="1485"/>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65"/>
          <w:jc w:val="center"/>
        </w:trPr>
        <w:tc>
          <w:tcPr>
            <w:tcW w:w="721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ind w:left="90"/>
              <w:jc w:val="left"/>
            </w:pPr>
            <w:r>
              <w:rPr>
                <w:rFonts w:ascii="Arial" w:eastAsia="Arial" w:hAnsi="Arial" w:cs="Arial"/>
                <w:b/>
                <w:i w:val="0"/>
                <w:color w:val="FFFFFF"/>
                <w:sz w:val="16"/>
                <w:u w:val="none"/>
              </w:rPr>
              <w:t>Name of Beneficial Owner</w:t>
            </w:r>
          </w:p>
        </w:tc>
        <w:tc>
          <w:tcPr>
            <w:tcW w:w="1560"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jc w:val="center"/>
            </w:pPr>
            <w:r>
              <w:rPr>
                <w:rFonts w:ascii="Arial" w:eastAsia="Arial" w:hAnsi="Arial" w:cs="Arial"/>
                <w:b/>
                <w:i w:val="0"/>
                <w:color w:val="FFFFFF"/>
                <w:sz w:val="16"/>
                <w:u w:val="none"/>
              </w:rPr>
              <w:t>Number of Shares</w:t>
            </w:r>
          </w:p>
        </w:tc>
        <w:tc>
          <w:tcPr>
            <w:tcW w:w="1485" w:type="dxa"/>
            <w:tcBorders>
              <w:top w:val="nil"/>
              <w:left w:val="nil"/>
              <w:bottom w:val="nil"/>
              <w:right w:val="nil"/>
            </w:tcBorders>
            <w:shd w:val="clear" w:color="auto" w:fill="4495D1"/>
            <w:tcMar>
              <w:top w:w="0" w:type="dxa"/>
              <w:left w:w="0" w:type="dxa"/>
              <w:bottom w:w="0" w:type="dxa"/>
              <w:right w:w="53" w:type="dxa"/>
            </w:tcMar>
            <w:vAlign w:val="bottom"/>
          </w:tcPr>
          <w:p>
            <w:pPr>
              <w:keepNext/>
              <w:pageBreakBefore w:val="0"/>
              <w:spacing w:before="53" w:line="288" w:lineRule="auto"/>
              <w:ind w:right="120"/>
              <w:jc w:val="right"/>
            </w:pPr>
            <w:r>
              <w:rPr>
                <w:rFonts w:ascii="Arial" w:eastAsia="Arial" w:hAnsi="Arial" w:cs="Arial"/>
                <w:b/>
                <w:i w:val="0"/>
                <w:color w:val="FFFFFF"/>
                <w:sz w:val="16"/>
                <w:u w:val="none"/>
              </w:rPr>
              <w:t>Percent</w:t>
            </w:r>
          </w:p>
          <w:p>
            <w:pPr>
              <w:spacing w:after="30" w:line="288" w:lineRule="auto"/>
              <w:ind w:right="120"/>
              <w:jc w:val="right"/>
            </w:pPr>
            <w:r>
              <w:rPr>
                <w:rFonts w:ascii="Arial" w:eastAsia="Arial" w:hAnsi="Arial" w:cs="Arial"/>
                <w:b/>
                <w:i w:val="0"/>
                <w:color w:val="FFFFFF"/>
                <w:sz w:val="16"/>
                <w:u w:val="none"/>
              </w:rPr>
              <w:t>of Class</w:t>
            </w:r>
          </w:p>
        </w:tc>
      </w:tr>
      <w:tr>
        <w:tblPrEx>
          <w:tblW w:w="10260" w:type="dxa"/>
          <w:jc w:val="center"/>
          <w:tblLayout w:type="fixed"/>
          <w:tblCellMar>
            <w:left w:w="108" w:type="dxa"/>
            <w:right w:w="108" w:type="dxa"/>
          </w:tblCellMar>
        </w:tblPrEx>
        <w:trPr>
          <w:cantSplit/>
          <w:trHeight w:hRule="exact" w:val="285"/>
          <w:jc w:val="center"/>
        </w:trPr>
        <w:tc>
          <w:tcPr>
            <w:tcW w:w="721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numPr>
                <w:ilvl w:val="0"/>
                <w:numId w:val="0"/>
              </w:numPr>
              <w:spacing w:before="0" w:after="0" w:line="240" w:lineRule="auto"/>
              <w:ind w:left="90" w:right="0" w:firstLine="0"/>
              <w:jc w:val="left"/>
              <w:outlineLvl w:val="9"/>
              <w:rPr>
                <w:rFonts w:ascii="Arial" w:eastAsia="Arial" w:hAnsi="Arial" w:cs="Arial"/>
                <w:b w:val="0"/>
                <w:i w:val="0"/>
                <w:sz w:val="20"/>
              </w:rPr>
            </w:pPr>
            <w:r>
              <w:rPr>
                <w:rFonts w:ascii="Arial" w:eastAsia="Arial" w:hAnsi="Arial" w:cs="Arial"/>
                <w:b w:val="0"/>
                <w:i w:val="0"/>
                <w:sz w:val="20"/>
              </w:rPr>
              <w:t>Stone Point Capital LLC</w:t>
            </w:r>
            <w:r>
              <w:rPr>
                <w:rFonts w:ascii="Arial" w:eastAsia="Arial" w:hAnsi="Arial" w:cs="Arial"/>
                <w:b w:val="0"/>
                <w:i w:val="0"/>
                <w:sz w:val="20"/>
                <w:vertAlign w:val="superscript"/>
              </w:rPr>
              <w:t>(1)</w:t>
            </w:r>
          </w:p>
        </w:tc>
        <w:tc>
          <w:tcPr>
            <w:tcW w:w="1560" w:type="dxa"/>
            <w:tcBorders>
              <w:top w:val="nil"/>
              <w:left w:val="nil"/>
              <w:bottom w:val="nil"/>
              <w:right w:val="nil"/>
            </w:tcBorders>
            <w:shd w:val="clear" w:color="auto" w:fill="DFDDDE"/>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1,451,196</w:t>
            </w:r>
          </w:p>
        </w:tc>
        <w:tc>
          <w:tcPr>
            <w:tcW w:w="148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
                <w:tab w:val="left" w:pos="281"/>
              </w:tabs>
              <w:spacing w:before="0" w:after="0" w:line="288" w:lineRule="auto"/>
              <w:ind w:right="120"/>
              <w:jc w:val="right"/>
            </w:pPr>
            <w:r>
              <w:rPr>
                <w:rFonts w:ascii="Arial" w:eastAsia="Arial" w:hAnsi="Arial" w:cs="Arial"/>
                <w:b w:val="0"/>
                <w:i w:val="0"/>
                <w:color w:val="000000"/>
                <w:sz w:val="20"/>
                <w:u w:val="none"/>
              </w:rPr>
              <w:tab/>
              <w:t>9.5</w:t>
              <w:tab/>
              <w:t>%</w:t>
            </w:r>
          </w:p>
        </w:tc>
      </w:tr>
      <w:tr>
        <w:tblPrEx>
          <w:tblW w:w="10260" w:type="dxa"/>
          <w:jc w:val="center"/>
          <w:tblLayout w:type="fixed"/>
          <w:tblCellMar>
            <w:left w:w="108" w:type="dxa"/>
            <w:right w:w="108" w:type="dxa"/>
          </w:tblCellMar>
        </w:tblPrEx>
        <w:trPr>
          <w:cantSplit/>
          <w:trHeight w:hRule="exact" w:val="285"/>
          <w:jc w:val="center"/>
        </w:trPr>
        <w:tc>
          <w:tcPr>
            <w:tcW w:w="721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90" w:right="0" w:firstLine="0"/>
              <w:jc w:val="left"/>
              <w:outlineLvl w:val="9"/>
              <w:rPr>
                <w:rFonts w:ascii="Arial" w:eastAsia="Arial" w:hAnsi="Arial" w:cs="Arial"/>
                <w:b w:val="0"/>
                <w:i w:val="0"/>
                <w:sz w:val="20"/>
              </w:rPr>
            </w:pPr>
            <w:r>
              <w:rPr>
                <w:rFonts w:ascii="Arial" w:eastAsia="Arial" w:hAnsi="Arial" w:cs="Arial"/>
                <w:b w:val="0"/>
                <w:i w:val="0"/>
                <w:sz w:val="20"/>
              </w:rPr>
              <w:t>The Vanguard Group</w:t>
            </w:r>
            <w:r>
              <w:rPr>
                <w:rFonts w:ascii="Arial" w:eastAsia="Arial" w:hAnsi="Arial" w:cs="Arial"/>
                <w:b w:val="0"/>
                <w:i w:val="0"/>
                <w:sz w:val="20"/>
                <w:vertAlign w:val="superscript"/>
              </w:rPr>
              <w:t>(2)</w:t>
            </w:r>
          </w:p>
        </w:tc>
        <w:tc>
          <w:tcPr>
            <w:tcW w:w="156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1,287,296</w:t>
            </w:r>
          </w:p>
        </w:tc>
        <w:tc>
          <w:tcPr>
            <w:tcW w:w="148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
                <w:tab w:val="left" w:pos="281"/>
              </w:tabs>
              <w:spacing w:before="0" w:after="0" w:line="288" w:lineRule="auto"/>
              <w:ind w:right="120"/>
              <w:jc w:val="right"/>
            </w:pPr>
            <w:r>
              <w:rPr>
                <w:rFonts w:ascii="Arial" w:eastAsia="Arial" w:hAnsi="Arial" w:cs="Arial"/>
                <w:b w:val="0"/>
                <w:i w:val="0"/>
                <w:color w:val="000000"/>
                <w:sz w:val="20"/>
                <w:u w:val="none"/>
              </w:rPr>
              <w:tab/>
              <w:t>8.5</w:t>
              <w:tab/>
              <w:t>%</w:t>
            </w:r>
          </w:p>
        </w:tc>
      </w:tr>
      <w:tr>
        <w:tblPrEx>
          <w:tblW w:w="10260" w:type="dxa"/>
          <w:jc w:val="center"/>
          <w:tblLayout w:type="fixed"/>
          <w:tblCellMar>
            <w:left w:w="108" w:type="dxa"/>
            <w:right w:w="108" w:type="dxa"/>
          </w:tblCellMar>
        </w:tblPrEx>
        <w:trPr>
          <w:cantSplit/>
          <w:trHeight w:hRule="exact" w:val="285"/>
          <w:jc w:val="center"/>
        </w:trPr>
        <w:tc>
          <w:tcPr>
            <w:tcW w:w="721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numPr>
                <w:ilvl w:val="0"/>
                <w:numId w:val="0"/>
              </w:numPr>
              <w:spacing w:before="0" w:after="0" w:line="240" w:lineRule="auto"/>
              <w:ind w:left="90" w:right="0" w:firstLine="0"/>
              <w:jc w:val="left"/>
              <w:outlineLvl w:val="9"/>
              <w:rPr>
                <w:rFonts w:ascii="Arial" w:eastAsia="Arial" w:hAnsi="Arial" w:cs="Arial"/>
                <w:b w:val="0"/>
                <w:i w:val="0"/>
                <w:sz w:val="20"/>
              </w:rPr>
            </w:pPr>
            <w:r>
              <w:rPr>
                <w:rFonts w:ascii="Arial" w:eastAsia="Arial" w:hAnsi="Arial" w:cs="Arial"/>
                <w:b w:val="0"/>
                <w:i w:val="0"/>
                <w:sz w:val="20"/>
              </w:rPr>
              <w:t>BlackRock, Inc.</w:t>
            </w:r>
            <w:r>
              <w:rPr>
                <w:rFonts w:ascii="Arial" w:eastAsia="Arial" w:hAnsi="Arial" w:cs="Arial"/>
                <w:b w:val="0"/>
                <w:i w:val="0"/>
                <w:sz w:val="20"/>
                <w:vertAlign w:val="superscript"/>
              </w:rPr>
              <w:t>(3)</w:t>
            </w:r>
          </w:p>
        </w:tc>
        <w:tc>
          <w:tcPr>
            <w:tcW w:w="1560" w:type="dxa"/>
            <w:tcBorders>
              <w:top w:val="nil"/>
              <w:left w:val="nil"/>
              <w:bottom w:val="nil"/>
              <w:right w:val="nil"/>
            </w:tcBorders>
            <w:shd w:val="clear" w:color="auto" w:fill="DFDDDE"/>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950,827</w:t>
            </w:r>
          </w:p>
        </w:tc>
        <w:tc>
          <w:tcPr>
            <w:tcW w:w="148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
                <w:tab w:val="left" w:pos="281"/>
              </w:tabs>
              <w:spacing w:before="0" w:after="0" w:line="288" w:lineRule="auto"/>
              <w:ind w:right="120"/>
              <w:jc w:val="right"/>
            </w:pPr>
            <w:r>
              <w:rPr>
                <w:rFonts w:ascii="Arial" w:eastAsia="Arial" w:hAnsi="Arial" w:cs="Arial"/>
                <w:b w:val="0"/>
                <w:i w:val="0"/>
                <w:color w:val="000000"/>
                <w:sz w:val="20"/>
                <w:u w:val="none"/>
              </w:rPr>
              <w:tab/>
              <w:t>6.2</w:t>
              <w:tab/>
              <w:t>%</w:t>
            </w:r>
          </w:p>
        </w:tc>
      </w:tr>
      <w:tr>
        <w:tblPrEx>
          <w:tblW w:w="10260" w:type="dxa"/>
          <w:jc w:val="center"/>
          <w:tblLayout w:type="fixed"/>
          <w:tblCellMar>
            <w:left w:w="108" w:type="dxa"/>
            <w:right w:w="108" w:type="dxa"/>
          </w:tblCellMar>
        </w:tblPrEx>
        <w:trPr>
          <w:cantSplit/>
          <w:trHeight w:hRule="exact" w:val="285"/>
          <w:jc w:val="center"/>
        </w:trPr>
        <w:tc>
          <w:tcPr>
            <w:tcW w:w="721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90" w:right="0" w:firstLine="0"/>
              <w:jc w:val="left"/>
              <w:outlineLvl w:val="9"/>
              <w:rPr>
                <w:rFonts w:ascii="Arial" w:eastAsia="Arial" w:hAnsi="Arial" w:cs="Arial"/>
                <w:b w:val="0"/>
                <w:i w:val="0"/>
                <w:sz w:val="20"/>
              </w:rPr>
            </w:pPr>
            <w:r>
              <w:rPr>
                <w:rFonts w:ascii="Arial" w:eastAsia="Arial" w:hAnsi="Arial" w:cs="Arial"/>
                <w:b w:val="0"/>
                <w:i w:val="0"/>
                <w:sz w:val="20"/>
              </w:rPr>
              <w:t>Dominic Silvester</w:t>
            </w:r>
            <w:r>
              <w:rPr>
                <w:rFonts w:ascii="Arial" w:eastAsia="Arial" w:hAnsi="Arial" w:cs="Arial"/>
                <w:b w:val="0"/>
                <w:i w:val="0"/>
                <w:sz w:val="20"/>
                <w:vertAlign w:val="superscript"/>
              </w:rPr>
              <w:t>(4)</w:t>
            </w:r>
          </w:p>
        </w:tc>
        <w:tc>
          <w:tcPr>
            <w:tcW w:w="156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658,372</w:t>
            </w:r>
          </w:p>
        </w:tc>
        <w:tc>
          <w:tcPr>
            <w:tcW w:w="148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
                <w:tab w:val="left" w:pos="281"/>
              </w:tabs>
              <w:spacing w:before="0" w:after="0" w:line="288" w:lineRule="auto"/>
              <w:ind w:right="120"/>
              <w:jc w:val="right"/>
            </w:pPr>
            <w:r>
              <w:rPr>
                <w:rFonts w:ascii="Arial" w:eastAsia="Arial" w:hAnsi="Arial" w:cs="Arial"/>
                <w:b w:val="0"/>
                <w:i w:val="0"/>
                <w:color w:val="000000"/>
                <w:sz w:val="20"/>
                <w:u w:val="none"/>
              </w:rPr>
              <w:tab/>
              <w:t>4.3</w:t>
              <w:tab/>
              <w:t>%</w:t>
            </w:r>
          </w:p>
        </w:tc>
      </w:tr>
      <w:tr>
        <w:tblPrEx>
          <w:tblW w:w="10260" w:type="dxa"/>
          <w:jc w:val="center"/>
          <w:tblLayout w:type="fixed"/>
          <w:tblCellMar>
            <w:left w:w="108" w:type="dxa"/>
            <w:right w:w="108" w:type="dxa"/>
          </w:tblCellMar>
        </w:tblPrEx>
        <w:trPr>
          <w:cantSplit/>
          <w:trHeight w:hRule="exact" w:val="285"/>
          <w:jc w:val="center"/>
        </w:trPr>
        <w:tc>
          <w:tcPr>
            <w:tcW w:w="721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numPr>
                <w:ilvl w:val="0"/>
                <w:numId w:val="0"/>
              </w:numPr>
              <w:spacing w:before="0" w:after="0" w:line="240" w:lineRule="auto"/>
              <w:ind w:left="90" w:right="0" w:firstLine="0"/>
              <w:jc w:val="left"/>
              <w:outlineLvl w:val="9"/>
              <w:rPr>
                <w:rFonts w:ascii="Arial" w:eastAsia="Arial" w:hAnsi="Arial" w:cs="Arial"/>
                <w:b w:val="0"/>
                <w:i w:val="0"/>
                <w:sz w:val="20"/>
              </w:rPr>
            </w:pPr>
            <w:r>
              <w:rPr>
                <w:rFonts w:ascii="Arial" w:eastAsia="Arial" w:hAnsi="Arial" w:cs="Arial"/>
                <w:b w:val="0"/>
                <w:i w:val="0"/>
                <w:sz w:val="20"/>
              </w:rPr>
              <w:t>Paul J. O’Shea</w:t>
            </w:r>
            <w:r>
              <w:rPr>
                <w:rFonts w:ascii="Arial" w:eastAsia="Arial" w:hAnsi="Arial" w:cs="Arial"/>
                <w:b w:val="0"/>
                <w:i w:val="0"/>
                <w:sz w:val="20"/>
                <w:vertAlign w:val="superscript"/>
              </w:rPr>
              <w:t>(5)</w:t>
            </w:r>
          </w:p>
        </w:tc>
        <w:tc>
          <w:tcPr>
            <w:tcW w:w="1560" w:type="dxa"/>
            <w:tcBorders>
              <w:top w:val="nil"/>
              <w:left w:val="nil"/>
              <w:bottom w:val="nil"/>
              <w:right w:val="nil"/>
            </w:tcBorders>
            <w:shd w:val="clear" w:color="auto" w:fill="DFDDDE"/>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246,803</w:t>
            </w:r>
          </w:p>
        </w:tc>
        <w:tc>
          <w:tcPr>
            <w:tcW w:w="148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tabs>
                <w:tab w:val="left" w:pos="1"/>
                <w:tab w:val="left" w:pos="281"/>
              </w:tabs>
              <w:spacing w:before="0" w:after="0" w:line="288" w:lineRule="auto"/>
              <w:ind w:right="120"/>
              <w:jc w:val="right"/>
            </w:pPr>
            <w:r>
              <w:rPr>
                <w:rFonts w:ascii="Arial" w:eastAsia="Arial" w:hAnsi="Arial" w:cs="Arial"/>
                <w:b w:val="0"/>
                <w:i w:val="0"/>
                <w:color w:val="000000"/>
                <w:sz w:val="20"/>
                <w:u w:val="none"/>
              </w:rPr>
              <w:tab/>
              <w:t>1.6</w:t>
              <w:tab/>
              <w:t>%</w:t>
            </w:r>
          </w:p>
        </w:tc>
      </w:tr>
      <w:tr>
        <w:tblPrEx>
          <w:tblW w:w="10260" w:type="dxa"/>
          <w:jc w:val="center"/>
          <w:tblLayout w:type="fixed"/>
          <w:tblCellMar>
            <w:left w:w="108" w:type="dxa"/>
            <w:right w:w="108" w:type="dxa"/>
          </w:tblCellMar>
        </w:tblPrEx>
        <w:trPr>
          <w:cantSplit/>
          <w:trHeight w:hRule="exact" w:val="285"/>
          <w:jc w:val="center"/>
        </w:trPr>
        <w:tc>
          <w:tcPr>
            <w:tcW w:w="721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90" w:right="0" w:firstLine="0"/>
              <w:jc w:val="left"/>
              <w:outlineLvl w:val="9"/>
              <w:rPr>
                <w:rFonts w:ascii="Arial" w:eastAsia="Arial" w:hAnsi="Arial" w:cs="Arial"/>
                <w:b w:val="0"/>
                <w:i w:val="0"/>
                <w:sz w:val="20"/>
              </w:rPr>
            </w:pPr>
            <w:r>
              <w:rPr>
                <w:rFonts w:ascii="Arial" w:eastAsia="Arial" w:hAnsi="Arial" w:cs="Arial"/>
                <w:b w:val="0"/>
                <w:i w:val="0"/>
                <w:sz w:val="20"/>
              </w:rPr>
              <w:t>Robert J. Campbell</w:t>
            </w:r>
            <w:r>
              <w:rPr>
                <w:rFonts w:ascii="Arial" w:eastAsia="Arial" w:hAnsi="Arial" w:cs="Arial"/>
                <w:b w:val="0"/>
                <w:i w:val="0"/>
                <w:sz w:val="20"/>
                <w:vertAlign w:val="superscript"/>
              </w:rPr>
              <w:t>(6)</w:t>
            </w:r>
          </w:p>
        </w:tc>
        <w:tc>
          <w:tcPr>
            <w:tcW w:w="156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187,495</w:t>
            </w:r>
          </w:p>
        </w:tc>
        <w:tc>
          <w:tcPr>
            <w:tcW w:w="148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tabs>
                <w:tab w:val="left" w:pos="1"/>
                <w:tab w:val="left" w:pos="281"/>
              </w:tabs>
              <w:spacing w:before="0" w:after="0" w:line="288" w:lineRule="auto"/>
              <w:ind w:right="120"/>
              <w:jc w:val="right"/>
            </w:pPr>
            <w:r>
              <w:rPr>
                <w:rFonts w:ascii="Arial" w:eastAsia="Arial" w:hAnsi="Arial" w:cs="Arial"/>
                <w:b w:val="0"/>
                <w:i w:val="0"/>
                <w:color w:val="000000"/>
                <w:sz w:val="20"/>
                <w:u w:val="none"/>
              </w:rPr>
              <w:tab/>
              <w:t>1.2</w:t>
              <w:tab/>
              <w:t>%</w:t>
            </w:r>
          </w:p>
        </w:tc>
      </w:tr>
      <w:tr>
        <w:tblPrEx>
          <w:tblW w:w="10260" w:type="dxa"/>
          <w:jc w:val="center"/>
          <w:tblLayout w:type="fixed"/>
          <w:tblCellMar>
            <w:left w:w="108" w:type="dxa"/>
            <w:right w:w="108" w:type="dxa"/>
          </w:tblCellMar>
        </w:tblPrEx>
        <w:trPr>
          <w:cantSplit/>
          <w:trHeight w:hRule="exact" w:val="285"/>
          <w:jc w:val="center"/>
        </w:trPr>
        <w:tc>
          <w:tcPr>
            <w:tcW w:w="721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numPr>
                <w:ilvl w:val="0"/>
                <w:numId w:val="0"/>
              </w:numPr>
              <w:spacing w:before="0" w:after="0" w:line="240" w:lineRule="auto"/>
              <w:ind w:left="90" w:right="0" w:firstLine="0"/>
              <w:jc w:val="left"/>
              <w:outlineLvl w:val="9"/>
              <w:rPr>
                <w:rFonts w:ascii="Arial" w:eastAsia="Arial" w:hAnsi="Arial" w:cs="Arial"/>
                <w:b w:val="0"/>
                <w:i w:val="0"/>
                <w:sz w:val="20"/>
              </w:rPr>
            </w:pPr>
            <w:r>
              <w:rPr>
                <w:rFonts w:ascii="Arial" w:eastAsia="Arial" w:hAnsi="Arial" w:cs="Arial"/>
                <w:b w:val="0"/>
                <w:i w:val="0"/>
                <w:sz w:val="20"/>
              </w:rPr>
              <w:t>Orla Gregory</w:t>
            </w:r>
            <w:r>
              <w:rPr>
                <w:rFonts w:ascii="Arial" w:eastAsia="Arial" w:hAnsi="Arial" w:cs="Arial"/>
                <w:b w:val="0"/>
                <w:i w:val="0"/>
                <w:sz w:val="20"/>
                <w:vertAlign w:val="superscript"/>
              </w:rPr>
              <w:t>(7)</w:t>
            </w:r>
          </w:p>
        </w:tc>
        <w:tc>
          <w:tcPr>
            <w:tcW w:w="1560" w:type="dxa"/>
            <w:tcBorders>
              <w:top w:val="nil"/>
              <w:left w:val="nil"/>
              <w:bottom w:val="nil"/>
              <w:right w:val="nil"/>
            </w:tcBorders>
            <w:shd w:val="clear" w:color="auto" w:fill="DFDDDE"/>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54,519</w:t>
            </w:r>
          </w:p>
        </w:tc>
        <w:tc>
          <w:tcPr>
            <w:tcW w:w="148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spacing w:before="0" w:after="0" w:line="288" w:lineRule="auto"/>
              <w:ind w:right="120"/>
              <w:jc w:val="right"/>
            </w:pPr>
            <w:r>
              <w:rPr>
                <w:rFonts w:ascii="Arial" w:eastAsia="Arial" w:hAnsi="Arial" w:cs="Arial"/>
                <w:b w:val="0"/>
                <w:i w:val="0"/>
                <w:color w:val="000000"/>
                <w:sz w:val="20"/>
                <w:u w:val="none"/>
              </w:rPr>
              <w:t>*</w:t>
            </w:r>
          </w:p>
        </w:tc>
      </w:tr>
      <w:tr>
        <w:tblPrEx>
          <w:tblW w:w="10260" w:type="dxa"/>
          <w:jc w:val="center"/>
          <w:tblLayout w:type="fixed"/>
          <w:tblCellMar>
            <w:left w:w="108" w:type="dxa"/>
            <w:right w:w="108" w:type="dxa"/>
          </w:tblCellMar>
        </w:tblPrEx>
        <w:trPr>
          <w:cantSplit/>
          <w:trHeight w:hRule="exact" w:val="285"/>
          <w:jc w:val="center"/>
        </w:trPr>
        <w:tc>
          <w:tcPr>
            <w:tcW w:w="721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90" w:right="0" w:firstLine="0"/>
              <w:jc w:val="left"/>
              <w:outlineLvl w:val="9"/>
              <w:rPr>
                <w:rFonts w:ascii="Arial" w:eastAsia="Arial" w:hAnsi="Arial" w:cs="Arial"/>
                <w:b w:val="0"/>
                <w:i w:val="0"/>
                <w:sz w:val="20"/>
              </w:rPr>
            </w:pPr>
            <w:r>
              <w:rPr>
                <w:rFonts w:ascii="Arial" w:eastAsia="Arial" w:hAnsi="Arial" w:cs="Arial"/>
                <w:b w:val="0"/>
                <w:i w:val="0"/>
                <w:sz w:val="20"/>
              </w:rPr>
              <w:t>Hans-Peter Gerhardt</w:t>
            </w:r>
            <w:r>
              <w:rPr>
                <w:rFonts w:ascii="Arial" w:eastAsia="Arial" w:hAnsi="Arial" w:cs="Arial"/>
                <w:b w:val="0"/>
                <w:i w:val="0"/>
                <w:sz w:val="20"/>
                <w:vertAlign w:val="superscript"/>
              </w:rPr>
              <w:t>(8)</w:t>
            </w:r>
          </w:p>
        </w:tc>
        <w:tc>
          <w:tcPr>
            <w:tcW w:w="156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15,230</w:t>
            </w:r>
          </w:p>
        </w:tc>
        <w:tc>
          <w:tcPr>
            <w:tcW w:w="148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spacing w:before="0" w:after="0" w:line="288" w:lineRule="auto"/>
              <w:ind w:right="120"/>
              <w:jc w:val="right"/>
            </w:pPr>
            <w:r>
              <w:rPr>
                <w:rFonts w:ascii="Arial" w:eastAsia="Arial" w:hAnsi="Arial" w:cs="Arial"/>
                <w:b w:val="0"/>
                <w:i w:val="0"/>
                <w:color w:val="000000"/>
                <w:sz w:val="20"/>
                <w:u w:val="none"/>
              </w:rPr>
              <w:t>*</w:t>
            </w:r>
          </w:p>
        </w:tc>
      </w:tr>
      <w:tr>
        <w:tblPrEx>
          <w:tblW w:w="10260" w:type="dxa"/>
          <w:jc w:val="center"/>
          <w:tblLayout w:type="fixed"/>
          <w:tblCellMar>
            <w:left w:w="108" w:type="dxa"/>
            <w:right w:w="108" w:type="dxa"/>
          </w:tblCellMar>
        </w:tblPrEx>
        <w:trPr>
          <w:cantSplit/>
          <w:trHeight w:hRule="exact" w:val="285"/>
          <w:jc w:val="center"/>
        </w:trPr>
        <w:tc>
          <w:tcPr>
            <w:tcW w:w="721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numPr>
                <w:ilvl w:val="0"/>
                <w:numId w:val="0"/>
              </w:numPr>
              <w:spacing w:before="0" w:after="0" w:line="240" w:lineRule="auto"/>
              <w:ind w:left="90" w:right="0" w:firstLine="0"/>
              <w:jc w:val="left"/>
              <w:outlineLvl w:val="9"/>
              <w:rPr>
                <w:rFonts w:ascii="Arial" w:eastAsia="Arial" w:hAnsi="Arial" w:cs="Arial"/>
                <w:b w:val="0"/>
                <w:i w:val="0"/>
                <w:sz w:val="20"/>
              </w:rPr>
            </w:pPr>
            <w:r>
              <w:rPr>
                <w:rFonts w:ascii="Arial" w:eastAsia="Arial" w:hAnsi="Arial" w:cs="Arial"/>
                <w:b w:val="0"/>
                <w:i w:val="0"/>
                <w:sz w:val="20"/>
              </w:rPr>
              <w:t>Paul Brockman</w:t>
            </w:r>
            <w:r>
              <w:rPr>
                <w:rFonts w:ascii="Arial" w:eastAsia="Arial" w:hAnsi="Arial" w:cs="Arial"/>
                <w:b w:val="0"/>
                <w:i w:val="0"/>
                <w:sz w:val="20"/>
                <w:vertAlign w:val="superscript"/>
              </w:rPr>
              <w:t>(9)</w:t>
            </w:r>
          </w:p>
        </w:tc>
        <w:tc>
          <w:tcPr>
            <w:tcW w:w="1560" w:type="dxa"/>
            <w:tcBorders>
              <w:top w:val="nil"/>
              <w:left w:val="nil"/>
              <w:bottom w:val="nil"/>
              <w:right w:val="nil"/>
            </w:tcBorders>
            <w:shd w:val="clear" w:color="auto" w:fill="DFDDDE"/>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13,222</w:t>
            </w:r>
          </w:p>
        </w:tc>
        <w:tc>
          <w:tcPr>
            <w:tcW w:w="148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spacing w:before="0" w:after="0" w:line="288" w:lineRule="auto"/>
              <w:ind w:right="120"/>
              <w:jc w:val="right"/>
            </w:pPr>
            <w:r>
              <w:rPr>
                <w:rFonts w:ascii="Arial" w:eastAsia="Arial" w:hAnsi="Arial" w:cs="Arial"/>
                <w:b w:val="0"/>
                <w:i w:val="0"/>
                <w:color w:val="000000"/>
                <w:sz w:val="20"/>
                <w:u w:val="none"/>
              </w:rPr>
              <w:t>*</w:t>
            </w:r>
          </w:p>
        </w:tc>
      </w:tr>
      <w:tr>
        <w:tblPrEx>
          <w:tblW w:w="10260" w:type="dxa"/>
          <w:jc w:val="center"/>
          <w:tblLayout w:type="fixed"/>
          <w:tblCellMar>
            <w:left w:w="108" w:type="dxa"/>
            <w:right w:w="108" w:type="dxa"/>
          </w:tblCellMar>
        </w:tblPrEx>
        <w:trPr>
          <w:cantSplit/>
          <w:trHeight w:hRule="exact" w:val="285"/>
          <w:jc w:val="center"/>
        </w:trPr>
        <w:tc>
          <w:tcPr>
            <w:tcW w:w="721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90" w:right="0" w:firstLine="0"/>
              <w:jc w:val="left"/>
              <w:outlineLvl w:val="9"/>
              <w:rPr>
                <w:rFonts w:ascii="Arial" w:eastAsia="Arial" w:hAnsi="Arial" w:cs="Arial"/>
                <w:b w:val="0"/>
                <w:i w:val="0"/>
                <w:sz w:val="20"/>
              </w:rPr>
            </w:pPr>
            <w:r>
              <w:rPr>
                <w:rFonts w:ascii="Arial" w:eastAsia="Arial" w:hAnsi="Arial" w:cs="Arial"/>
                <w:b w:val="0"/>
                <w:i w:val="0"/>
                <w:sz w:val="20"/>
              </w:rPr>
              <w:t>James D. Carey</w:t>
            </w:r>
            <w:r>
              <w:rPr>
                <w:rFonts w:ascii="Arial" w:eastAsia="Arial" w:hAnsi="Arial" w:cs="Arial"/>
                <w:b w:val="0"/>
                <w:i w:val="0"/>
                <w:sz w:val="20"/>
                <w:vertAlign w:val="superscript"/>
              </w:rPr>
              <w:t>(10)</w:t>
            </w:r>
          </w:p>
        </w:tc>
        <w:tc>
          <w:tcPr>
            <w:tcW w:w="156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9,493</w:t>
            </w:r>
          </w:p>
        </w:tc>
        <w:tc>
          <w:tcPr>
            <w:tcW w:w="148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spacing w:before="0" w:after="0" w:line="288" w:lineRule="auto"/>
              <w:ind w:right="120"/>
              <w:jc w:val="right"/>
            </w:pPr>
            <w:r>
              <w:rPr>
                <w:rFonts w:ascii="Arial" w:eastAsia="Arial" w:hAnsi="Arial" w:cs="Arial"/>
                <w:b w:val="0"/>
                <w:i w:val="0"/>
                <w:color w:val="000000"/>
                <w:sz w:val="20"/>
                <w:u w:val="none"/>
              </w:rPr>
              <w:t>*</w:t>
            </w:r>
          </w:p>
        </w:tc>
      </w:tr>
      <w:tr>
        <w:tblPrEx>
          <w:tblW w:w="10260" w:type="dxa"/>
          <w:jc w:val="center"/>
          <w:tblLayout w:type="fixed"/>
          <w:tblCellMar>
            <w:left w:w="108" w:type="dxa"/>
            <w:right w:w="108" w:type="dxa"/>
          </w:tblCellMar>
        </w:tblPrEx>
        <w:trPr>
          <w:cantSplit/>
          <w:trHeight w:hRule="exact" w:val="285"/>
          <w:jc w:val="center"/>
        </w:trPr>
        <w:tc>
          <w:tcPr>
            <w:tcW w:w="721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numPr>
                <w:ilvl w:val="0"/>
                <w:numId w:val="0"/>
              </w:numPr>
              <w:spacing w:before="0" w:after="0" w:line="240" w:lineRule="auto"/>
              <w:ind w:left="90" w:right="0" w:firstLine="0"/>
              <w:jc w:val="left"/>
              <w:outlineLvl w:val="9"/>
              <w:rPr>
                <w:rFonts w:ascii="Arial" w:eastAsia="Arial" w:hAnsi="Arial" w:cs="Arial"/>
                <w:b w:val="0"/>
                <w:i w:val="0"/>
                <w:sz w:val="20"/>
              </w:rPr>
            </w:pPr>
            <w:r>
              <w:rPr>
                <w:rFonts w:ascii="Arial" w:eastAsia="Arial" w:hAnsi="Arial" w:cs="Arial"/>
                <w:b w:val="0"/>
                <w:i w:val="0"/>
                <w:sz w:val="20"/>
              </w:rPr>
              <w:t>Hitesh Patel</w:t>
            </w:r>
            <w:r>
              <w:rPr>
                <w:rFonts w:ascii="Arial" w:eastAsia="Arial" w:hAnsi="Arial" w:cs="Arial"/>
                <w:b w:val="0"/>
                <w:i w:val="0"/>
                <w:sz w:val="20"/>
                <w:vertAlign w:val="superscript"/>
              </w:rPr>
              <w:t>(11)</w:t>
            </w:r>
          </w:p>
        </w:tc>
        <w:tc>
          <w:tcPr>
            <w:tcW w:w="1560" w:type="dxa"/>
            <w:tcBorders>
              <w:top w:val="nil"/>
              <w:left w:val="nil"/>
              <w:bottom w:val="nil"/>
              <w:right w:val="nil"/>
            </w:tcBorders>
            <w:shd w:val="clear" w:color="auto" w:fill="DFDDDE"/>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6,698</w:t>
            </w:r>
          </w:p>
        </w:tc>
        <w:tc>
          <w:tcPr>
            <w:tcW w:w="148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spacing w:before="0" w:after="0" w:line="288" w:lineRule="auto"/>
              <w:ind w:right="120"/>
              <w:jc w:val="right"/>
            </w:pPr>
            <w:r>
              <w:rPr>
                <w:rFonts w:ascii="Arial" w:eastAsia="Arial" w:hAnsi="Arial" w:cs="Arial"/>
                <w:b w:val="0"/>
                <w:i w:val="0"/>
                <w:color w:val="000000"/>
                <w:sz w:val="20"/>
                <w:u w:val="none"/>
              </w:rPr>
              <w:t>*</w:t>
            </w:r>
          </w:p>
        </w:tc>
      </w:tr>
      <w:tr>
        <w:tblPrEx>
          <w:tblW w:w="10260" w:type="dxa"/>
          <w:jc w:val="center"/>
          <w:tblLayout w:type="fixed"/>
          <w:tblCellMar>
            <w:left w:w="108" w:type="dxa"/>
            <w:right w:w="108" w:type="dxa"/>
          </w:tblCellMar>
        </w:tblPrEx>
        <w:trPr>
          <w:cantSplit/>
          <w:trHeight w:hRule="exact" w:val="285"/>
          <w:jc w:val="center"/>
        </w:trPr>
        <w:tc>
          <w:tcPr>
            <w:tcW w:w="721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90" w:right="0" w:firstLine="0"/>
              <w:jc w:val="left"/>
              <w:outlineLvl w:val="9"/>
              <w:rPr>
                <w:rFonts w:ascii="Arial" w:eastAsia="Arial" w:hAnsi="Arial" w:cs="Arial"/>
                <w:b w:val="0"/>
                <w:i w:val="0"/>
                <w:sz w:val="20"/>
              </w:rPr>
            </w:pPr>
            <w:r>
              <w:rPr>
                <w:rFonts w:ascii="Arial" w:eastAsia="Arial" w:hAnsi="Arial" w:cs="Arial"/>
                <w:b w:val="0"/>
                <w:i w:val="0"/>
                <w:sz w:val="20"/>
              </w:rPr>
              <w:t>Nazar Alobaidat</w:t>
            </w:r>
            <w:r>
              <w:rPr>
                <w:rFonts w:ascii="Arial" w:eastAsia="Arial" w:hAnsi="Arial" w:cs="Arial"/>
                <w:b w:val="0"/>
                <w:i w:val="0"/>
                <w:sz w:val="20"/>
                <w:vertAlign w:val="superscript"/>
              </w:rPr>
              <w:t>(12)</w:t>
            </w:r>
          </w:p>
        </w:tc>
        <w:tc>
          <w:tcPr>
            <w:tcW w:w="156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6,889</w:t>
            </w:r>
          </w:p>
        </w:tc>
        <w:tc>
          <w:tcPr>
            <w:tcW w:w="148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spacing w:before="0" w:after="0" w:line="288" w:lineRule="auto"/>
              <w:ind w:right="120"/>
              <w:jc w:val="right"/>
            </w:pPr>
            <w:r>
              <w:rPr>
                <w:rFonts w:ascii="Arial" w:eastAsia="Arial" w:hAnsi="Arial" w:cs="Arial"/>
                <w:b w:val="0"/>
                <w:i w:val="0"/>
                <w:color w:val="000000"/>
                <w:sz w:val="20"/>
                <w:u w:val="none"/>
              </w:rPr>
              <w:t>*</w:t>
            </w:r>
          </w:p>
        </w:tc>
      </w:tr>
      <w:tr>
        <w:tblPrEx>
          <w:tblW w:w="10260" w:type="dxa"/>
          <w:jc w:val="center"/>
          <w:tblLayout w:type="fixed"/>
          <w:tblCellMar>
            <w:left w:w="108" w:type="dxa"/>
            <w:right w:w="108" w:type="dxa"/>
          </w:tblCellMar>
        </w:tblPrEx>
        <w:trPr>
          <w:cantSplit/>
          <w:trHeight w:hRule="exact" w:val="285"/>
          <w:jc w:val="center"/>
        </w:trPr>
        <w:tc>
          <w:tcPr>
            <w:tcW w:w="721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numPr>
                <w:ilvl w:val="0"/>
                <w:numId w:val="0"/>
              </w:numPr>
              <w:spacing w:before="0" w:after="0" w:line="240" w:lineRule="auto"/>
              <w:ind w:left="90" w:right="0" w:firstLine="0"/>
              <w:jc w:val="left"/>
              <w:outlineLvl w:val="9"/>
              <w:rPr>
                <w:rFonts w:ascii="Arial" w:eastAsia="Arial" w:hAnsi="Arial" w:cs="Arial"/>
                <w:b w:val="0"/>
                <w:i w:val="0"/>
                <w:sz w:val="20"/>
              </w:rPr>
            </w:pPr>
            <w:r>
              <w:rPr>
                <w:rFonts w:ascii="Arial" w:eastAsia="Arial" w:hAnsi="Arial" w:cs="Arial"/>
                <w:b w:val="0"/>
                <w:i w:val="0"/>
                <w:sz w:val="20"/>
              </w:rPr>
              <w:t>B. Frederick Becker</w:t>
            </w:r>
            <w:r>
              <w:rPr>
                <w:rFonts w:ascii="Arial" w:eastAsia="Arial" w:hAnsi="Arial" w:cs="Arial"/>
                <w:b w:val="0"/>
                <w:i w:val="0"/>
                <w:sz w:val="20"/>
                <w:vertAlign w:val="superscript"/>
              </w:rPr>
              <w:t>(13)</w:t>
            </w:r>
          </w:p>
        </w:tc>
        <w:tc>
          <w:tcPr>
            <w:tcW w:w="1560" w:type="dxa"/>
            <w:tcBorders>
              <w:top w:val="nil"/>
              <w:left w:val="nil"/>
              <w:bottom w:val="nil"/>
              <w:right w:val="nil"/>
            </w:tcBorders>
            <w:shd w:val="clear" w:color="auto" w:fill="DFDDDE"/>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6,078</w:t>
            </w:r>
          </w:p>
        </w:tc>
        <w:tc>
          <w:tcPr>
            <w:tcW w:w="148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spacing w:before="0" w:after="0" w:line="288" w:lineRule="auto"/>
              <w:ind w:right="120"/>
              <w:jc w:val="right"/>
            </w:pPr>
            <w:r>
              <w:rPr>
                <w:rFonts w:ascii="Arial" w:eastAsia="Arial" w:hAnsi="Arial" w:cs="Arial"/>
                <w:b w:val="0"/>
                <w:i w:val="0"/>
                <w:color w:val="000000"/>
                <w:sz w:val="20"/>
                <w:u w:val="none"/>
              </w:rPr>
              <w:t>*</w:t>
            </w:r>
          </w:p>
        </w:tc>
      </w:tr>
      <w:tr>
        <w:tblPrEx>
          <w:tblW w:w="10260" w:type="dxa"/>
          <w:jc w:val="center"/>
          <w:tblLayout w:type="fixed"/>
          <w:tblCellMar>
            <w:left w:w="108" w:type="dxa"/>
            <w:right w:w="108" w:type="dxa"/>
          </w:tblCellMar>
        </w:tblPrEx>
        <w:trPr>
          <w:cantSplit/>
          <w:trHeight w:hRule="exact" w:val="285"/>
          <w:jc w:val="center"/>
        </w:trPr>
        <w:tc>
          <w:tcPr>
            <w:tcW w:w="721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90" w:right="0" w:firstLine="0"/>
              <w:jc w:val="left"/>
              <w:outlineLvl w:val="9"/>
              <w:rPr>
                <w:rFonts w:ascii="Arial" w:eastAsia="Arial" w:hAnsi="Arial" w:cs="Arial"/>
                <w:b w:val="0"/>
                <w:i w:val="0"/>
                <w:sz w:val="20"/>
              </w:rPr>
            </w:pPr>
            <w:r>
              <w:rPr>
                <w:rFonts w:ascii="Arial" w:eastAsia="Arial" w:hAnsi="Arial" w:cs="Arial"/>
                <w:b w:val="0"/>
                <w:i w:val="0"/>
                <w:sz w:val="20"/>
              </w:rPr>
              <w:t>Myron Hendry</w:t>
            </w:r>
            <w:r>
              <w:rPr>
                <w:rFonts w:ascii="Arial" w:eastAsia="Arial" w:hAnsi="Arial" w:cs="Arial"/>
                <w:b w:val="0"/>
                <w:i w:val="0"/>
                <w:sz w:val="20"/>
                <w:vertAlign w:val="superscript"/>
              </w:rPr>
              <w:t>(14)</w:t>
            </w:r>
          </w:p>
        </w:tc>
        <w:tc>
          <w:tcPr>
            <w:tcW w:w="156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2,193</w:t>
            </w:r>
          </w:p>
        </w:tc>
        <w:tc>
          <w:tcPr>
            <w:tcW w:w="148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spacing w:before="0" w:after="0" w:line="288" w:lineRule="auto"/>
              <w:ind w:right="120"/>
              <w:jc w:val="right"/>
            </w:pPr>
            <w:r>
              <w:rPr>
                <w:rFonts w:ascii="Arial" w:eastAsia="Arial" w:hAnsi="Arial" w:cs="Arial"/>
                <w:b w:val="0"/>
                <w:i w:val="0"/>
                <w:color w:val="000000"/>
                <w:sz w:val="20"/>
                <w:u w:val="none"/>
              </w:rPr>
              <w:t>*</w:t>
            </w:r>
          </w:p>
        </w:tc>
      </w:tr>
      <w:tr>
        <w:tblPrEx>
          <w:tblW w:w="10260" w:type="dxa"/>
          <w:jc w:val="center"/>
          <w:tblLayout w:type="fixed"/>
          <w:tblCellMar>
            <w:left w:w="108" w:type="dxa"/>
            <w:right w:w="108" w:type="dxa"/>
          </w:tblCellMar>
        </w:tblPrEx>
        <w:trPr>
          <w:cantSplit/>
          <w:trHeight w:hRule="exact" w:val="285"/>
          <w:jc w:val="center"/>
        </w:trPr>
        <w:tc>
          <w:tcPr>
            <w:tcW w:w="721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numPr>
                <w:ilvl w:val="0"/>
                <w:numId w:val="0"/>
              </w:numPr>
              <w:spacing w:before="0" w:after="0" w:line="240" w:lineRule="auto"/>
              <w:ind w:left="90" w:right="0" w:firstLine="0"/>
              <w:jc w:val="left"/>
              <w:outlineLvl w:val="9"/>
              <w:rPr>
                <w:rFonts w:ascii="Arial" w:eastAsia="Arial" w:hAnsi="Arial" w:cs="Arial"/>
                <w:b w:val="0"/>
                <w:i w:val="0"/>
                <w:sz w:val="20"/>
              </w:rPr>
            </w:pPr>
            <w:r>
              <w:rPr>
                <w:rFonts w:ascii="Arial" w:eastAsia="Arial" w:hAnsi="Arial" w:cs="Arial"/>
                <w:b w:val="0"/>
                <w:i w:val="0"/>
                <w:sz w:val="20"/>
              </w:rPr>
              <w:t>Matthew Kirk</w:t>
            </w:r>
            <w:r>
              <w:rPr>
                <w:rFonts w:ascii="Arial" w:eastAsia="Arial" w:hAnsi="Arial" w:cs="Arial"/>
                <w:b w:val="0"/>
                <w:i w:val="0"/>
                <w:sz w:val="20"/>
                <w:vertAlign w:val="superscript"/>
              </w:rPr>
              <w:t>(15)</w:t>
            </w:r>
          </w:p>
        </w:tc>
        <w:tc>
          <w:tcPr>
            <w:tcW w:w="1560" w:type="dxa"/>
            <w:tcBorders>
              <w:top w:val="nil"/>
              <w:left w:val="nil"/>
              <w:bottom w:val="nil"/>
              <w:right w:val="nil"/>
            </w:tcBorders>
            <w:shd w:val="clear" w:color="auto" w:fill="DFDDDE"/>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2,144</w:t>
            </w:r>
          </w:p>
        </w:tc>
        <w:tc>
          <w:tcPr>
            <w:tcW w:w="148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spacing w:before="0" w:after="0" w:line="288" w:lineRule="auto"/>
              <w:ind w:right="120"/>
              <w:jc w:val="right"/>
            </w:pPr>
            <w:r>
              <w:rPr>
                <w:rFonts w:ascii="Arial" w:eastAsia="Arial" w:hAnsi="Arial" w:cs="Arial"/>
                <w:b w:val="0"/>
                <w:i w:val="0"/>
                <w:color w:val="000000"/>
                <w:sz w:val="20"/>
                <w:u w:val="none"/>
              </w:rPr>
              <w:t>*</w:t>
            </w:r>
          </w:p>
        </w:tc>
      </w:tr>
      <w:tr>
        <w:tblPrEx>
          <w:tblW w:w="10260" w:type="dxa"/>
          <w:jc w:val="center"/>
          <w:tblLayout w:type="fixed"/>
          <w:tblCellMar>
            <w:left w:w="108" w:type="dxa"/>
            <w:right w:w="108" w:type="dxa"/>
          </w:tblCellMar>
        </w:tblPrEx>
        <w:trPr>
          <w:cantSplit/>
          <w:trHeight w:hRule="exact" w:val="285"/>
          <w:jc w:val="center"/>
        </w:trPr>
        <w:tc>
          <w:tcPr>
            <w:tcW w:w="721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90" w:right="0" w:firstLine="0"/>
              <w:jc w:val="left"/>
              <w:outlineLvl w:val="9"/>
              <w:rPr>
                <w:rFonts w:ascii="Arial" w:eastAsia="Arial" w:hAnsi="Arial" w:cs="Arial"/>
                <w:b w:val="0"/>
                <w:i w:val="0"/>
                <w:sz w:val="20"/>
              </w:rPr>
            </w:pPr>
            <w:r>
              <w:rPr>
                <w:rFonts w:ascii="Arial" w:eastAsia="Arial" w:hAnsi="Arial" w:cs="Arial"/>
                <w:b w:val="0"/>
                <w:i w:val="0"/>
                <w:sz w:val="20"/>
              </w:rPr>
              <w:t>Susan L. Cross</w:t>
            </w:r>
            <w:r>
              <w:rPr>
                <w:rFonts w:ascii="Arial" w:eastAsia="Arial" w:hAnsi="Arial" w:cs="Arial"/>
                <w:b w:val="0"/>
                <w:i w:val="0"/>
                <w:sz w:val="20"/>
                <w:vertAlign w:val="superscript"/>
              </w:rPr>
              <w:t>(16)</w:t>
            </w:r>
          </w:p>
        </w:tc>
        <w:tc>
          <w:tcPr>
            <w:tcW w:w="156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1,929</w:t>
            </w:r>
          </w:p>
        </w:tc>
        <w:tc>
          <w:tcPr>
            <w:tcW w:w="148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spacing w:before="0" w:after="0" w:line="288" w:lineRule="auto"/>
              <w:ind w:right="120"/>
              <w:jc w:val="right"/>
            </w:pPr>
            <w:r>
              <w:rPr>
                <w:rFonts w:ascii="Arial" w:eastAsia="Arial" w:hAnsi="Arial" w:cs="Arial"/>
                <w:b w:val="0"/>
                <w:i w:val="0"/>
                <w:color w:val="000000"/>
                <w:sz w:val="20"/>
                <w:u w:val="none"/>
              </w:rPr>
              <w:t>*</w:t>
            </w:r>
          </w:p>
        </w:tc>
      </w:tr>
      <w:tr>
        <w:tblPrEx>
          <w:tblW w:w="10260" w:type="dxa"/>
          <w:jc w:val="center"/>
          <w:tblLayout w:type="fixed"/>
          <w:tblCellMar>
            <w:left w:w="108" w:type="dxa"/>
            <w:right w:w="108" w:type="dxa"/>
          </w:tblCellMar>
        </w:tblPrEx>
        <w:trPr>
          <w:cantSplit/>
          <w:trHeight w:hRule="exact" w:val="285"/>
          <w:jc w:val="center"/>
        </w:trPr>
        <w:tc>
          <w:tcPr>
            <w:tcW w:w="721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numPr>
                <w:ilvl w:val="0"/>
                <w:numId w:val="0"/>
              </w:numPr>
              <w:spacing w:before="0" w:after="0" w:line="240" w:lineRule="auto"/>
              <w:ind w:left="90" w:right="0" w:firstLine="0"/>
              <w:jc w:val="left"/>
              <w:outlineLvl w:val="9"/>
              <w:rPr>
                <w:rFonts w:ascii="Arial" w:eastAsia="Arial" w:hAnsi="Arial" w:cs="Arial"/>
                <w:b w:val="0"/>
                <w:i w:val="0"/>
                <w:sz w:val="20"/>
              </w:rPr>
            </w:pPr>
            <w:r>
              <w:rPr>
                <w:rFonts w:ascii="Arial" w:eastAsia="Arial" w:hAnsi="Arial" w:cs="Arial"/>
                <w:b w:val="0"/>
                <w:i w:val="0"/>
                <w:sz w:val="20"/>
              </w:rPr>
              <w:t>David Ni</w:t>
            </w:r>
            <w:r>
              <w:rPr>
                <w:rFonts w:ascii="Arial" w:eastAsia="Arial" w:hAnsi="Arial" w:cs="Arial"/>
                <w:b w:val="0"/>
                <w:i w:val="0"/>
                <w:sz w:val="20"/>
                <w:vertAlign w:val="superscript"/>
              </w:rPr>
              <w:t>(17)</w:t>
            </w:r>
          </w:p>
        </w:tc>
        <w:tc>
          <w:tcPr>
            <w:tcW w:w="1560" w:type="dxa"/>
            <w:tcBorders>
              <w:top w:val="nil"/>
              <w:left w:val="nil"/>
              <w:bottom w:val="nil"/>
              <w:right w:val="nil"/>
            </w:tcBorders>
            <w:shd w:val="clear" w:color="auto" w:fill="DFDDDE"/>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20"/>
                <w:u w:val="none"/>
              </w:rPr>
              <w:t>1,610</w:t>
            </w:r>
          </w:p>
        </w:tc>
        <w:tc>
          <w:tcPr>
            <w:tcW w:w="148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spacing w:before="0" w:after="0" w:line="288" w:lineRule="auto"/>
              <w:ind w:right="120"/>
              <w:jc w:val="right"/>
            </w:pPr>
            <w:r>
              <w:rPr>
                <w:rFonts w:ascii="Arial" w:eastAsia="Arial" w:hAnsi="Arial" w:cs="Arial"/>
                <w:b w:val="0"/>
                <w:i w:val="0"/>
                <w:color w:val="000000"/>
                <w:sz w:val="20"/>
                <w:u w:val="none"/>
              </w:rPr>
              <w:t>*</w:t>
            </w:r>
          </w:p>
        </w:tc>
      </w:tr>
      <w:tr>
        <w:tblPrEx>
          <w:tblW w:w="10260" w:type="dxa"/>
          <w:jc w:val="center"/>
          <w:tblLayout w:type="fixed"/>
          <w:tblCellMar>
            <w:left w:w="108" w:type="dxa"/>
            <w:right w:w="108" w:type="dxa"/>
          </w:tblCellMar>
        </w:tblPrEx>
        <w:trPr>
          <w:cantSplit/>
          <w:trHeight w:hRule="exact" w:val="285"/>
          <w:jc w:val="center"/>
        </w:trPr>
        <w:tc>
          <w:tcPr>
            <w:tcW w:w="7215" w:type="dxa"/>
            <w:tcBorders>
              <w:top w:val="nil"/>
              <w:left w:val="nil"/>
              <w:bottom w:val="nil"/>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40" w:lineRule="auto"/>
              <w:ind w:left="90" w:right="0" w:firstLine="0"/>
              <w:jc w:val="left"/>
              <w:outlineLvl w:val="9"/>
              <w:rPr>
                <w:rFonts w:ascii="Arial" w:eastAsia="Arial" w:hAnsi="Arial" w:cs="Arial"/>
                <w:b w:val="0"/>
                <w:i w:val="0"/>
                <w:sz w:val="20"/>
              </w:rPr>
            </w:pPr>
            <w:r>
              <w:rPr>
                <w:rFonts w:ascii="Arial" w:eastAsia="Arial" w:hAnsi="Arial" w:cs="Arial"/>
                <w:b w:val="0"/>
                <w:i w:val="0"/>
                <w:sz w:val="20"/>
              </w:rPr>
              <w:t>Sharon A. Beesley</w:t>
            </w:r>
            <w:r>
              <w:rPr>
                <w:rFonts w:ascii="Arial" w:eastAsia="Arial" w:hAnsi="Arial" w:cs="Arial"/>
                <w:b w:val="0"/>
                <w:i w:val="0"/>
                <w:sz w:val="20"/>
                <w:vertAlign w:val="superscript"/>
              </w:rPr>
              <w:t>(18)</w:t>
            </w:r>
          </w:p>
        </w:tc>
        <w:tc>
          <w:tcPr>
            <w:tcW w:w="1560" w:type="dxa"/>
            <w:tcBorders>
              <w:top w:val="nil"/>
              <w:left w:val="nil"/>
              <w:bottom w:val="nil"/>
              <w:right w:val="nil"/>
            </w:tcBorders>
            <w:shd w:val="clear" w:color="auto" w:fill="FFFFFF"/>
            <w:tcMar>
              <w:top w:w="0" w:type="dxa"/>
              <w:left w:w="53" w:type="dxa"/>
              <w:bottom w:w="0" w:type="dxa"/>
              <w:right w:w="15" w:type="dxa"/>
            </w:tcMar>
            <w:vAlign w:val="center"/>
          </w:tcPr>
          <w:p>
            <w:pPr>
              <w:keepNext/>
              <w:pageBreakBefore w:val="0"/>
              <w:spacing w:before="0" w:after="0" w:line="240" w:lineRule="auto"/>
              <w:jc w:val="center"/>
            </w:pPr>
            <w:r>
              <w:rPr>
                <w:rFonts w:ascii="Arial" w:eastAsia="Arial" w:hAnsi="Arial" w:cs="Arial"/>
                <w:b w:val="0"/>
                <w:i w:val="0"/>
                <w:color w:val="000000"/>
                <w:sz w:val="20"/>
                <w:u w:val="none"/>
              </w:rPr>
              <w:t>1,427</w:t>
            </w:r>
          </w:p>
        </w:tc>
        <w:tc>
          <w:tcPr>
            <w:tcW w:w="1485" w:type="dxa"/>
            <w:tcBorders>
              <w:top w:val="nil"/>
              <w:left w:val="nil"/>
              <w:bottom w:val="nil"/>
              <w:right w:val="nil"/>
            </w:tcBorders>
            <w:shd w:val="clear" w:color="auto" w:fill="FFFFFF"/>
            <w:tcMar>
              <w:top w:w="0" w:type="dxa"/>
              <w:left w:w="0" w:type="dxa"/>
              <w:bottom w:w="0" w:type="dxa"/>
              <w:right w:w="15" w:type="dxa"/>
            </w:tcMar>
            <w:vAlign w:val="center"/>
          </w:tcPr>
          <w:p>
            <w:pPr>
              <w:keepNext/>
              <w:pageBreakBefore w:val="0"/>
              <w:spacing w:before="0" w:after="0" w:line="288" w:lineRule="auto"/>
              <w:ind w:right="120"/>
              <w:jc w:val="right"/>
            </w:pPr>
            <w:r>
              <w:rPr>
                <w:rFonts w:ascii="Arial" w:eastAsia="Arial" w:hAnsi="Arial" w:cs="Arial"/>
                <w:b w:val="0"/>
                <w:i w:val="0"/>
                <w:color w:val="000000"/>
                <w:sz w:val="20"/>
                <w:u w:val="none"/>
              </w:rPr>
              <w:t>*</w:t>
            </w:r>
          </w:p>
        </w:tc>
      </w:tr>
      <w:tr>
        <w:tblPrEx>
          <w:tblW w:w="10260" w:type="dxa"/>
          <w:jc w:val="center"/>
          <w:tblLayout w:type="fixed"/>
          <w:tblCellMar>
            <w:left w:w="108" w:type="dxa"/>
            <w:right w:w="108" w:type="dxa"/>
          </w:tblCellMar>
        </w:tblPrEx>
        <w:trPr>
          <w:cantSplit/>
          <w:trHeight w:hRule="exact" w:val="285"/>
          <w:jc w:val="center"/>
        </w:trPr>
        <w:tc>
          <w:tcPr>
            <w:tcW w:w="7215" w:type="dxa"/>
            <w:tcBorders>
              <w:top w:val="nil"/>
              <w:left w:val="nil"/>
              <w:bottom w:val="nil"/>
              <w:right w:val="nil"/>
            </w:tcBorders>
            <w:shd w:val="clear" w:color="auto" w:fill="DFDDDE"/>
            <w:tcMar>
              <w:top w:w="0" w:type="dxa"/>
              <w:left w:w="53" w:type="dxa"/>
              <w:bottom w:w="0" w:type="dxa"/>
              <w:right w:w="53" w:type="dxa"/>
            </w:tcMar>
            <w:vAlign w:val="center"/>
          </w:tcPr>
          <w:p>
            <w:pPr>
              <w:keepNext/>
              <w:pageBreakBefore w:val="0"/>
              <w:numPr>
                <w:ilvl w:val="0"/>
                <w:numId w:val="0"/>
              </w:numPr>
              <w:spacing w:before="0" w:after="0" w:line="240" w:lineRule="auto"/>
              <w:ind w:left="90" w:right="0" w:firstLine="0"/>
              <w:jc w:val="left"/>
              <w:outlineLvl w:val="9"/>
              <w:rPr>
                <w:rFonts w:ascii="Arial" w:eastAsia="Arial" w:hAnsi="Arial" w:cs="Arial"/>
                <w:b w:val="0"/>
                <w:i w:val="0"/>
                <w:sz w:val="20"/>
              </w:rPr>
            </w:pPr>
            <w:r>
              <w:rPr>
                <w:rFonts w:ascii="Arial" w:eastAsia="Arial" w:hAnsi="Arial" w:cs="Arial"/>
                <w:b w:val="0"/>
                <w:i w:val="0"/>
                <w:sz w:val="20"/>
              </w:rPr>
              <w:t>Poul A. Winslow</w:t>
            </w:r>
            <w:r>
              <w:rPr>
                <w:rFonts w:ascii="Arial" w:eastAsia="Arial" w:hAnsi="Arial" w:cs="Arial"/>
                <w:b w:val="0"/>
                <w:i w:val="0"/>
                <w:sz w:val="20"/>
                <w:vertAlign w:val="superscript"/>
              </w:rPr>
              <w:t>(19)</w:t>
            </w:r>
          </w:p>
        </w:tc>
        <w:tc>
          <w:tcPr>
            <w:tcW w:w="1560" w:type="dxa"/>
            <w:tcBorders>
              <w:top w:val="nil"/>
              <w:left w:val="nil"/>
              <w:bottom w:val="nil"/>
              <w:right w:val="nil"/>
            </w:tcBorders>
            <w:shd w:val="clear" w:color="auto" w:fill="DFDDDE"/>
            <w:tcMar>
              <w:top w:w="0" w:type="dxa"/>
              <w:left w:w="53" w:type="dxa"/>
              <w:bottom w:w="0" w:type="dxa"/>
              <w:right w:w="15" w:type="dxa"/>
            </w:tcMar>
            <w:vAlign w:val="center"/>
          </w:tcPr>
          <w:p>
            <w:pPr>
              <w:keepNext/>
              <w:pageBreakBefore w:val="0"/>
              <w:spacing w:before="0" w:after="0" w:line="288" w:lineRule="auto"/>
              <w:jc w:val="center"/>
            </w:pPr>
            <w:r>
              <w:rPr>
                <w:rFonts w:ascii="Arial" w:eastAsia="Arial" w:hAnsi="Arial" w:cs="Arial"/>
                <w:b w:val="0"/>
                <w:i w:val="0"/>
                <w:color w:val="000000"/>
                <w:sz w:val="20"/>
                <w:u w:val="none"/>
              </w:rPr>
              <w:t>809</w:t>
            </w:r>
          </w:p>
        </w:tc>
        <w:tc>
          <w:tcPr>
            <w:tcW w:w="1485" w:type="dxa"/>
            <w:tcBorders>
              <w:top w:val="nil"/>
              <w:left w:val="nil"/>
              <w:bottom w:val="nil"/>
              <w:right w:val="nil"/>
            </w:tcBorders>
            <w:shd w:val="clear" w:color="auto" w:fill="DFDDDE"/>
            <w:tcMar>
              <w:top w:w="0" w:type="dxa"/>
              <w:left w:w="0" w:type="dxa"/>
              <w:bottom w:w="0" w:type="dxa"/>
              <w:right w:w="15" w:type="dxa"/>
            </w:tcMar>
            <w:vAlign w:val="center"/>
          </w:tcPr>
          <w:p>
            <w:pPr>
              <w:keepNext/>
              <w:pageBreakBefore w:val="0"/>
              <w:spacing w:before="0" w:after="0" w:line="288" w:lineRule="auto"/>
              <w:ind w:right="120"/>
              <w:jc w:val="right"/>
            </w:pPr>
            <w:r>
              <w:rPr>
                <w:rFonts w:ascii="Arial" w:eastAsia="Arial" w:hAnsi="Arial" w:cs="Arial"/>
                <w:b w:val="0"/>
                <w:i w:val="0"/>
                <w:color w:val="000000"/>
                <w:sz w:val="20"/>
                <w:u w:val="none"/>
              </w:rPr>
              <w:t>*</w:t>
            </w:r>
          </w:p>
        </w:tc>
      </w:tr>
      <w:tr>
        <w:tblPrEx>
          <w:tblW w:w="10260" w:type="dxa"/>
          <w:jc w:val="center"/>
          <w:tblLayout w:type="fixed"/>
          <w:tblCellMar>
            <w:left w:w="108" w:type="dxa"/>
            <w:right w:w="108" w:type="dxa"/>
          </w:tblCellMar>
        </w:tblPrEx>
        <w:trPr>
          <w:cantSplit/>
          <w:trHeight w:hRule="exact" w:val="285"/>
          <w:jc w:val="center"/>
        </w:trPr>
        <w:tc>
          <w:tcPr>
            <w:tcW w:w="7215" w:type="dxa"/>
            <w:tcBorders>
              <w:top w:val="nil"/>
              <w:left w:val="nil"/>
              <w:bottom w:val="nil"/>
              <w:right w:val="nil"/>
            </w:tcBorders>
            <w:shd w:val="clear" w:color="auto" w:fill="FFFFFF"/>
            <w:tcMar>
              <w:top w:w="0" w:type="dxa"/>
              <w:left w:w="53" w:type="dxa"/>
              <w:bottom w:w="0" w:type="dxa"/>
              <w:right w:w="53" w:type="dxa"/>
            </w:tcMar>
            <w:vAlign w:val="center"/>
          </w:tcPr>
          <w:p>
            <w:pPr>
              <w:pageBreakBefore w:val="0"/>
              <w:numPr>
                <w:ilvl w:val="0"/>
                <w:numId w:val="0"/>
              </w:numPr>
              <w:spacing w:before="0" w:after="0" w:line="240" w:lineRule="auto"/>
              <w:ind w:left="90" w:right="0" w:firstLine="0"/>
              <w:jc w:val="left"/>
              <w:outlineLvl w:val="9"/>
              <w:rPr>
                <w:rFonts w:ascii="Arial" w:eastAsia="Arial" w:hAnsi="Arial" w:cs="Arial"/>
                <w:b w:val="0"/>
                <w:i w:val="0"/>
                <w:sz w:val="20"/>
              </w:rPr>
            </w:pPr>
            <w:r>
              <w:rPr>
                <w:rFonts w:ascii="Arial" w:eastAsia="Arial" w:hAnsi="Arial" w:cs="Arial"/>
                <w:b w:val="0"/>
                <w:i w:val="0"/>
                <w:sz w:val="20"/>
              </w:rPr>
              <w:t>All Current Executive Officers and Directors as a group (19 persons)</w:t>
            </w:r>
            <w:r>
              <w:rPr>
                <w:rFonts w:ascii="Arial" w:eastAsia="Arial" w:hAnsi="Arial" w:cs="Arial"/>
                <w:b w:val="0"/>
                <w:i w:val="0"/>
                <w:sz w:val="20"/>
                <w:vertAlign w:val="superscript"/>
              </w:rPr>
              <w:t>(20)</w:t>
            </w:r>
          </w:p>
        </w:tc>
        <w:tc>
          <w:tcPr>
            <w:tcW w:w="1560" w:type="dxa"/>
            <w:tcBorders>
              <w:top w:val="nil"/>
              <w:left w:val="nil"/>
              <w:bottom w:val="nil"/>
              <w:right w:val="nil"/>
            </w:tcBorders>
            <w:shd w:val="clear" w:color="auto" w:fill="FFFFFF"/>
            <w:tcMar>
              <w:top w:w="0" w:type="dxa"/>
              <w:left w:w="53" w:type="dxa"/>
              <w:bottom w:w="0" w:type="dxa"/>
              <w:right w:w="15" w:type="dxa"/>
            </w:tcMar>
            <w:vAlign w:val="center"/>
          </w:tcPr>
          <w:p>
            <w:pPr>
              <w:pageBreakBefore w:val="0"/>
              <w:spacing w:before="0" w:after="0" w:line="288" w:lineRule="auto"/>
              <w:jc w:val="center"/>
            </w:pPr>
            <w:r>
              <w:rPr>
                <w:rFonts w:ascii="Arial" w:eastAsia="Arial" w:hAnsi="Arial" w:cs="Arial"/>
                <w:b w:val="0"/>
                <w:i w:val="0"/>
                <w:color w:val="000000"/>
                <w:sz w:val="20"/>
                <w:u w:val="none"/>
              </w:rPr>
              <w:t>1,224,462</w:t>
            </w:r>
          </w:p>
        </w:tc>
        <w:tc>
          <w:tcPr>
            <w:tcW w:w="1485" w:type="dxa"/>
            <w:tcBorders>
              <w:top w:val="nil"/>
              <w:left w:val="nil"/>
              <w:bottom w:val="nil"/>
              <w:right w:val="nil"/>
            </w:tcBorders>
            <w:shd w:val="clear" w:color="auto" w:fill="FFFFFF"/>
            <w:tcMar>
              <w:top w:w="0" w:type="dxa"/>
              <w:left w:w="0" w:type="dxa"/>
              <w:bottom w:w="0" w:type="dxa"/>
              <w:right w:w="15" w:type="dxa"/>
            </w:tcMar>
            <w:vAlign w:val="center"/>
          </w:tcPr>
          <w:p>
            <w:pPr>
              <w:pageBreakBefore w:val="0"/>
              <w:tabs>
                <w:tab w:val="left" w:pos="1"/>
                <w:tab w:val="left" w:pos="281"/>
              </w:tabs>
              <w:spacing w:before="0" w:after="0" w:line="288" w:lineRule="auto"/>
              <w:ind w:right="120"/>
              <w:jc w:val="right"/>
            </w:pPr>
            <w:r>
              <w:rPr>
                <w:rFonts w:ascii="Arial" w:eastAsia="Arial" w:hAnsi="Arial" w:cs="Arial"/>
                <w:b w:val="0"/>
                <w:i w:val="0"/>
                <w:color w:val="000000"/>
                <w:sz w:val="20"/>
                <w:u w:val="none"/>
              </w:rPr>
              <w:tab/>
              <w:t>8.0</w:t>
              <w:tab/>
              <w:t>%</w:t>
            </w:r>
          </w:p>
        </w:tc>
      </w:tr>
    </w:tbl>
    <w:p>
      <w:pPr>
        <w:keepNext w:val="0"/>
        <w:keepLines w:val="0"/>
        <w:pageBreakBefore w:val="0"/>
        <w:widowControl/>
        <w:numPr>
          <w:ilvl w:val="0"/>
          <w:numId w:val="0"/>
        </w:numPr>
        <w:spacing w:before="120" w:after="60" w:line="288" w:lineRule="auto"/>
        <w:ind w:left="0" w:right="0" w:firstLine="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Less than 1%</w:t>
      </w:r>
    </w:p>
    <w:p>
      <w:pPr>
        <w:keepNext w:val="0"/>
        <w:keepLines w:val="0"/>
        <w:pageBreakBefore w:val="0"/>
        <w:widowControl/>
        <w:numPr>
          <w:ilvl w:val="0"/>
          <w:numId w:val="337"/>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Based on information</w:t>
      </w:r>
      <w:r>
        <w:rPr>
          <w:rFonts w:ascii="Arial" w:eastAsia="Arial" w:hAnsi="Arial" w:cs="Arial"/>
          <w:b w:val="0"/>
          <w:i w:val="0"/>
          <w:color w:val="969698"/>
          <w:sz w:val="16"/>
          <w:u w:val="none"/>
        </w:rPr>
        <w:t xml:space="preserve"> known to the C</w:t>
      </w:r>
      <w:r>
        <w:rPr>
          <w:rFonts w:ascii="Arial" w:eastAsia="Arial" w:hAnsi="Arial" w:cs="Arial"/>
          <w:b w:val="0"/>
          <w:i w:val="0"/>
          <w:color w:val="969698"/>
          <w:sz w:val="16"/>
          <w:u w:val="none"/>
        </w:rPr>
        <w:t>o</w:t>
      </w:r>
      <w:r>
        <w:rPr>
          <w:rFonts w:ascii="Arial" w:eastAsia="Arial" w:hAnsi="Arial" w:cs="Arial"/>
          <w:b w:val="0"/>
          <w:i w:val="0"/>
          <w:color w:val="969698"/>
          <w:sz w:val="16"/>
          <w:u w:val="none"/>
        </w:rPr>
        <w:t>mpany and information</w:t>
      </w:r>
      <w:r>
        <w:rPr>
          <w:rFonts w:ascii="Arial" w:eastAsia="Arial" w:hAnsi="Arial" w:cs="Arial"/>
          <w:b w:val="0"/>
          <w:i w:val="0"/>
          <w:color w:val="969698"/>
          <w:sz w:val="16"/>
          <w:u w:val="none"/>
        </w:rPr>
        <w:t xml:space="preserve"> provided in a Schedule 13D/A filed jointly on May 13, 2022</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by Trident V, L.P. (“Trident V”), Trident Capital V, L.P. (“Trident V GP”), Trident V Parallel Fund, L.P. (“Trident V Parallel”), Trident Capital V-PF, L.P. (“Trident V Parallel GP”), Trident V Professionals Fund, L.P. (“Trident V Professionals” and, together with Trident V and Trident V Parallel, the “Trident V Funds”), Stone Point GP Ltd. (“Trident V Professionals GP” and, together with Trident V GP and Trident V Parallel GP, the “Trident V GPs”) (collectively, the “Stone Point Partnerships”), Stone Point Capital LLC (“Stone Point”), Trident Public Equity LP (“TPE LP”) and Trident Public Equity GP LLC ("TPE GP"). Each of the following persons may be deemed to beneficially own an aggregate of the </w:t>
      </w:r>
      <w:r>
        <w:rPr>
          <w:rFonts w:ascii="Arial" w:eastAsia="Arial" w:hAnsi="Arial" w:cs="Arial"/>
          <w:b w:val="0"/>
          <w:i w:val="0"/>
          <w:color w:val="969698"/>
          <w:sz w:val="16"/>
          <w:u w:val="none"/>
        </w:rPr>
        <w:t>1,451,196</w:t>
      </w:r>
      <w:r>
        <w:rPr>
          <w:rFonts w:ascii="Arial" w:eastAsia="Arial" w:hAnsi="Arial" w:cs="Arial"/>
          <w:b w:val="0"/>
          <w:i w:val="0"/>
          <w:color w:val="969698"/>
          <w:sz w:val="16"/>
          <w:u w:val="none"/>
        </w:rPr>
        <w:t xml:space="preserve"> Ordinary Shares held by or held for TPE LP: (i) each of the Trident V Funds, which has shared voting and dispositive power with respect to such shares; (ii) Trident V GP, in its capacity as sole general partner of Trident V; (iii) Trident V Parallel GP, in its capacity as sole general partner of Trident V Parallel; (iv) Trident V Professionals GP, in its capacity as sole general partner of Trident V Professionals; (v) Stone Point, in its capacity as the manager of each of the Trident V Funds; and (vi) TPE GP, in its capacity as sole general partner of TPE LP. James Carey, a member of our Board, is a member and Managing Director of Stone Point, an owner of one of four general partners of each of Trident V GP and Trident V Parallel GP, and a shareholder and director of Trident V Professionals GP. See footnote </w:t>
      </w:r>
      <w:r>
        <w:rPr>
          <w:rFonts w:ascii="Arial" w:eastAsia="Arial" w:hAnsi="Arial" w:cs="Arial"/>
          <w:b w:val="0"/>
          <w:i w:val="0"/>
          <w:color w:val="969698"/>
          <w:sz w:val="16"/>
          <w:u w:val="none"/>
        </w:rPr>
        <w:t>10</w:t>
      </w:r>
      <w:r>
        <w:rPr>
          <w:rFonts w:ascii="Arial" w:eastAsia="Arial" w:hAnsi="Arial" w:cs="Arial"/>
          <w:b w:val="0"/>
          <w:i w:val="0"/>
          <w:color w:val="969698"/>
          <w:sz w:val="16"/>
          <w:u w:val="none"/>
        </w:rPr>
        <w:t xml:space="preserve"> with respect to </w:t>
      </w:r>
      <w:r>
        <w:rPr>
          <w:rFonts w:ascii="Arial" w:eastAsia="Arial" w:hAnsi="Arial" w:cs="Arial"/>
          <w:b w:val="0"/>
          <w:i w:val="0"/>
          <w:color w:val="969698"/>
          <w:sz w:val="16"/>
          <w:u w:val="none"/>
        </w:rPr>
        <w:t>9,493</w:t>
      </w:r>
      <w:r>
        <w:rPr>
          <w:rFonts w:ascii="Arial" w:eastAsia="Arial" w:hAnsi="Arial" w:cs="Arial"/>
          <w:b w:val="0"/>
          <w:i w:val="0"/>
          <w:color w:val="969698"/>
          <w:sz w:val="16"/>
          <w:u w:val="none"/>
        </w:rPr>
        <w:t xml:space="preserve"> ordinary shares issuable to Mr. Carey pursuant to the Deferred Compensation Plan and not included in Stone Point’s total reported holdings of </w:t>
      </w:r>
      <w:r>
        <w:rPr>
          <w:rFonts w:ascii="Arial" w:eastAsia="Arial" w:hAnsi="Arial" w:cs="Arial"/>
          <w:b w:val="0"/>
          <w:i w:val="0"/>
          <w:color w:val="969698"/>
          <w:sz w:val="16"/>
          <w:u w:val="none"/>
        </w:rPr>
        <w:t>1,451,196</w:t>
      </w:r>
      <w:r>
        <w:rPr>
          <w:rFonts w:ascii="Arial" w:eastAsia="Arial" w:hAnsi="Arial" w:cs="Arial"/>
          <w:b w:val="0"/>
          <w:i w:val="0"/>
          <w:color w:val="969698"/>
          <w:sz w:val="16"/>
          <w:u w:val="none"/>
        </w:rPr>
        <w:t xml:space="preserve"> shares. Although these share units accrue to Mr. Carey personally, he holds these share units solely for the benefit of Stone Point, which may be deemed an indirect beneficial owner. The principal address for each Stone Point entity is c/o Stone Point at its principal address, which is 20 Horseneck Lane, Greenwich, CT 06830.</w:t>
      </w:r>
    </w:p>
    <w:p>
      <w:pPr>
        <w:keepNext w:val="0"/>
        <w:keepLines w:val="0"/>
        <w:pageBreakBefore w:val="0"/>
        <w:widowControl/>
        <w:numPr>
          <w:ilvl w:val="0"/>
          <w:numId w:val="337"/>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Based on information provided in a Schedule 13G/A filed on February </w:t>
      </w:r>
      <w:r>
        <w:rPr>
          <w:rFonts w:ascii="Arial" w:eastAsia="Arial" w:hAnsi="Arial" w:cs="Arial"/>
          <w:b w:val="0"/>
          <w:i w:val="0"/>
          <w:color w:val="969698"/>
          <w:sz w:val="16"/>
          <w:u w:val="none"/>
        </w:rPr>
        <w:t>13</w:t>
      </w:r>
      <w:r>
        <w:rPr>
          <w:rFonts w:ascii="Arial" w:eastAsia="Arial" w:hAnsi="Arial" w:cs="Arial"/>
          <w:b w:val="0"/>
          <w:i w:val="0"/>
          <w:color w:val="969698"/>
          <w:sz w:val="16"/>
          <w:u w:val="none"/>
        </w:rPr>
        <w:t>, 202</w:t>
      </w:r>
      <w:r>
        <w:rPr>
          <w:rFonts w:ascii="Arial" w:eastAsia="Arial" w:hAnsi="Arial" w:cs="Arial"/>
          <w:b w:val="0"/>
          <w:i w:val="0"/>
          <w:color w:val="969698"/>
          <w:sz w:val="16"/>
          <w:u w:val="none"/>
        </w:rPr>
        <w:t>4</w:t>
      </w:r>
      <w:r>
        <w:rPr>
          <w:rFonts w:ascii="Arial" w:eastAsia="Arial" w:hAnsi="Arial" w:cs="Arial"/>
          <w:b w:val="0"/>
          <w:i w:val="0"/>
          <w:color w:val="969698"/>
          <w:sz w:val="16"/>
          <w:u w:val="none"/>
        </w:rPr>
        <w:t xml:space="preserve"> by The Vanguard Group ("Vanguard"). Vanguard has shared</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voting power over 11,</w:t>
      </w:r>
      <w:r>
        <w:rPr>
          <w:rFonts w:ascii="Arial" w:eastAsia="Arial" w:hAnsi="Arial" w:cs="Arial"/>
          <w:b w:val="0"/>
          <w:i w:val="0"/>
          <w:color w:val="969698"/>
          <w:sz w:val="16"/>
          <w:u w:val="none"/>
        </w:rPr>
        <w:t>296</w:t>
      </w:r>
      <w:r>
        <w:rPr>
          <w:rFonts w:ascii="Arial" w:eastAsia="Arial" w:hAnsi="Arial" w:cs="Arial"/>
          <w:b w:val="0"/>
          <w:i w:val="0"/>
          <w:color w:val="969698"/>
          <w:sz w:val="16"/>
          <w:u w:val="none"/>
        </w:rPr>
        <w:t xml:space="preserve"> shares, sole dispositive power over 1,</w:t>
      </w:r>
      <w:r>
        <w:rPr>
          <w:rFonts w:ascii="Arial" w:eastAsia="Arial" w:hAnsi="Arial" w:cs="Arial"/>
          <w:b w:val="0"/>
          <w:i w:val="0"/>
          <w:color w:val="969698"/>
          <w:sz w:val="16"/>
          <w:u w:val="none"/>
        </w:rPr>
        <w:t>263,080</w:t>
      </w:r>
      <w:r>
        <w:rPr>
          <w:rFonts w:ascii="Arial" w:eastAsia="Arial" w:hAnsi="Arial" w:cs="Arial"/>
          <w:b w:val="0"/>
          <w:i w:val="0"/>
          <w:color w:val="969698"/>
          <w:sz w:val="16"/>
          <w:u w:val="none"/>
        </w:rPr>
        <w:t xml:space="preserve"> shares and shared dispositive power over </w:t>
      </w:r>
      <w:r>
        <w:rPr>
          <w:rFonts w:ascii="Arial" w:eastAsia="Arial" w:hAnsi="Arial" w:cs="Arial"/>
          <w:b w:val="0"/>
          <w:i w:val="0"/>
          <w:color w:val="969698"/>
          <w:sz w:val="16"/>
          <w:u w:val="none"/>
        </w:rPr>
        <w:t>24,216</w:t>
      </w:r>
      <w:r>
        <w:rPr>
          <w:rFonts w:ascii="Arial" w:eastAsia="Arial" w:hAnsi="Arial" w:cs="Arial"/>
          <w:b w:val="0"/>
          <w:i w:val="0"/>
          <w:color w:val="969698"/>
          <w:sz w:val="16"/>
          <w:u w:val="none"/>
        </w:rPr>
        <w:t xml:space="preserve"> shares. The principal address for Vanguard is 100 Vanguard Blvd., Malvern, PA 19355.</w:t>
      </w:r>
    </w:p>
    <w:p>
      <w:pPr>
        <w:keepNext w:val="0"/>
        <w:keepLines w:val="0"/>
        <w:pageBreakBefore w:val="0"/>
        <w:widowControl/>
        <w:numPr>
          <w:ilvl w:val="0"/>
          <w:numId w:val="337"/>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Based on information provided in a Schedule 13G filed on February </w:t>
      </w:r>
      <w:r>
        <w:rPr>
          <w:rFonts w:ascii="Arial" w:eastAsia="Arial" w:hAnsi="Arial" w:cs="Arial"/>
          <w:b w:val="0"/>
          <w:i w:val="0"/>
          <w:color w:val="969698"/>
          <w:sz w:val="16"/>
          <w:u w:val="none"/>
        </w:rPr>
        <w:t>2</w:t>
      </w:r>
      <w:r>
        <w:rPr>
          <w:rFonts w:ascii="Arial" w:eastAsia="Arial" w:hAnsi="Arial" w:cs="Arial"/>
          <w:b w:val="0"/>
          <w:i w:val="0"/>
          <w:color w:val="969698"/>
          <w:sz w:val="16"/>
          <w:u w:val="none"/>
        </w:rPr>
        <w:t>, 202</w:t>
      </w:r>
      <w:r>
        <w:rPr>
          <w:rFonts w:ascii="Arial" w:eastAsia="Arial" w:hAnsi="Arial" w:cs="Arial"/>
          <w:b w:val="0"/>
          <w:i w:val="0"/>
          <w:color w:val="969698"/>
          <w:sz w:val="16"/>
          <w:u w:val="none"/>
        </w:rPr>
        <w:t>4</w:t>
      </w:r>
      <w:r>
        <w:rPr>
          <w:rFonts w:ascii="Arial" w:eastAsia="Arial" w:hAnsi="Arial" w:cs="Arial"/>
          <w:b w:val="0"/>
          <w:i w:val="0"/>
          <w:color w:val="969698"/>
          <w:sz w:val="16"/>
          <w:u w:val="none"/>
        </w:rPr>
        <w:t xml:space="preserve"> by BlackRock, Inc. ("BlackRock"). BlackRock has sole voting power over </w:t>
      </w:r>
      <w:r>
        <w:rPr>
          <w:rFonts w:ascii="Arial" w:eastAsia="Arial" w:hAnsi="Arial" w:cs="Arial"/>
          <w:b w:val="0"/>
          <w:i w:val="0"/>
          <w:color w:val="969698"/>
          <w:sz w:val="16"/>
          <w:u w:val="none"/>
        </w:rPr>
        <w:t>92</w:t>
      </w:r>
      <w:r>
        <w:rPr>
          <w:rFonts w:ascii="Arial" w:eastAsia="Arial" w:hAnsi="Arial" w:cs="Arial"/>
          <w:b w:val="0"/>
          <w:i w:val="0"/>
          <w:color w:val="969698"/>
          <w:sz w:val="16"/>
          <w:u w:val="none"/>
        </w:rPr>
        <w:t>3,872</w:t>
      </w:r>
      <w:r>
        <w:rPr>
          <w:rFonts w:ascii="Arial" w:eastAsia="Arial" w:hAnsi="Arial" w:cs="Arial"/>
          <w:b w:val="0"/>
          <w:i w:val="0"/>
          <w:color w:val="969698"/>
          <w:sz w:val="16"/>
          <w:u w:val="none"/>
        </w:rPr>
        <w:t xml:space="preserve"> shares and sole dispositive power over </w:t>
      </w:r>
      <w:r>
        <w:rPr>
          <w:rFonts w:ascii="Arial" w:eastAsia="Arial" w:hAnsi="Arial" w:cs="Arial"/>
          <w:b w:val="0"/>
          <w:i w:val="0"/>
          <w:color w:val="969698"/>
          <w:sz w:val="16"/>
          <w:u w:val="none"/>
        </w:rPr>
        <w:t>950,827</w:t>
      </w:r>
      <w:r>
        <w:rPr>
          <w:rFonts w:ascii="Arial" w:eastAsia="Arial" w:hAnsi="Arial" w:cs="Arial"/>
          <w:b w:val="0"/>
          <w:i w:val="0"/>
          <w:color w:val="969698"/>
          <w:sz w:val="16"/>
          <w:u w:val="none"/>
        </w:rPr>
        <w:t xml:space="preserve"> shares. The principal address for BlackRock is </w:t>
      </w:r>
      <w:r>
        <w:rPr>
          <w:rFonts w:ascii="Arial" w:eastAsia="Arial" w:hAnsi="Arial" w:cs="Arial"/>
          <w:b w:val="0"/>
          <w:i w:val="0"/>
          <w:color w:val="969698"/>
          <w:sz w:val="16"/>
          <w:u w:val="none"/>
        </w:rPr>
        <w:t xml:space="preserve">50 Hudson </w:t>
      </w:r>
      <w:r>
        <w:rPr>
          <w:rFonts w:ascii="Arial" w:eastAsia="Arial" w:hAnsi="Arial" w:cs="Arial"/>
          <w:b w:val="0"/>
          <w:i w:val="0"/>
          <w:color w:val="969698"/>
          <w:sz w:val="16"/>
          <w:u w:val="none"/>
        </w:rPr>
        <w:t>Yards</w:t>
      </w:r>
      <w:r>
        <w:rPr>
          <w:rFonts w:ascii="Arial" w:eastAsia="Arial" w:hAnsi="Arial" w:cs="Arial"/>
          <w:b w:val="0"/>
          <w:i w:val="0"/>
          <w:color w:val="969698"/>
          <w:sz w:val="16"/>
          <w:u w:val="none"/>
        </w:rPr>
        <w:t>, New York, NY 100</w:t>
      </w:r>
      <w:r>
        <w:rPr>
          <w:rFonts w:ascii="Arial" w:eastAsia="Arial" w:hAnsi="Arial" w:cs="Arial"/>
          <w:b w:val="0"/>
          <w:i w:val="0"/>
          <w:color w:val="969698"/>
          <w:sz w:val="16"/>
          <w:u w:val="none"/>
        </w:rPr>
        <w:t>0</w:t>
      </w:r>
      <w:r>
        <w:rPr>
          <w:rFonts w:ascii="Arial" w:eastAsia="Arial" w:hAnsi="Arial" w:cs="Arial"/>
          <w:b w:val="0"/>
          <w:i w:val="0"/>
          <w:color w:val="969698"/>
          <w:sz w:val="16"/>
          <w:u w:val="none"/>
        </w:rPr>
        <w:t>1</w:t>
      </w:r>
      <w:r>
        <w:rPr>
          <w:rFonts w:ascii="Arial" w:eastAsia="Arial" w:hAnsi="Arial" w:cs="Arial"/>
          <w:b w:val="0"/>
          <w:i w:val="0"/>
          <w:color w:val="969698"/>
          <w:sz w:val="16"/>
          <w:u w:val="none"/>
        </w:rPr>
        <w:t>.</w:t>
      </w:r>
    </w:p>
    <w:p>
      <w:pPr>
        <w:keepNext w:val="0"/>
        <w:keepLines w:val="0"/>
        <w:pageBreakBefore w:val="0"/>
        <w:widowControl/>
        <w:numPr>
          <w:ilvl w:val="0"/>
          <w:numId w:val="337"/>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Consists of (a) </w:t>
      </w:r>
      <w:r>
        <w:rPr>
          <w:rFonts w:ascii="Arial" w:eastAsia="Arial" w:hAnsi="Arial" w:cs="Arial"/>
          <w:b w:val="0"/>
          <w:i w:val="0"/>
          <w:color w:val="969698"/>
          <w:sz w:val="16"/>
          <w:u w:val="none"/>
        </w:rPr>
        <w:t>149,204</w:t>
      </w:r>
      <w:r>
        <w:rPr>
          <w:rFonts w:ascii="Arial" w:eastAsia="Arial" w:hAnsi="Arial" w:cs="Arial"/>
          <w:b w:val="0"/>
          <w:i w:val="0"/>
          <w:color w:val="969698"/>
          <w:sz w:val="16"/>
          <w:u w:val="none"/>
        </w:rPr>
        <w:t xml:space="preserve"> ordinary shares held directly by Mr. Silvester and (b) </w:t>
      </w:r>
      <w:r>
        <w:rPr>
          <w:rFonts w:ascii="Arial" w:eastAsia="Arial" w:hAnsi="Arial" w:cs="Arial"/>
          <w:b w:val="0"/>
          <w:i w:val="0"/>
          <w:color w:val="969698"/>
          <w:sz w:val="16"/>
          <w:u w:val="none"/>
        </w:rPr>
        <w:t>509,168 shares held indirectly by Rock Pigeon Limited</w:t>
      </w:r>
      <w:r>
        <w:rPr>
          <w:rFonts w:ascii="Arial" w:eastAsia="Arial" w:hAnsi="Arial" w:cs="Arial"/>
          <w:b w:val="0"/>
          <w:i w:val="0"/>
          <w:color w:val="969698"/>
          <w:sz w:val="16"/>
          <w:u w:val="none"/>
        </w:rPr>
        <w:t xml:space="preserve">, a Guernsey company wholly owned by Mr. Silvester. Does not include Mr. Silvester's Joint Share Ownership Interest in </w:t>
      </w:r>
      <w:r>
        <w:rPr>
          <w:rFonts w:ascii="Arial" w:eastAsia="Arial" w:hAnsi="Arial" w:cs="Arial"/>
          <w:b w:val="0"/>
          <w:i w:val="0"/>
          <w:color w:val="969698"/>
          <w:sz w:val="16"/>
          <w:u w:val="none"/>
        </w:rPr>
        <w:t>565,630</w:t>
      </w:r>
      <w:r>
        <w:rPr>
          <w:rFonts w:ascii="Arial" w:eastAsia="Arial" w:hAnsi="Arial" w:cs="Arial"/>
          <w:b w:val="0"/>
          <w:i w:val="0"/>
          <w:color w:val="969698"/>
          <w:sz w:val="16"/>
          <w:u w:val="none"/>
        </w:rPr>
        <w:t xml:space="preserve"> ordinary shares relating to an award granted to Mr. Silvester under our Joint Share Ownership Plan, a sub-plan of our Amended and Restated 2016 Equity Incentive Plan. Under the terms of a joint share ownership agreement between Enstar, Mr. Silvester and the trustee of the Enstar Group Limited Employee Benefit Trust, as amended,  Mr. Silvester holds a shared ownership interest with the Trustee in the ordinary shares underlying the award, subject to certain vesting and other conditions. The Trustee holds the legal title of all the ordinary shares underlying the award, and all voting rights in respect of the shares underlying the award have been waived. </w:t>
      </w:r>
    </w:p>
    <w:p>
      <w:pPr>
        <w:keepNext w:val="0"/>
        <w:keepLines w:val="0"/>
        <w:pageBreakBefore w:val="0"/>
        <w:widowControl/>
        <w:numPr>
          <w:ilvl w:val="0"/>
          <w:numId w:val="337"/>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Consists of (a) 98,</w:t>
      </w:r>
      <w:r>
        <w:rPr>
          <w:rFonts w:ascii="Arial" w:eastAsia="Arial" w:hAnsi="Arial" w:cs="Arial"/>
          <w:b w:val="0"/>
          <w:i w:val="0"/>
          <w:color w:val="969698"/>
          <w:sz w:val="16"/>
          <w:u w:val="none"/>
        </w:rPr>
        <w:t>565</w:t>
      </w:r>
      <w:r>
        <w:rPr>
          <w:rFonts w:ascii="Arial" w:eastAsia="Arial" w:hAnsi="Arial" w:cs="Arial"/>
          <w:b w:val="0"/>
          <w:i w:val="0"/>
          <w:color w:val="969698"/>
          <w:sz w:val="16"/>
          <w:u w:val="none"/>
        </w:rPr>
        <w:t xml:space="preserve"> ordinary shares held directly by Mr. O’Shea, (b) </w:t>
      </w:r>
      <w:r>
        <w:rPr>
          <w:rFonts w:ascii="Arial" w:eastAsia="Arial" w:hAnsi="Arial" w:cs="Arial"/>
          <w:b w:val="0"/>
          <w:i w:val="0"/>
          <w:color w:val="969698"/>
          <w:sz w:val="16"/>
          <w:u w:val="none"/>
        </w:rPr>
        <w:t>407</w:t>
      </w:r>
      <w:r>
        <w:rPr>
          <w:rFonts w:ascii="Arial" w:eastAsia="Arial" w:hAnsi="Arial" w:cs="Arial"/>
          <w:b w:val="0"/>
          <w:i w:val="0"/>
          <w:color w:val="969698"/>
          <w:sz w:val="16"/>
          <w:u w:val="none"/>
        </w:rPr>
        <w:t xml:space="preserve"> restricted ordinary shares held directly by Mr. O'Shea scheduled to vest on April </w:t>
      </w:r>
      <w:r>
        <w:rPr>
          <w:rFonts w:ascii="Arial" w:eastAsia="Arial" w:hAnsi="Arial" w:cs="Arial"/>
          <w:b w:val="0"/>
          <w:i w:val="0"/>
          <w:color w:val="969698"/>
          <w:sz w:val="16"/>
          <w:u w:val="none"/>
        </w:rPr>
        <w:t>1</w:t>
      </w:r>
      <w:r>
        <w:rPr>
          <w:rFonts w:ascii="Arial" w:eastAsia="Arial" w:hAnsi="Arial" w:cs="Arial"/>
          <w:b w:val="0"/>
          <w:i w:val="0"/>
          <w:color w:val="969698"/>
          <w:sz w:val="16"/>
          <w:u w:val="none"/>
        </w:rPr>
        <w:t>, 202</w:t>
      </w:r>
      <w:r>
        <w:rPr>
          <w:rFonts w:ascii="Arial" w:eastAsia="Arial" w:hAnsi="Arial" w:cs="Arial"/>
          <w:b w:val="0"/>
          <w:i w:val="0"/>
          <w:color w:val="969698"/>
          <w:sz w:val="16"/>
          <w:u w:val="none"/>
        </w:rPr>
        <w:t>5</w:t>
      </w:r>
      <w:r>
        <w:rPr>
          <w:rFonts w:ascii="Arial" w:eastAsia="Arial" w:hAnsi="Arial" w:cs="Arial"/>
          <w:b w:val="0"/>
          <w:i w:val="0"/>
          <w:color w:val="969698"/>
          <w:sz w:val="16"/>
          <w:u w:val="none"/>
        </w:rPr>
        <w:t xml:space="preserve">, and (c) 147,831 ordinary shares held by the Elbow Trust (of which Mr. O'Shea and his immediate family are the sole beneficiaries). </w:t>
      </w:r>
      <w:r>
        <w:rPr>
          <w:rFonts w:ascii="Arial" w:eastAsia="Arial" w:hAnsi="Arial" w:cs="Arial"/>
          <w:b w:val="0"/>
          <w:i w:val="0"/>
          <w:color w:val="969698"/>
          <w:sz w:val="16"/>
          <w:u w:val="none"/>
        </w:rPr>
        <w:t xml:space="preserve">The trustee of the Elbow Trust is R&amp;H Trust Co. (BVI) Ltd. </w:t>
      </w:r>
      <w:r>
        <w:rPr>
          <w:rFonts w:ascii="Arial" w:eastAsia="Arial" w:hAnsi="Arial" w:cs="Arial"/>
          <w:b w:val="0"/>
          <w:i w:val="0"/>
          <w:color w:val="969698"/>
          <w:sz w:val="16"/>
          <w:u w:val="none"/>
        </w:rPr>
        <w:t>12,500</w:t>
      </w:r>
      <w:r>
        <w:rPr>
          <w:rFonts w:ascii="Arial" w:eastAsia="Arial" w:hAnsi="Arial" w:cs="Arial"/>
          <w:b w:val="0"/>
          <w:i w:val="0"/>
          <w:color w:val="969698"/>
          <w:sz w:val="16"/>
          <w:u w:val="none"/>
        </w:rPr>
        <w:t xml:space="preserve"> ordinary shares</w:t>
      </w:r>
      <w:r>
        <w:rPr>
          <w:rFonts w:ascii="Arial" w:eastAsia="Arial" w:hAnsi="Arial" w:cs="Arial"/>
          <w:b w:val="0"/>
          <w:i w:val="0"/>
          <w:color w:val="969698"/>
          <w:sz w:val="16"/>
          <w:u w:val="none"/>
        </w:rPr>
        <w:t xml:space="preserve"> held directly by Mr. O'Shea and </w:t>
      </w:r>
      <w:r>
        <w:rPr>
          <w:rFonts w:ascii="Arial" w:eastAsia="Arial" w:hAnsi="Arial" w:cs="Arial"/>
          <w:b w:val="0"/>
          <w:i w:val="0"/>
          <w:color w:val="969698"/>
          <w:sz w:val="16"/>
          <w:u w:val="none"/>
        </w:rPr>
        <w:t>44,470</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ordinary shares</w:t>
      </w:r>
      <w:r>
        <w:rPr>
          <w:rFonts w:ascii="Arial" w:eastAsia="Arial" w:hAnsi="Arial" w:cs="Arial"/>
          <w:b w:val="0"/>
          <w:i w:val="0"/>
          <w:color w:val="969698"/>
          <w:sz w:val="16"/>
          <w:u w:val="none"/>
        </w:rPr>
        <w:t xml:space="preserve"> held by the Elbow Trust are held in margin accounts. As of April </w:t>
      </w:r>
      <w:r>
        <w:rPr>
          <w:rFonts w:ascii="Arial" w:eastAsia="Arial" w:hAnsi="Arial" w:cs="Arial"/>
          <w:b w:val="0"/>
          <w:i w:val="0"/>
          <w:color w:val="969698"/>
          <w:sz w:val="16"/>
          <w:u w:val="none"/>
        </w:rPr>
        <w:t>8</w:t>
      </w:r>
      <w:r>
        <w:rPr>
          <w:rFonts w:ascii="Arial" w:eastAsia="Arial" w:hAnsi="Arial" w:cs="Arial"/>
          <w:b w:val="0"/>
          <w:i w:val="0"/>
          <w:color w:val="969698"/>
          <w:sz w:val="16"/>
          <w:u w:val="none"/>
        </w:rPr>
        <w:t>, 202</w:t>
      </w:r>
      <w:r>
        <w:rPr>
          <w:rFonts w:ascii="Arial" w:eastAsia="Arial" w:hAnsi="Arial" w:cs="Arial"/>
          <w:b w:val="0"/>
          <w:i w:val="0"/>
          <w:color w:val="969698"/>
          <w:sz w:val="16"/>
          <w:u w:val="none"/>
        </w:rPr>
        <w:t>4</w:t>
      </w:r>
      <w:r>
        <w:rPr>
          <w:rFonts w:ascii="Arial" w:eastAsia="Arial" w:hAnsi="Arial" w:cs="Arial"/>
          <w:b w:val="0"/>
          <w:i w:val="0"/>
          <w:color w:val="969698"/>
          <w:sz w:val="16"/>
          <w:u w:val="none"/>
        </w:rPr>
        <w:t xml:space="preserve">, the aggregate margin balance on such accounts was </w:t>
      </w:r>
      <w:r>
        <w:rPr>
          <w:rFonts w:ascii="Arial" w:eastAsia="Arial" w:hAnsi="Arial" w:cs="Arial"/>
          <w:b w:val="0"/>
          <w:i w:val="0"/>
          <w:color w:val="969698"/>
          <w:sz w:val="16"/>
          <w:u w:val="none"/>
        </w:rPr>
        <w:t>$</w:t>
      </w:r>
      <w:r>
        <w:rPr>
          <w:rFonts w:ascii="Arial" w:eastAsia="Arial" w:hAnsi="Arial" w:cs="Arial"/>
          <w:b w:val="0"/>
          <w:i w:val="0"/>
          <w:color w:val="969698"/>
          <w:sz w:val="16"/>
          <w:u w:val="none"/>
        </w:rPr>
        <w:t>6.2 million</w:t>
      </w:r>
      <w:r>
        <w:rPr>
          <w:rFonts w:ascii="Arial" w:eastAsia="Arial" w:hAnsi="Arial" w:cs="Arial"/>
          <w:b w:val="0"/>
          <w:i w:val="0"/>
          <w:color w:val="969698"/>
          <w:sz w:val="16"/>
          <w:u w:val="none"/>
        </w:rPr>
        <w:t>.</w:t>
      </w:r>
    </w:p>
    <w:p>
      <w:pPr>
        <w:keepNext w:val="0"/>
        <w:keepLines w:val="0"/>
        <w:pageBreakBefore w:val="0"/>
        <w:widowControl/>
        <w:numPr>
          <w:ilvl w:val="0"/>
          <w:numId w:val="337"/>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Consists of (a) 4</w:t>
      </w:r>
      <w:r>
        <w:rPr>
          <w:rFonts w:ascii="Arial" w:eastAsia="Arial" w:hAnsi="Arial" w:cs="Arial"/>
          <w:b w:val="0"/>
          <w:i w:val="0"/>
          <w:color w:val="969698"/>
          <w:sz w:val="16"/>
          <w:u w:val="none"/>
        </w:rPr>
        <w:t>2</w:t>
      </w:r>
      <w:r>
        <w:rPr>
          <w:rFonts w:ascii="Arial" w:eastAsia="Arial" w:hAnsi="Arial" w:cs="Arial"/>
          <w:b w:val="0"/>
          <w:i w:val="0"/>
          <w:color w:val="969698"/>
          <w:sz w:val="16"/>
          <w:u w:val="none"/>
        </w:rPr>
        <w:t xml:space="preserve">,556 ordinary shares held directly by Mr. Campbell, (b) 42,500 ordinary shares held by a self-directed pension plan, (c) 32,300 ordinary shares owned by Mr. Campbell’s spouse, (d) 25,050 ordinary shares owned by Osprey Partners, (e) 12,400 ordinary shares owned by Mr. Campbell’s children, (f) 3,000 ordinary shares owned by the Robert J. Campbell Family Trust, (g) 2,500 ordinary shares owned by the F.W. Spellissy Trust, (h) 500 ordinary shares owned by the Amy S. Campbell Family Trust, </w:t>
      </w:r>
      <w:r>
        <w:rPr>
          <w:rFonts w:ascii="Arial" w:eastAsia="Arial" w:hAnsi="Arial" w:cs="Arial"/>
          <w:b w:val="0"/>
          <w:i w:val="0"/>
          <w:color w:val="969698"/>
          <w:sz w:val="16"/>
          <w:u w:val="none"/>
        </w:rPr>
        <w:t xml:space="preserve">(i) </w:t>
      </w:r>
      <w:r>
        <w:rPr>
          <w:rFonts w:ascii="Arial" w:eastAsia="Arial" w:hAnsi="Arial" w:cs="Arial"/>
          <w:b w:val="0"/>
          <w:i w:val="0"/>
          <w:color w:val="969698"/>
          <w:sz w:val="16"/>
          <w:u w:val="none"/>
        </w:rPr>
        <w:t xml:space="preserve">500 </w:t>
      </w:r>
      <w:r>
        <w:rPr>
          <w:rFonts w:ascii="Arial" w:eastAsia="Arial" w:hAnsi="Arial" w:cs="Arial"/>
          <w:b w:val="0"/>
          <w:i w:val="0"/>
          <w:color w:val="969698"/>
          <w:sz w:val="16"/>
          <w:u w:val="none"/>
        </w:rPr>
        <w:t xml:space="preserve">ordinary shares owned by the Fulk Trust </w:t>
      </w:r>
      <w:r>
        <w:rPr>
          <w:rFonts w:ascii="Arial" w:eastAsia="Arial" w:hAnsi="Arial" w:cs="Arial"/>
          <w:b w:val="0"/>
          <w:i w:val="0"/>
          <w:color w:val="969698"/>
          <w:sz w:val="16"/>
          <w:u w:val="none"/>
        </w:rPr>
        <w:t>and (</w:t>
      </w:r>
      <w:r>
        <w:rPr>
          <w:rFonts w:ascii="Arial" w:eastAsia="Arial" w:hAnsi="Arial" w:cs="Arial"/>
          <w:b w:val="0"/>
          <w:i w:val="0"/>
          <w:color w:val="969698"/>
          <w:sz w:val="16"/>
          <w:u w:val="none"/>
        </w:rPr>
        <w:t>j</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26,189</w:t>
      </w:r>
      <w:r>
        <w:rPr>
          <w:rFonts w:ascii="Arial" w:eastAsia="Arial" w:hAnsi="Arial" w:cs="Arial"/>
          <w:b w:val="0"/>
          <w:i w:val="0"/>
          <w:color w:val="969698"/>
          <w:sz w:val="16"/>
          <w:u w:val="none"/>
        </w:rPr>
        <w:t xml:space="preserve"> ordinary shares issuable pursuant to the Enstar Group Limited Deferred Compensation and Ordinary Share Plan for Non-Employee Directors.</w:t>
      </w:r>
    </w:p>
    <w:p>
      <w:pPr>
        <w:keepNext w:val="0"/>
        <w:keepLines w:val="0"/>
        <w:pageBreakBefore w:val="0"/>
        <w:widowControl/>
        <w:numPr>
          <w:ilvl w:val="0"/>
          <w:numId w:val="337"/>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Consists of </w:t>
      </w:r>
      <w:r>
        <w:rPr>
          <w:rFonts w:ascii="Arial" w:eastAsia="Arial" w:hAnsi="Arial" w:cs="Arial"/>
          <w:b w:val="0"/>
          <w:i w:val="0"/>
          <w:color w:val="969698"/>
          <w:sz w:val="16"/>
          <w:u w:val="none"/>
        </w:rPr>
        <w:t>54,519</w:t>
      </w:r>
      <w:r>
        <w:rPr>
          <w:rFonts w:ascii="Arial" w:eastAsia="Arial" w:hAnsi="Arial" w:cs="Arial"/>
          <w:b w:val="0"/>
          <w:i w:val="0"/>
          <w:color w:val="969698"/>
          <w:sz w:val="16"/>
          <w:u w:val="none"/>
        </w:rPr>
        <w:t xml:space="preserve"> ordinary shares held directly by Ms. Gregory. </w:t>
      </w:r>
    </w:p>
    <w:p>
      <w:pPr>
        <w:keepNext w:val="0"/>
        <w:keepLines w:val="0"/>
        <w:pageBreakBefore w:val="0"/>
        <w:widowControl/>
        <w:numPr>
          <w:ilvl w:val="0"/>
          <w:numId w:val="337"/>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Consists of </w:t>
      </w:r>
      <w:r>
        <w:rPr>
          <w:rFonts w:ascii="Arial" w:eastAsia="Arial" w:hAnsi="Arial" w:cs="Arial"/>
          <w:b w:val="0"/>
          <w:i w:val="0"/>
          <w:color w:val="969698"/>
          <w:sz w:val="16"/>
          <w:u w:val="none"/>
        </w:rPr>
        <w:t>14,823</w:t>
      </w:r>
      <w:r>
        <w:rPr>
          <w:rFonts w:ascii="Arial" w:eastAsia="Arial" w:hAnsi="Arial" w:cs="Arial"/>
          <w:b w:val="0"/>
          <w:i w:val="0"/>
          <w:color w:val="969698"/>
          <w:sz w:val="16"/>
          <w:u w:val="none"/>
        </w:rPr>
        <w:t xml:space="preserve"> ordinary shares held directly by Mr. Gerhardt and </w:t>
      </w:r>
      <w:r>
        <w:rPr>
          <w:rFonts w:ascii="Arial" w:eastAsia="Arial" w:hAnsi="Arial" w:cs="Arial"/>
          <w:b w:val="0"/>
          <w:i w:val="0"/>
          <w:color w:val="969698"/>
          <w:sz w:val="16"/>
          <w:u w:val="none"/>
        </w:rPr>
        <w:t>407</w:t>
      </w:r>
      <w:r>
        <w:rPr>
          <w:rFonts w:ascii="Arial" w:eastAsia="Arial" w:hAnsi="Arial" w:cs="Arial"/>
          <w:b w:val="0"/>
          <w:i w:val="0"/>
          <w:color w:val="969698"/>
          <w:sz w:val="16"/>
          <w:u w:val="none"/>
        </w:rPr>
        <w:t xml:space="preserve"> restricted ordinary shares held directly by Mr. Gerhardt scheduled to vest on April </w:t>
      </w:r>
      <w:r>
        <w:rPr>
          <w:rFonts w:ascii="Arial" w:eastAsia="Arial" w:hAnsi="Arial" w:cs="Arial"/>
          <w:b w:val="0"/>
          <w:i w:val="0"/>
          <w:color w:val="969698"/>
          <w:sz w:val="16"/>
          <w:u w:val="none"/>
        </w:rPr>
        <w:t>1</w:t>
      </w:r>
      <w:r>
        <w:rPr>
          <w:rFonts w:ascii="Arial" w:eastAsia="Arial" w:hAnsi="Arial" w:cs="Arial"/>
          <w:b w:val="0"/>
          <w:i w:val="0"/>
          <w:color w:val="969698"/>
          <w:sz w:val="16"/>
          <w:u w:val="none"/>
        </w:rPr>
        <w:t>, 202</w:t>
      </w:r>
      <w:r>
        <w:rPr>
          <w:rFonts w:ascii="Arial" w:eastAsia="Arial" w:hAnsi="Arial" w:cs="Arial"/>
          <w:b w:val="0"/>
          <w:i w:val="0"/>
          <w:color w:val="969698"/>
          <w:sz w:val="16"/>
          <w:u w:val="none"/>
        </w:rPr>
        <w:t>5</w:t>
      </w:r>
      <w:r>
        <w:rPr>
          <w:rFonts w:ascii="Arial" w:eastAsia="Arial" w:hAnsi="Arial" w:cs="Arial"/>
          <w:b w:val="0"/>
          <w:i w:val="0"/>
          <w:color w:val="969698"/>
          <w:sz w:val="16"/>
          <w:u w:val="none"/>
        </w:rPr>
        <w:t xml:space="preserve">. </w:t>
      </w:r>
    </w:p>
    <w:p>
      <w:pPr>
        <w:keepNext w:val="0"/>
        <w:keepLines w:val="0"/>
        <w:pageBreakBefore w:val="0"/>
        <w:widowControl/>
        <w:numPr>
          <w:ilvl w:val="0"/>
          <w:numId w:val="337"/>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Consists of </w:t>
      </w:r>
      <w:r>
        <w:rPr>
          <w:rFonts w:ascii="Arial" w:eastAsia="Arial" w:hAnsi="Arial" w:cs="Arial"/>
          <w:b w:val="0"/>
          <w:i w:val="0"/>
          <w:color w:val="969698"/>
          <w:sz w:val="16"/>
          <w:u w:val="none"/>
        </w:rPr>
        <w:t>13,222</w:t>
      </w:r>
      <w:r>
        <w:rPr>
          <w:rFonts w:ascii="Arial" w:eastAsia="Arial" w:hAnsi="Arial" w:cs="Arial"/>
          <w:b w:val="0"/>
          <w:i w:val="0"/>
          <w:color w:val="969698"/>
          <w:sz w:val="16"/>
          <w:u w:val="none"/>
        </w:rPr>
        <w:t xml:space="preserve"> ordinary shares held directly by Mr. Brockman. </w:t>
      </w:r>
    </w:p>
    <w:p>
      <w:pPr>
        <w:keepNext w:val="0"/>
        <w:keepLines w:val="0"/>
        <w:pageBreakBefore w:val="0"/>
        <w:widowControl/>
        <w:numPr>
          <w:ilvl w:val="0"/>
          <w:numId w:val="337"/>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Consists of </w:t>
      </w:r>
      <w:r>
        <w:rPr>
          <w:rFonts w:ascii="Arial" w:eastAsia="Arial" w:hAnsi="Arial" w:cs="Arial"/>
          <w:b w:val="0"/>
          <w:i w:val="0"/>
          <w:color w:val="969698"/>
          <w:sz w:val="16"/>
          <w:u w:val="none"/>
        </w:rPr>
        <w:t>9,493</w:t>
      </w:r>
      <w:r>
        <w:rPr>
          <w:rFonts w:ascii="Arial" w:eastAsia="Arial" w:hAnsi="Arial" w:cs="Arial"/>
          <w:b w:val="0"/>
          <w:i w:val="0"/>
          <w:color w:val="969698"/>
          <w:sz w:val="16"/>
          <w:u w:val="none"/>
        </w:rPr>
        <w:t xml:space="preserve"> ordinary shares issuable pursuant to the </w:t>
      </w:r>
      <w:r>
        <w:rPr>
          <w:rFonts w:ascii="Arial" w:eastAsia="Arial" w:hAnsi="Arial" w:cs="Arial"/>
          <w:b w:val="0"/>
          <w:i w:val="0"/>
          <w:color w:val="969698"/>
          <w:sz w:val="16"/>
          <w:u w:val="none"/>
        </w:rPr>
        <w:t>Enstar Group L</w:t>
      </w:r>
      <w:r>
        <w:rPr>
          <w:rFonts w:ascii="Arial" w:eastAsia="Arial" w:hAnsi="Arial" w:cs="Arial"/>
          <w:b w:val="0"/>
          <w:i w:val="0"/>
          <w:color w:val="969698"/>
          <w:sz w:val="16"/>
          <w:u w:val="none"/>
        </w:rPr>
        <w:t>i</w:t>
      </w:r>
      <w:r>
        <w:rPr>
          <w:rFonts w:ascii="Arial" w:eastAsia="Arial" w:hAnsi="Arial" w:cs="Arial"/>
          <w:b w:val="0"/>
          <w:i w:val="0"/>
          <w:color w:val="969698"/>
          <w:sz w:val="16"/>
          <w:u w:val="none"/>
        </w:rPr>
        <w:t xml:space="preserve">mited </w:t>
      </w:r>
      <w:r>
        <w:rPr>
          <w:rFonts w:ascii="Arial" w:eastAsia="Arial" w:hAnsi="Arial" w:cs="Arial"/>
          <w:b w:val="0"/>
          <w:i w:val="0"/>
          <w:color w:val="969698"/>
          <w:sz w:val="16"/>
          <w:u w:val="none"/>
        </w:rPr>
        <w:t xml:space="preserve">Deferred Compensation Plan held by Mr. Carey solely for the benefit of Stone Point, of which Mr. Carey is a Managing Director. Mr. Carey disclaims beneficial ownership of these share units, except to the extent of his pecuniary interest therein, if any. Stone Point may be deemed an indirect beneficial owner of these ordinary shares. Does not include the ordinary shares held by the Trident V Funds described in footnote </w:t>
      </w:r>
      <w:r>
        <w:rPr>
          <w:rFonts w:ascii="Arial" w:eastAsia="Arial" w:hAnsi="Arial" w:cs="Arial"/>
          <w:b w:val="0"/>
          <w:i w:val="0"/>
          <w:color w:val="969698"/>
          <w:sz w:val="16"/>
          <w:u w:val="none"/>
        </w:rPr>
        <w:t>1</w:t>
      </w:r>
      <w:r>
        <w:rPr>
          <w:rFonts w:ascii="Arial" w:eastAsia="Arial" w:hAnsi="Arial" w:cs="Arial"/>
          <w:b w:val="0"/>
          <w:i w:val="0"/>
          <w:color w:val="969698"/>
          <w:sz w:val="16"/>
          <w:u w:val="none"/>
        </w:rPr>
        <w:t>. Mr. Carey is a member of the investment committee and owner of one of the four general partners of both of Trident V GP (the general partner of Trident V) and Trident V Parallel GP (the general partner of Trident V Parallel). Mr. Carey is also a member and</w:t>
      </w:r>
      <w:r>
        <w:rPr>
          <w:rFonts w:ascii="Arial" w:eastAsia="Arial" w:hAnsi="Arial" w:cs="Arial"/>
          <w:b w:val="0"/>
          <w:i w:val="0"/>
          <w:color w:val="969698"/>
          <w:sz w:val="16"/>
          <w:u w:val="none"/>
        </w:rPr>
        <w:t xml:space="preserve"> President</w:t>
      </w:r>
      <w:r>
        <w:rPr>
          <w:rFonts w:ascii="Arial" w:eastAsia="Arial" w:hAnsi="Arial" w:cs="Arial"/>
          <w:b w:val="0"/>
          <w:i w:val="0"/>
          <w:color w:val="969698"/>
          <w:sz w:val="16"/>
          <w:u w:val="none"/>
        </w:rPr>
        <w:t xml:space="preserve"> of Stone Point and a shareholder and director of Trident V Professionals GP, which is the general partner of Trident V Professionals. Mr. Carey disclaims beneficial ownership of the shares held of record or beneficially by Stone Point, except to the extent of any pecuniary interest therein.</w:t>
      </w:r>
    </w:p>
    <w:p>
      <w:pPr>
        <w:keepNext w:val="0"/>
        <w:keepLines w:val="0"/>
        <w:pageBreakBefore w:val="0"/>
        <w:widowControl/>
        <w:numPr>
          <w:ilvl w:val="0"/>
          <w:numId w:val="337"/>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Consists of </w:t>
      </w:r>
      <w:r>
        <w:rPr>
          <w:rFonts w:ascii="Arial" w:eastAsia="Arial" w:hAnsi="Arial" w:cs="Arial"/>
          <w:b w:val="0"/>
          <w:i w:val="0"/>
          <w:color w:val="969698"/>
          <w:sz w:val="16"/>
          <w:u w:val="none"/>
        </w:rPr>
        <w:t>484</w:t>
      </w:r>
      <w:r>
        <w:rPr>
          <w:rFonts w:ascii="Arial" w:eastAsia="Arial" w:hAnsi="Arial" w:cs="Arial"/>
          <w:b w:val="0"/>
          <w:i w:val="0"/>
          <w:color w:val="969698"/>
          <w:sz w:val="16"/>
          <w:u w:val="none"/>
        </w:rPr>
        <w:t xml:space="preserve"> ordinary shares held directly by Mr. Patel and </w:t>
      </w:r>
      <w:r>
        <w:rPr>
          <w:rFonts w:ascii="Arial" w:eastAsia="Arial" w:hAnsi="Arial" w:cs="Arial"/>
          <w:b w:val="0"/>
          <w:i w:val="0"/>
          <w:color w:val="969698"/>
          <w:sz w:val="16"/>
          <w:u w:val="none"/>
        </w:rPr>
        <w:t>6,214</w:t>
      </w:r>
      <w:r>
        <w:rPr>
          <w:rFonts w:ascii="Arial" w:eastAsia="Arial" w:hAnsi="Arial" w:cs="Arial"/>
          <w:b w:val="0"/>
          <w:i w:val="0"/>
          <w:color w:val="969698"/>
          <w:sz w:val="16"/>
          <w:u w:val="none"/>
        </w:rPr>
        <w:t xml:space="preserve"> ordinary shares issuable to Mr. Patel pursuant to the </w:t>
      </w:r>
      <w:r>
        <w:rPr>
          <w:rFonts w:ascii="Arial" w:eastAsia="Arial" w:hAnsi="Arial" w:cs="Arial"/>
          <w:b w:val="0"/>
          <w:i w:val="0"/>
          <w:color w:val="969698"/>
          <w:sz w:val="16"/>
          <w:u w:val="none"/>
        </w:rPr>
        <w:t xml:space="preserve">Enstar Group Limited </w:t>
      </w:r>
      <w:r>
        <w:rPr>
          <w:rFonts w:ascii="Arial" w:eastAsia="Arial" w:hAnsi="Arial" w:cs="Arial"/>
          <w:b w:val="0"/>
          <w:i w:val="0"/>
          <w:color w:val="969698"/>
          <w:sz w:val="16"/>
          <w:u w:val="none"/>
        </w:rPr>
        <w:t>Deferred Compensation Plan.</w:t>
      </w:r>
    </w:p>
    <w:p>
      <w:pPr>
        <w:keepNext w:val="0"/>
        <w:keepLines w:val="0"/>
        <w:pageBreakBefore w:val="0"/>
        <w:widowControl/>
        <w:numPr>
          <w:ilvl w:val="0"/>
          <w:numId w:val="337"/>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Consists of </w:t>
      </w:r>
      <w:r>
        <w:rPr>
          <w:rFonts w:ascii="Arial" w:eastAsia="Arial" w:hAnsi="Arial" w:cs="Arial"/>
          <w:b w:val="0"/>
          <w:i w:val="0"/>
          <w:color w:val="929292"/>
          <w:sz w:val="16"/>
          <w:u w:val="none"/>
        </w:rPr>
        <w:t>6,889</w:t>
      </w:r>
      <w:r>
        <w:rPr>
          <w:rFonts w:ascii="Times New Roman" w:eastAsia="Times New Roman" w:hAnsi="Times New Roman" w:cs="Times New Roman"/>
          <w:b w:val="0"/>
          <w:i w:val="0"/>
          <w:color w:val="FF0090"/>
          <w:sz w:val="20"/>
          <w:u w:val="none"/>
        </w:rPr>
        <w:t xml:space="preserve"> </w:t>
      </w:r>
      <w:r>
        <w:rPr>
          <w:rFonts w:ascii="Arial" w:eastAsia="Arial" w:hAnsi="Arial" w:cs="Arial"/>
          <w:b w:val="0"/>
          <w:i w:val="0"/>
          <w:color w:val="929292"/>
          <w:sz w:val="16"/>
          <w:u w:val="none"/>
        </w:rPr>
        <w:t>ordinary shares</w:t>
      </w:r>
      <w:r>
        <w:rPr>
          <w:rFonts w:ascii="Arial" w:eastAsia="Arial" w:hAnsi="Arial" w:cs="Arial"/>
          <w:b w:val="0"/>
          <w:i w:val="0"/>
          <w:color w:val="929292"/>
          <w:sz w:val="16"/>
          <w:u w:val="none"/>
        </w:rPr>
        <w:t xml:space="preserve"> held directly by Mr. </w:t>
      </w:r>
      <w:r>
        <w:rPr>
          <w:rFonts w:ascii="Arial" w:eastAsia="Arial" w:hAnsi="Arial" w:cs="Arial"/>
          <w:b w:val="0"/>
          <w:i w:val="0"/>
          <w:color w:val="929292"/>
          <w:sz w:val="16"/>
          <w:u w:val="none"/>
        </w:rPr>
        <w:t xml:space="preserve">Alobaidat. </w:t>
      </w:r>
    </w:p>
    <w:p>
      <w:pPr>
        <w:keepNext w:val="0"/>
        <w:keepLines w:val="0"/>
        <w:pageBreakBefore w:val="0"/>
        <w:widowControl/>
        <w:numPr>
          <w:ilvl w:val="0"/>
          <w:numId w:val="337"/>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Consists of (a) </w:t>
      </w:r>
      <w:r>
        <w:rPr>
          <w:rFonts w:ascii="Arial" w:eastAsia="Arial" w:hAnsi="Arial" w:cs="Arial"/>
          <w:b w:val="0"/>
          <w:i w:val="0"/>
          <w:color w:val="969698"/>
          <w:sz w:val="16"/>
          <w:u w:val="none"/>
        </w:rPr>
        <w:t>1,871</w:t>
      </w:r>
      <w:r>
        <w:rPr>
          <w:rFonts w:ascii="Arial" w:eastAsia="Arial" w:hAnsi="Arial" w:cs="Arial"/>
          <w:b w:val="0"/>
          <w:i w:val="0"/>
          <w:color w:val="969698"/>
          <w:sz w:val="16"/>
          <w:u w:val="none"/>
        </w:rPr>
        <w:t xml:space="preserve"> ordinary shares held directly by Mr. Becker, (b) </w:t>
      </w:r>
      <w:r>
        <w:rPr>
          <w:rFonts w:ascii="Arial" w:eastAsia="Arial" w:hAnsi="Arial" w:cs="Arial"/>
          <w:b w:val="0"/>
          <w:i w:val="0"/>
          <w:color w:val="969698"/>
          <w:sz w:val="16"/>
          <w:u w:val="none"/>
        </w:rPr>
        <w:t>407</w:t>
      </w:r>
      <w:r>
        <w:rPr>
          <w:rFonts w:ascii="Arial" w:eastAsia="Arial" w:hAnsi="Arial" w:cs="Arial"/>
          <w:b w:val="0"/>
          <w:i w:val="0"/>
          <w:color w:val="969698"/>
          <w:sz w:val="16"/>
          <w:u w:val="none"/>
        </w:rPr>
        <w:t xml:space="preserve"> restricted ordinary shares held directly by Mr. Becker scheduled to vest on April </w:t>
      </w:r>
      <w:r>
        <w:rPr>
          <w:rFonts w:ascii="Arial" w:eastAsia="Arial" w:hAnsi="Arial" w:cs="Arial"/>
          <w:b w:val="0"/>
          <w:i w:val="0"/>
          <w:color w:val="969698"/>
          <w:sz w:val="16"/>
          <w:u w:val="none"/>
        </w:rPr>
        <w:t>1</w:t>
      </w:r>
      <w:r>
        <w:rPr>
          <w:rFonts w:ascii="Arial" w:eastAsia="Arial" w:hAnsi="Arial" w:cs="Arial"/>
          <w:b w:val="0"/>
          <w:i w:val="0"/>
          <w:color w:val="969698"/>
          <w:sz w:val="16"/>
          <w:u w:val="none"/>
        </w:rPr>
        <w:t>, 202</w:t>
      </w:r>
      <w:r>
        <w:rPr>
          <w:rFonts w:ascii="Arial" w:eastAsia="Arial" w:hAnsi="Arial" w:cs="Arial"/>
          <w:b w:val="0"/>
          <w:i w:val="0"/>
          <w:color w:val="969698"/>
          <w:sz w:val="16"/>
          <w:u w:val="none"/>
        </w:rPr>
        <w:t>5</w:t>
      </w:r>
      <w:r>
        <w:rPr>
          <w:rFonts w:ascii="Arial" w:eastAsia="Arial" w:hAnsi="Arial" w:cs="Arial"/>
          <w:b w:val="0"/>
          <w:i w:val="0"/>
          <w:color w:val="969698"/>
          <w:sz w:val="16"/>
          <w:u w:val="none"/>
        </w:rPr>
        <w:t xml:space="preserve"> and (c) </w:t>
      </w:r>
      <w:r>
        <w:rPr>
          <w:rFonts w:ascii="Arial" w:eastAsia="Arial" w:hAnsi="Arial" w:cs="Arial"/>
          <w:b w:val="0"/>
          <w:i w:val="0"/>
          <w:color w:val="969698"/>
          <w:sz w:val="16"/>
          <w:u w:val="none"/>
        </w:rPr>
        <w:t>3,800</w:t>
      </w:r>
      <w:r>
        <w:rPr>
          <w:rFonts w:ascii="Arial" w:eastAsia="Arial" w:hAnsi="Arial" w:cs="Arial"/>
          <w:b w:val="0"/>
          <w:i w:val="0"/>
          <w:color w:val="969698"/>
          <w:sz w:val="16"/>
          <w:u w:val="none"/>
        </w:rPr>
        <w:t xml:space="preserve"> ordinary shares issuable to Mr. Becker pursuant the </w:t>
      </w:r>
      <w:r>
        <w:rPr>
          <w:rFonts w:ascii="Arial" w:eastAsia="Arial" w:hAnsi="Arial" w:cs="Arial"/>
          <w:b w:val="0"/>
          <w:i w:val="0"/>
          <w:color w:val="969698"/>
          <w:sz w:val="16"/>
          <w:u w:val="none"/>
        </w:rPr>
        <w:t xml:space="preserve">Enstar Group </w:t>
      </w:r>
      <w:r>
        <w:rPr>
          <w:rFonts w:ascii="Arial" w:eastAsia="Arial" w:hAnsi="Arial" w:cs="Arial"/>
          <w:b w:val="0"/>
          <w:i w:val="0"/>
          <w:color w:val="969698"/>
          <w:sz w:val="16"/>
          <w:u w:val="none"/>
        </w:rPr>
        <w:t>L</w:t>
      </w:r>
      <w:r>
        <w:rPr>
          <w:rFonts w:ascii="Arial" w:eastAsia="Arial" w:hAnsi="Arial" w:cs="Arial"/>
          <w:b w:val="0"/>
          <w:i w:val="0"/>
          <w:color w:val="969698"/>
          <w:sz w:val="16"/>
          <w:u w:val="none"/>
        </w:rPr>
        <w:t>i</w:t>
      </w:r>
      <w:r>
        <w:rPr>
          <w:rFonts w:ascii="Arial" w:eastAsia="Arial" w:hAnsi="Arial" w:cs="Arial"/>
          <w:b w:val="0"/>
          <w:i w:val="0"/>
          <w:color w:val="969698"/>
          <w:sz w:val="16"/>
          <w:u w:val="none"/>
        </w:rPr>
        <w:t xml:space="preserve">mited </w:t>
      </w:r>
      <w:r>
        <w:rPr>
          <w:rFonts w:ascii="Arial" w:eastAsia="Arial" w:hAnsi="Arial" w:cs="Arial"/>
          <w:b w:val="0"/>
          <w:i w:val="0"/>
          <w:color w:val="969698"/>
          <w:sz w:val="16"/>
          <w:u w:val="none"/>
        </w:rPr>
        <w:t>Deferred Compensation Plan. Mr. Becker also holds 1,000 Depositary Shares, each representing a 1/1000th interest in a 7% Perpetual Non-Cumulative Series E Preferred Share issued by the Company not reflected in the table above.</w:t>
      </w:r>
    </w:p>
    <w:p>
      <w:pPr>
        <w:keepNext w:val="0"/>
        <w:keepLines w:val="0"/>
        <w:pageBreakBefore w:val="0"/>
        <w:widowControl/>
        <w:numPr>
          <w:ilvl w:val="0"/>
          <w:numId w:val="337"/>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Consists of </w:t>
      </w:r>
      <w:r>
        <w:rPr>
          <w:rFonts w:ascii="Arial" w:eastAsia="Arial" w:hAnsi="Arial" w:cs="Arial"/>
          <w:b w:val="0"/>
          <w:i w:val="0"/>
          <w:color w:val="969698"/>
          <w:sz w:val="16"/>
          <w:u w:val="none"/>
        </w:rPr>
        <w:t>2,193</w:t>
      </w:r>
      <w:r>
        <w:rPr>
          <w:rFonts w:ascii="Arial" w:eastAsia="Arial" w:hAnsi="Arial" w:cs="Arial"/>
          <w:b w:val="0"/>
          <w:i w:val="0"/>
          <w:color w:val="969698"/>
          <w:sz w:val="16"/>
          <w:u w:val="none"/>
        </w:rPr>
        <w:t xml:space="preserve"> ordinary shares issuable to Mr. Hendry pursuant the </w:t>
      </w:r>
      <w:r>
        <w:rPr>
          <w:rFonts w:ascii="Arial" w:eastAsia="Arial" w:hAnsi="Arial" w:cs="Arial"/>
          <w:b w:val="0"/>
          <w:i w:val="0"/>
          <w:color w:val="969698"/>
          <w:sz w:val="16"/>
          <w:u w:val="none"/>
        </w:rPr>
        <w:t xml:space="preserve">Enstar Group Limited </w:t>
      </w:r>
      <w:r>
        <w:rPr>
          <w:rFonts w:ascii="Arial" w:eastAsia="Arial" w:hAnsi="Arial" w:cs="Arial"/>
          <w:b w:val="0"/>
          <w:i w:val="0"/>
          <w:color w:val="969698"/>
          <w:sz w:val="16"/>
          <w:u w:val="none"/>
        </w:rPr>
        <w:t>Deferred Compensation Plan.</w:t>
      </w:r>
    </w:p>
    <w:p>
      <w:pPr>
        <w:keepNext w:val="0"/>
        <w:keepLines w:val="0"/>
        <w:pageBreakBefore w:val="0"/>
        <w:widowControl/>
        <w:numPr>
          <w:ilvl w:val="0"/>
          <w:numId w:val="337"/>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Consists of </w:t>
      </w:r>
      <w:r>
        <w:rPr>
          <w:rFonts w:ascii="Arial" w:eastAsia="Arial" w:hAnsi="Arial" w:cs="Arial"/>
          <w:b w:val="0"/>
          <w:i w:val="0"/>
          <w:color w:val="929292"/>
          <w:sz w:val="16"/>
          <w:u w:val="none"/>
        </w:rPr>
        <w:t>2,144</w:t>
      </w:r>
      <w:r>
        <w:rPr>
          <w:rFonts w:ascii="Arial" w:eastAsia="Arial" w:hAnsi="Arial" w:cs="Arial"/>
          <w:b w:val="0"/>
          <w:i w:val="0"/>
          <w:color w:val="929292"/>
          <w:sz w:val="16"/>
          <w:u w:val="none"/>
        </w:rPr>
        <w:t xml:space="preserve"> ordinary shares </w:t>
      </w:r>
      <w:r>
        <w:rPr>
          <w:rFonts w:ascii="Arial" w:eastAsia="Arial" w:hAnsi="Arial" w:cs="Arial"/>
          <w:b w:val="0"/>
          <w:i w:val="0"/>
          <w:color w:val="929292"/>
          <w:sz w:val="16"/>
          <w:u w:val="none"/>
        </w:rPr>
        <w:t xml:space="preserve">held directly by Mr. Kirk. </w:t>
      </w:r>
    </w:p>
    <w:p>
      <w:pPr>
        <w:keepNext w:val="0"/>
        <w:keepLines w:val="0"/>
        <w:pageBreakBefore w:val="0"/>
        <w:widowControl/>
        <w:numPr>
          <w:ilvl w:val="0"/>
          <w:numId w:val="337"/>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Consists of </w:t>
      </w:r>
      <w:r>
        <w:rPr>
          <w:rFonts w:ascii="Arial" w:eastAsia="Arial" w:hAnsi="Arial" w:cs="Arial"/>
          <w:b w:val="0"/>
          <w:i w:val="0"/>
          <w:color w:val="969698"/>
          <w:sz w:val="16"/>
          <w:u w:val="none"/>
        </w:rPr>
        <w:t>1,522</w:t>
      </w:r>
      <w:r>
        <w:rPr>
          <w:rFonts w:ascii="Arial" w:eastAsia="Arial" w:hAnsi="Arial" w:cs="Arial"/>
          <w:b w:val="0"/>
          <w:i w:val="0"/>
          <w:color w:val="969698"/>
          <w:sz w:val="16"/>
          <w:u w:val="none"/>
        </w:rPr>
        <w:t xml:space="preserve"> ordinary shares held directly by Ms. Cross and </w:t>
      </w:r>
      <w:r>
        <w:rPr>
          <w:rFonts w:ascii="Arial" w:eastAsia="Arial" w:hAnsi="Arial" w:cs="Arial"/>
          <w:b w:val="0"/>
          <w:i w:val="0"/>
          <w:color w:val="969698"/>
          <w:sz w:val="16"/>
          <w:u w:val="none"/>
        </w:rPr>
        <w:t>407</w:t>
      </w:r>
      <w:r>
        <w:rPr>
          <w:rFonts w:ascii="Arial" w:eastAsia="Arial" w:hAnsi="Arial" w:cs="Arial"/>
          <w:b w:val="0"/>
          <w:i w:val="0"/>
          <w:color w:val="969698"/>
          <w:sz w:val="16"/>
          <w:u w:val="none"/>
        </w:rPr>
        <w:t xml:space="preserve"> restricted ordinary shares held directly by Ms. Cross scheduled to vest on April </w:t>
      </w:r>
      <w:r>
        <w:rPr>
          <w:rFonts w:ascii="Arial" w:eastAsia="Arial" w:hAnsi="Arial" w:cs="Arial"/>
          <w:b w:val="0"/>
          <w:i w:val="0"/>
          <w:color w:val="969698"/>
          <w:sz w:val="16"/>
          <w:u w:val="none"/>
        </w:rPr>
        <w:t>1</w:t>
      </w:r>
      <w:r>
        <w:rPr>
          <w:rFonts w:ascii="Arial" w:eastAsia="Arial" w:hAnsi="Arial" w:cs="Arial"/>
          <w:b w:val="0"/>
          <w:i w:val="0"/>
          <w:color w:val="969698"/>
          <w:sz w:val="16"/>
          <w:u w:val="none"/>
        </w:rPr>
        <w:t>, 202</w:t>
      </w:r>
      <w:r>
        <w:rPr>
          <w:rFonts w:ascii="Arial" w:eastAsia="Arial" w:hAnsi="Arial" w:cs="Arial"/>
          <w:b w:val="0"/>
          <w:i w:val="0"/>
          <w:color w:val="969698"/>
          <w:sz w:val="16"/>
          <w:u w:val="none"/>
        </w:rPr>
        <w:t>5</w:t>
      </w:r>
      <w:r>
        <w:rPr>
          <w:rFonts w:ascii="Arial" w:eastAsia="Arial" w:hAnsi="Arial" w:cs="Arial"/>
          <w:b w:val="0"/>
          <w:i w:val="0"/>
          <w:color w:val="969698"/>
          <w:sz w:val="16"/>
          <w:u w:val="none"/>
        </w:rPr>
        <w:t xml:space="preserve">. </w:t>
      </w:r>
    </w:p>
    <w:p>
      <w:pPr>
        <w:keepNext w:val="0"/>
        <w:keepLines w:val="0"/>
        <w:pageBreakBefore w:val="0"/>
        <w:widowControl/>
        <w:numPr>
          <w:ilvl w:val="0"/>
          <w:numId w:val="337"/>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Consists of </w:t>
      </w:r>
      <w:r>
        <w:rPr>
          <w:rFonts w:ascii="Arial" w:eastAsia="Arial" w:hAnsi="Arial" w:cs="Arial"/>
          <w:b w:val="0"/>
          <w:i w:val="0"/>
          <w:color w:val="969698"/>
          <w:sz w:val="16"/>
          <w:u w:val="none"/>
        </w:rPr>
        <w:t>1,610</w:t>
      </w:r>
      <w:r>
        <w:rPr>
          <w:rFonts w:ascii="Arial" w:eastAsia="Arial" w:hAnsi="Arial" w:cs="Arial"/>
          <w:b w:val="0"/>
          <w:i w:val="0"/>
          <w:color w:val="969698"/>
          <w:sz w:val="16"/>
          <w:u w:val="none"/>
        </w:rPr>
        <w:t xml:space="preserve"> ordinary shares held directly by Mr. Ni. </w:t>
      </w:r>
    </w:p>
    <w:p>
      <w:pPr>
        <w:keepNext w:val="0"/>
        <w:keepLines w:val="0"/>
        <w:pageBreakBefore w:val="0"/>
        <w:widowControl/>
        <w:numPr>
          <w:ilvl w:val="0"/>
          <w:numId w:val="337"/>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Consists of </w:t>
      </w:r>
      <w:r>
        <w:rPr>
          <w:rFonts w:ascii="Arial" w:eastAsia="Arial" w:hAnsi="Arial" w:cs="Arial"/>
          <w:b w:val="0"/>
          <w:i w:val="0"/>
          <w:color w:val="969698"/>
          <w:sz w:val="16"/>
          <w:u w:val="none"/>
        </w:rPr>
        <w:t>1,020</w:t>
      </w:r>
      <w:r>
        <w:rPr>
          <w:rFonts w:ascii="Arial" w:eastAsia="Arial" w:hAnsi="Arial" w:cs="Arial"/>
          <w:b w:val="0"/>
          <w:i w:val="0"/>
          <w:color w:val="969698"/>
          <w:sz w:val="16"/>
          <w:u w:val="none"/>
        </w:rPr>
        <w:t xml:space="preserve"> ordinary shares held directly by Ms. Beesley and </w:t>
      </w:r>
      <w:r>
        <w:rPr>
          <w:rFonts w:ascii="Arial" w:eastAsia="Arial" w:hAnsi="Arial" w:cs="Arial"/>
          <w:b w:val="0"/>
          <w:i w:val="0"/>
          <w:color w:val="969698"/>
          <w:sz w:val="16"/>
          <w:u w:val="none"/>
        </w:rPr>
        <w:t>407</w:t>
      </w:r>
      <w:r>
        <w:rPr>
          <w:rFonts w:ascii="Arial" w:eastAsia="Arial" w:hAnsi="Arial" w:cs="Arial"/>
          <w:b w:val="0"/>
          <w:i w:val="0"/>
          <w:color w:val="969698"/>
          <w:sz w:val="16"/>
          <w:u w:val="none"/>
        </w:rPr>
        <w:t xml:space="preserve"> restricted ordinary shares held directly by Ms. Beesley scheduled to vest on April </w:t>
      </w:r>
      <w:r>
        <w:rPr>
          <w:rFonts w:ascii="Arial" w:eastAsia="Arial" w:hAnsi="Arial" w:cs="Arial"/>
          <w:b w:val="0"/>
          <w:i w:val="0"/>
          <w:color w:val="969698"/>
          <w:sz w:val="16"/>
          <w:u w:val="none"/>
        </w:rPr>
        <w:t>1</w:t>
      </w:r>
      <w:r>
        <w:rPr>
          <w:rFonts w:ascii="Arial" w:eastAsia="Arial" w:hAnsi="Arial" w:cs="Arial"/>
          <w:b w:val="0"/>
          <w:i w:val="0"/>
          <w:color w:val="969698"/>
          <w:sz w:val="16"/>
          <w:u w:val="none"/>
        </w:rPr>
        <w:t>, 202</w:t>
      </w:r>
      <w:r>
        <w:rPr>
          <w:rFonts w:ascii="Arial" w:eastAsia="Arial" w:hAnsi="Arial" w:cs="Arial"/>
          <w:b w:val="0"/>
          <w:i w:val="0"/>
          <w:color w:val="969698"/>
          <w:sz w:val="16"/>
          <w:u w:val="none"/>
        </w:rPr>
        <w:t>5</w:t>
      </w:r>
      <w:r>
        <w:rPr>
          <w:rFonts w:ascii="Arial" w:eastAsia="Arial" w:hAnsi="Arial" w:cs="Arial"/>
          <w:b w:val="0"/>
          <w:i w:val="0"/>
          <w:color w:val="969698"/>
          <w:sz w:val="16"/>
          <w:u w:val="none"/>
        </w:rPr>
        <w:t xml:space="preserve">. </w:t>
      </w:r>
    </w:p>
    <w:p>
      <w:pPr>
        <w:keepNext w:val="0"/>
        <w:keepLines w:val="0"/>
        <w:pageBreakBefore w:val="0"/>
        <w:widowControl/>
        <w:numPr>
          <w:ilvl w:val="0"/>
          <w:numId w:val="337"/>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Consists of </w:t>
      </w:r>
      <w:r>
        <w:rPr>
          <w:rFonts w:ascii="Arial" w:eastAsia="Arial" w:hAnsi="Arial" w:cs="Arial"/>
          <w:b w:val="0"/>
          <w:i w:val="0"/>
          <w:color w:val="929292"/>
          <w:sz w:val="16"/>
          <w:u w:val="none"/>
        </w:rPr>
        <w:t>379</w:t>
      </w:r>
      <w:r>
        <w:rPr>
          <w:rFonts w:ascii="Arial" w:eastAsia="Arial" w:hAnsi="Arial" w:cs="Arial"/>
          <w:b w:val="0"/>
          <w:i w:val="0"/>
          <w:color w:val="FF0090"/>
          <w:sz w:val="16"/>
          <w:u w:val="none"/>
        </w:rPr>
        <w:t xml:space="preserve"> </w:t>
      </w:r>
      <w:r>
        <w:rPr>
          <w:rFonts w:ascii="Arial" w:eastAsia="Arial" w:hAnsi="Arial" w:cs="Arial"/>
          <w:b w:val="0"/>
          <w:i w:val="0"/>
          <w:color w:val="969698"/>
          <w:sz w:val="16"/>
          <w:u w:val="none"/>
        </w:rPr>
        <w:t xml:space="preserve">ordinary shares held directly by Mr. Winslow </w:t>
      </w:r>
      <w:r>
        <w:rPr>
          <w:rFonts w:ascii="Arial" w:eastAsia="Arial" w:hAnsi="Arial" w:cs="Arial"/>
          <w:b w:val="0"/>
          <w:i w:val="0"/>
          <w:color w:val="969698"/>
          <w:sz w:val="16"/>
          <w:u w:val="none"/>
        </w:rPr>
        <w:t>and</w:t>
      </w:r>
      <w:r>
        <w:rPr>
          <w:rFonts w:ascii="Arial" w:eastAsia="Arial" w:hAnsi="Arial" w:cs="Arial"/>
          <w:b w:val="0"/>
          <w:i w:val="0"/>
          <w:color w:val="969698"/>
          <w:sz w:val="16"/>
          <w:u w:val="none"/>
        </w:rPr>
        <w:t xml:space="preserve"> </w:t>
      </w:r>
      <w:r>
        <w:rPr>
          <w:rFonts w:ascii="Arial" w:eastAsia="Arial" w:hAnsi="Arial" w:cs="Arial"/>
          <w:b w:val="0"/>
          <w:i w:val="0"/>
          <w:color w:val="929292"/>
          <w:sz w:val="16"/>
          <w:u w:val="none"/>
        </w:rPr>
        <w:t>430</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ordinary</w:t>
      </w:r>
      <w:r>
        <w:rPr>
          <w:rFonts w:ascii="Arial" w:eastAsia="Arial" w:hAnsi="Arial" w:cs="Arial"/>
          <w:b w:val="0"/>
          <w:i w:val="0"/>
          <w:color w:val="969698"/>
          <w:sz w:val="16"/>
          <w:u w:val="none"/>
        </w:rPr>
        <w:t xml:space="preserve"> shares issuable </w:t>
      </w:r>
      <w:r>
        <w:rPr>
          <w:rFonts w:ascii="Arial" w:eastAsia="Arial" w:hAnsi="Arial" w:cs="Arial"/>
          <w:b w:val="0"/>
          <w:i w:val="0"/>
          <w:color w:val="969698"/>
          <w:sz w:val="16"/>
          <w:u w:val="none"/>
        </w:rPr>
        <w:t xml:space="preserve">pursuant to the Enstar Group Limited Deferred Compensation Plan. </w:t>
      </w:r>
    </w:p>
    <w:p>
      <w:pPr>
        <w:keepNext w:val="0"/>
        <w:keepLines w:val="0"/>
        <w:pageBreakBefore w:val="0"/>
        <w:widowControl/>
        <w:numPr>
          <w:ilvl w:val="0"/>
          <w:numId w:val="337"/>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 xml:space="preserve">See footnotes </w:t>
      </w:r>
      <w:r>
        <w:rPr>
          <w:rFonts w:ascii="Arial" w:eastAsia="Arial" w:hAnsi="Arial" w:cs="Arial"/>
          <w:b w:val="0"/>
          <w:i w:val="0"/>
          <w:color w:val="969698"/>
          <w:sz w:val="16"/>
          <w:u w:val="none"/>
        </w:rPr>
        <w:t>4</w:t>
      </w:r>
      <w:r>
        <w:rPr>
          <w:rFonts w:ascii="Arial" w:eastAsia="Arial" w:hAnsi="Arial" w:cs="Arial"/>
          <w:b w:val="0"/>
          <w:i w:val="0"/>
          <w:color w:val="969698"/>
          <w:sz w:val="16"/>
          <w:u w:val="none"/>
        </w:rPr>
        <w:t xml:space="preserve"> through 1</w:t>
      </w:r>
      <w:r>
        <w:rPr>
          <w:rFonts w:ascii="Arial" w:eastAsia="Arial" w:hAnsi="Arial" w:cs="Arial"/>
          <w:b w:val="0"/>
          <w:i w:val="0"/>
          <w:color w:val="969698"/>
          <w:sz w:val="16"/>
          <w:u w:val="none"/>
        </w:rPr>
        <w:t>9</w:t>
      </w:r>
      <w:r>
        <w:rPr>
          <w:rFonts w:ascii="Arial" w:eastAsia="Arial" w:hAnsi="Arial" w:cs="Arial"/>
          <w:b w:val="0"/>
          <w:i w:val="0"/>
          <w:color w:val="969698"/>
          <w:sz w:val="16"/>
          <w:u w:val="none"/>
        </w:rPr>
        <w:t>.</w:t>
      </w:r>
    </w:p>
    <w:p>
      <w:pPr>
        <w:keepNext w:val="0"/>
        <w:keepLines w:val="0"/>
        <w:pageBreakBefore w:val="0"/>
        <w:widowControl/>
        <w:numPr>
          <w:ilvl w:val="0"/>
          <w:numId w:val="0"/>
        </w:numPr>
        <w:spacing w:before="0" w:after="120" w:line="288" w:lineRule="auto"/>
        <w:ind w:left="-720" w:right="0" w:firstLine="36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969698"/>
          <w:sz w:val="20"/>
          <w:u w:val="none"/>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969698"/>
          <w:sz w:val="16"/>
          <w:u w:val="none"/>
        </w:rPr>
        <w:sectPr>
          <w:headerReference w:type="default" r:id="rId336"/>
          <w:footerReference w:type="default" r:id="rId337"/>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4"/>
          <w:u w:val="none"/>
        </w:rPr>
      </w:pPr>
      <w:bookmarkStart w:id="128" w:name="Section131"/>
      <w:bookmarkEnd w:id="128"/>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CERTAIN RELATIONSHIPS AND RELATED TRANSACTIONS</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
          <w:u w:val="none"/>
        </w:rPr>
        <w:sectPr>
          <w:headerReference w:type="default" r:id="rId338"/>
          <w:footerReference w:type="default" r:id="rId339"/>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bookmarkStart w:id="129" w:name="Section132"/>
      <w:bookmarkEnd w:id="129"/>
      <w:r>
        <w:rPr>
          <w:rFonts w:ascii="Arial" w:eastAsia="Arial" w:hAnsi="Arial" w:cs="Arial"/>
          <w:b/>
          <w:i w:val="0"/>
          <w:color w:val="171449"/>
          <w:sz w:val="24"/>
          <w:u w:val="none"/>
        </w:rPr>
        <w:t>Related Person Transaction Procedures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color w:val="000000"/>
          <w:sz w:val="20"/>
          <w:u w:val="none"/>
        </w:rPr>
        <w:t>From time to time, we have participated in transactions in which one or more of our directors, executive officers or large shareholders has an interest.</w:t>
      </w:r>
      <w:r>
        <w:rPr>
          <w:rFonts w:ascii="Arial" w:eastAsia="Arial" w:hAnsi="Arial" w:cs="Arial"/>
          <w:b w:val="0"/>
          <w:i w:val="0"/>
          <w:sz w:val="20"/>
        </w:rPr>
        <w:t xml:space="preserve"> These transactions, called related-party transactions, are described below.</w:t>
      </w:r>
      <w:r>
        <w:rPr>
          <w:rFonts w:ascii="Arial" w:eastAsia="Arial" w:hAnsi="Arial" w:cs="Arial"/>
          <w:b w:val="0"/>
          <w:i w:val="0"/>
          <w:color w:val="000000"/>
          <w:sz w:val="20"/>
          <w:u w:val="none"/>
        </w:rPr>
        <w:t xml:space="preserve"> All related-party transactions require the approval of our Audit Committee (comprised entirely of independent directors), which reviews each transaction for fairness, business purpose, and reasonableness. Each transaction involving the Company and an affiliate entered into between January 1, 202</w:t>
      </w:r>
      <w:r>
        <w:rPr>
          <w:rFonts w:ascii="Arial" w:eastAsia="Arial" w:hAnsi="Arial" w:cs="Arial"/>
          <w:b w:val="0"/>
          <w:i w:val="0"/>
          <w:color w:val="000000"/>
          <w:sz w:val="20"/>
          <w:u w:val="none"/>
        </w:rPr>
        <w:t>3</w:t>
      </w:r>
      <w:r>
        <w:rPr>
          <w:rFonts w:ascii="Arial" w:eastAsia="Arial" w:hAnsi="Arial" w:cs="Arial"/>
          <w:b w:val="0"/>
          <w:i w:val="0"/>
          <w:color w:val="000000"/>
          <w:sz w:val="20"/>
          <w:u w:val="none"/>
        </w:rPr>
        <w:t xml:space="preserve"> and the date of this proxy statement </w:t>
      </w:r>
      <w:r>
        <w:rPr>
          <w:rFonts w:ascii="Arial" w:eastAsia="Arial" w:hAnsi="Arial" w:cs="Arial"/>
          <w:b w:val="0"/>
          <w:i w:val="0"/>
          <w:color w:val="000000"/>
          <w:sz w:val="20"/>
          <w:u w:val="none"/>
        </w:rPr>
        <w:t>was approved by our Audit Committee. Investment transactions with related parties are also subject to the review and approval of our Investment Committee.</w:t>
      </w:r>
      <w:r>
        <w:rPr>
          <w:rFonts w:ascii="Arial" w:eastAsia="Arial" w:hAnsi="Arial" w:cs="Arial"/>
          <w:b w:val="0"/>
          <w:i w:val="0"/>
          <w:sz w:val="20"/>
        </w:rPr>
        <w:t xml:space="preserve">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In addition, our Board has adopted a Code of Conduct, which states that our directors, officers and employees must avoid engaging in any activity that might create a conflict of interest or a perception of a conflict of interest. The Code of Conduct requires these individuals to raise any proposed or actual transaction that they believe may create a conflict of interest for Audit Committee consideration and review. In any situation where an Audit Committee member could be perceived as having a potential conflict of interest, that member is expected to recuse himself or herself from the matter, and the non-interested members of the Audit Committee review the transaction. Our directors and executive officers are required to declare any interests or potential conflicts of interest annually, and update these declarations on an ongoing basis. Certain of our directors and executive officers have made personal commitments and investments in certain funds and entities in which we invest that are not related parties. In addition, such personal investments have been made in entities that are affiliates of, or otherwise related to, funds managed by or companies affiliated with Stone Point Capital LLC ("Stone Point"), including some of the those reflected in the disclosure below. A summary of all declared interests is provided to the Board regularly.</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On an annual basis, each director and executive officer completes a Directors’ and Officers’ Questionnaire that requires disclosure of any transactions with the Company in which he or she, or any member of his or her immediate family, has a direct or indirect material interest. A summary of responses from the questionnaires is reported to the Audit Committee.</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40"/>
          <w:footerReference w:type="default" r:id="rId341"/>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130" w:name="Section133"/>
      <w:bookmarkEnd w:id="130"/>
    </w:p>
    <w:p>
      <w:pPr>
        <w:keepNext w:val="0"/>
        <w:keepLines w:val="0"/>
        <w:pageBreakBefore w:val="0"/>
        <w:widowControl/>
        <w:numPr>
          <w:ilvl w:val="0"/>
          <w:numId w:val="0"/>
        </w:numPr>
        <w:spacing w:before="0" w:after="10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Transactions Involving Related Persons</w:t>
      </w:r>
    </w:p>
    <w:p>
      <w:pPr>
        <w:keepNext w:val="0"/>
        <w:keepLines w:val="0"/>
        <w:pageBreakBefore w:val="0"/>
        <w:widowControl/>
        <w:numPr>
          <w:ilvl w:val="0"/>
          <w:numId w:val="0"/>
        </w:numPr>
        <w:spacing w:before="0" w:after="60" w:line="288" w:lineRule="auto"/>
        <w:ind w:left="0" w:right="0" w:firstLine="0"/>
        <w:jc w:val="left"/>
        <w:outlineLvl w:val="2"/>
        <w:sectPr>
          <w:headerReference w:type="default" r:id="rId342"/>
          <w:footerReference w:type="default" r:id="rId343"/>
          <w:type w:val="continuous"/>
          <w:pgSz w:w="12240" w:h="15840"/>
          <w:pgMar w:top="855" w:right="990" w:bottom="855" w:left="990" w:header="180" w:footer="270"/>
          <w:cols w:space="708"/>
        </w:sectPr>
      </w:pPr>
    </w:p>
    <w:p>
      <w:pPr>
        <w:keepNext w:val="0"/>
        <w:keepLines w:val="0"/>
        <w:pageBreakBefore w:val="0"/>
        <w:widowControl/>
        <w:numPr>
          <w:ilvl w:val="0"/>
          <w:numId w:val="0"/>
        </w:numPr>
        <w:spacing w:before="60" w:after="60" w:line="288" w:lineRule="auto"/>
        <w:ind w:left="0" w:right="0" w:firstLine="0"/>
        <w:jc w:val="both"/>
        <w:outlineLvl w:val="9"/>
        <w:rPr>
          <w:rFonts w:ascii="Arial" w:eastAsia="Arial" w:hAnsi="Arial" w:cs="Arial"/>
          <w:b/>
          <w:i w:val="0"/>
          <w:color w:val="4495D1"/>
          <w:sz w:val="20"/>
          <w:u w:val="none"/>
        </w:rPr>
      </w:pPr>
      <w:bookmarkStart w:id="131" w:name="Section134"/>
      <w:bookmarkEnd w:id="131"/>
    </w:p>
    <w:p>
      <w:pPr>
        <w:keepNext w:val="0"/>
        <w:keepLines w:val="0"/>
        <w:pageBreakBefore w:val="0"/>
        <w:widowControl/>
        <w:numPr>
          <w:ilvl w:val="0"/>
          <w:numId w:val="0"/>
        </w:numPr>
        <w:spacing w:before="0" w:after="60" w:line="288" w:lineRule="auto"/>
        <w:ind w:left="0" w:right="0" w:firstLine="0"/>
        <w:jc w:val="both"/>
        <w:outlineLvl w:val="3"/>
        <w:rPr>
          <w:rFonts w:ascii="Arial" w:eastAsia="Arial" w:hAnsi="Arial" w:cs="Arial"/>
          <w:b/>
          <w:i w:val="0"/>
          <w:color w:val="4495D1"/>
          <w:sz w:val="20"/>
          <w:u w:val="none"/>
        </w:rPr>
      </w:pPr>
      <w:r>
        <w:rPr>
          <w:rFonts w:ascii="Arial" w:eastAsia="Arial" w:hAnsi="Arial" w:cs="Arial"/>
          <w:b/>
          <w:i w:val="0"/>
          <w:color w:val="4495D1"/>
          <w:sz w:val="20"/>
          <w:u w:val="none"/>
        </w:rPr>
        <w:t>Stone Point and its Affiliates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Investment funds managed by Stone Point own an aggregate of </w:t>
      </w:r>
      <w:r>
        <w:rPr>
          <w:rFonts w:ascii="Arial" w:eastAsia="Arial" w:hAnsi="Arial" w:cs="Arial"/>
          <w:b w:val="0"/>
          <w:i w:val="0"/>
          <w:color w:val="000000"/>
          <w:sz w:val="20"/>
          <w:u w:val="none"/>
        </w:rPr>
        <w:t>1,451,196</w:t>
      </w:r>
      <w:r>
        <w:rPr>
          <w:rFonts w:ascii="Arial" w:eastAsia="Arial" w:hAnsi="Arial" w:cs="Arial"/>
          <w:b w:val="0"/>
          <w:i w:val="0"/>
          <w:sz w:val="20"/>
        </w:rPr>
        <w:t xml:space="preserve"> of our Voting Ordinary Shares (which constitutes approximately </w:t>
      </w:r>
      <w:r>
        <w:rPr>
          <w:rFonts w:ascii="Arial" w:eastAsia="Arial" w:hAnsi="Arial" w:cs="Arial"/>
          <w:b w:val="0"/>
          <w:i w:val="0"/>
          <w:color w:val="000000"/>
          <w:sz w:val="20"/>
          <w:u w:val="none"/>
        </w:rPr>
        <w:t>9.5%</w:t>
      </w:r>
      <w:r>
        <w:rPr>
          <w:rFonts w:ascii="Arial" w:eastAsia="Arial" w:hAnsi="Arial" w:cs="Arial"/>
          <w:b w:val="0"/>
          <w:i w:val="0"/>
          <w:sz w:val="20"/>
        </w:rPr>
        <w:t xml:space="preserve"> of our outstanding voting ordinary shares). James D. Carey, one of our directors, is the sole member of an entity that is one of four general partners of the entities serving as general partners for the Trident funds, is a member of the investment committees of such general partners, and is a member and Managing Director of Stone Point.</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44"/>
          <w:footerReference w:type="default" r:id="rId345"/>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120" w:line="288" w:lineRule="auto"/>
        <w:ind w:left="0" w:right="0" w:firstLine="0"/>
        <w:jc w:val="both"/>
        <w:outlineLvl w:val="9"/>
        <w:rPr>
          <w:rFonts w:ascii="Arial" w:eastAsia="Arial" w:hAnsi="Arial" w:cs="Arial"/>
          <w:b/>
          <w:i w:val="0"/>
          <w:color w:val="171449"/>
          <w:sz w:val="20"/>
          <w:u w:val="none"/>
        </w:rPr>
      </w:pPr>
      <w:bookmarkStart w:id="132" w:name="Section135"/>
      <w:bookmarkEnd w:id="132"/>
    </w:p>
    <w:p>
      <w:pPr>
        <w:keepNext w:val="0"/>
        <w:keepLines w:val="0"/>
        <w:pageBreakBefore w:val="0"/>
        <w:widowControl/>
        <w:numPr>
          <w:ilvl w:val="0"/>
          <w:numId w:val="0"/>
        </w:numPr>
        <w:spacing w:before="0" w:after="120" w:line="288" w:lineRule="auto"/>
        <w:ind w:left="0" w:right="0" w:firstLine="0"/>
        <w:jc w:val="both"/>
        <w:outlineLvl w:val="4"/>
        <w:rPr>
          <w:rFonts w:ascii="Arial" w:eastAsia="Arial" w:hAnsi="Arial" w:cs="Arial"/>
          <w:b/>
          <w:i w:val="0"/>
          <w:color w:val="171449"/>
          <w:sz w:val="20"/>
          <w:u w:val="none"/>
        </w:rPr>
      </w:pPr>
      <w:r>
        <w:rPr>
          <w:rFonts w:ascii="Arial" w:eastAsia="Arial" w:hAnsi="Arial" w:cs="Arial"/>
          <w:b/>
          <w:i w:val="0"/>
          <w:color w:val="171449"/>
          <w:sz w:val="20"/>
          <w:u w:val="none"/>
        </w:rPr>
        <w:t>Investments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We have made various investments in funds and separate accounts managed by Stone Point or affiliates of Stone Point, and we have also made direct investments in entities affiliated with Stone Point. The table below summarizes  our investments related to Stone Point and the fees we have paid to Stone Point and its affiliates in connection with such investments. Regarding these investments:</w:t>
      </w:r>
    </w:p>
    <w:p>
      <w:pPr>
        <w:keepNext w:val="0"/>
        <w:keepLines w:val="0"/>
        <w:pageBreakBefore w:val="0"/>
        <w:widowControl/>
        <w:numPr>
          <w:ilvl w:val="0"/>
          <w:numId w:val="338"/>
        </w:numPr>
        <w:spacing w:before="0" w:after="120" w:line="300" w:lineRule="auto"/>
        <w:ind w:left="720" w:right="0" w:hanging="360"/>
        <w:jc w:val="both"/>
        <w:outlineLvl w:val="9"/>
        <w:rPr>
          <w:rFonts w:ascii="Arial" w:eastAsia="Arial" w:hAnsi="Arial" w:cs="Arial"/>
          <w:b w:val="0"/>
          <w:i w:val="0"/>
          <w:color w:val="4494D1"/>
          <w:sz w:val="20"/>
          <w:u w:val="none"/>
        </w:rPr>
      </w:pPr>
      <w:r>
        <w:rPr>
          <w:rFonts w:ascii="Arial" w:eastAsia="Arial" w:hAnsi="Arial" w:cs="Arial"/>
          <w:b w:val="0"/>
          <w:i w:val="0"/>
          <w:sz w:val="20"/>
        </w:rPr>
        <w:t xml:space="preserve">Where we have made an investment in a fund, </w:t>
      </w:r>
      <w:r>
        <w:rPr>
          <w:rFonts w:ascii="Arial" w:eastAsia="Arial" w:hAnsi="Arial" w:cs="Arial"/>
          <w:b w:val="0"/>
          <w:i/>
          <w:sz w:val="20"/>
        </w:rPr>
        <w:t>the manager of such fund generally charges certain fees to the fund, which are deducted from the net asset value</w:t>
      </w:r>
      <w:r>
        <w:rPr>
          <w:rFonts w:ascii="Arial" w:eastAsia="Arial" w:hAnsi="Arial" w:cs="Arial"/>
          <w:b w:val="0"/>
          <w:i w:val="0"/>
          <w:sz w:val="20"/>
        </w:rPr>
        <w:t xml:space="preserve">. </w:t>
      </w:r>
    </w:p>
    <w:p>
      <w:pPr>
        <w:keepNext w:val="0"/>
        <w:keepLines w:val="0"/>
        <w:pageBreakBefore w:val="0"/>
        <w:widowControl/>
        <w:numPr>
          <w:ilvl w:val="0"/>
          <w:numId w:val="339"/>
        </w:numPr>
        <w:spacing w:before="0" w:after="120" w:line="300" w:lineRule="auto"/>
        <w:ind w:left="720" w:right="0" w:hanging="360"/>
        <w:jc w:val="both"/>
        <w:outlineLvl w:val="9"/>
        <w:rPr>
          <w:rFonts w:ascii="Arial" w:eastAsia="Arial" w:hAnsi="Arial" w:cs="Arial"/>
          <w:b w:val="0"/>
          <w:i w:val="0"/>
          <w:color w:val="4494D1"/>
          <w:sz w:val="20"/>
          <w:u w:val="none"/>
        </w:rPr>
      </w:pPr>
      <w:r>
        <w:rPr>
          <w:rFonts w:ascii="Arial" w:eastAsia="Arial" w:hAnsi="Arial" w:cs="Arial"/>
          <w:b w:val="0"/>
          <w:i w:val="0"/>
          <w:sz w:val="20"/>
        </w:rPr>
        <w:t xml:space="preserve">The aggregate fee amounts in respect of fund investments included in the table below are estimated using the fee provisions applicable to each fund pursuant to the relevant subscription documents. </w:t>
      </w:r>
      <w:r>
        <w:rPr>
          <w:rFonts w:ascii="Arial" w:eastAsia="Arial" w:hAnsi="Arial" w:cs="Arial"/>
          <w:b w:val="0"/>
          <w:i/>
          <w:sz w:val="20"/>
        </w:rPr>
        <w:t xml:space="preserve">No cash payments were made in respect of these fee amounts. </w:t>
      </w:r>
    </w:p>
    <w:p>
      <w:pPr>
        <w:keepNext w:val="0"/>
        <w:keepLines w:val="0"/>
        <w:pageBreakBefore w:val="0"/>
        <w:widowControl/>
        <w:numPr>
          <w:ilvl w:val="0"/>
          <w:numId w:val="340"/>
        </w:numPr>
        <w:spacing w:before="0" w:after="120" w:line="300" w:lineRule="auto"/>
        <w:ind w:left="720" w:right="0" w:hanging="360"/>
        <w:jc w:val="both"/>
        <w:outlineLvl w:val="9"/>
        <w:rPr>
          <w:rFonts w:ascii="Arial" w:eastAsia="Arial" w:hAnsi="Arial" w:cs="Arial"/>
          <w:b w:val="0"/>
          <w:i w:val="0"/>
          <w:color w:val="4494D1"/>
          <w:sz w:val="20"/>
          <w:u w:val="none"/>
        </w:rPr>
      </w:pPr>
      <w:r>
        <w:rPr>
          <w:rFonts w:ascii="Arial" w:eastAsia="Arial" w:hAnsi="Arial" w:cs="Arial"/>
          <w:b w:val="0"/>
          <w:i w:val="0"/>
          <w:sz w:val="20"/>
        </w:rPr>
        <w:t>We are treated no less favorably than similarly situated investors in these funds, and fees charged pursuant to investments affiliated with Stone Point were on an arm's-length basis.</w:t>
      </w:r>
    </w:p>
    <w:tbl>
      <w:tblPr>
        <w:tblW w:w="10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935"/>
        <w:gridCol w:w="1695"/>
        <w:gridCol w:w="1695"/>
        <w:gridCol w:w="1785"/>
      </w:tblGrid>
      <w:tr>
        <w:tblPrEx>
          <w:tblW w:w="10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825"/>
          <w:jc w:val="center"/>
        </w:trPr>
        <w:tc>
          <w:tcPr>
            <w:tcW w:w="493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ind w:left="90"/>
              <w:jc w:val="left"/>
            </w:pPr>
            <w:r>
              <w:rPr>
                <w:rFonts w:ascii="Arial" w:eastAsia="Arial" w:hAnsi="Arial" w:cs="Arial"/>
                <w:b/>
                <w:i w:val="0"/>
                <w:color w:val="FFFFFF"/>
                <w:sz w:val="16"/>
                <w:u w:val="none"/>
              </w:rPr>
              <w:t>Investment</w:t>
            </w:r>
          </w:p>
        </w:tc>
        <w:tc>
          <w:tcPr>
            <w:tcW w:w="169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30" w:line="288" w:lineRule="auto"/>
              <w:ind w:left="0" w:right="0" w:firstLine="0"/>
              <w:jc w:val="center"/>
              <w:outlineLvl w:val="9"/>
              <w:rPr>
                <w:rFonts w:ascii="Arial" w:eastAsia="Arial" w:hAnsi="Arial" w:cs="Arial"/>
                <w:b/>
                <w:i w:val="0"/>
                <w:color w:val="FFFFFF"/>
                <w:sz w:val="16"/>
                <w:u w:val="none"/>
              </w:rPr>
            </w:pPr>
            <w:r>
              <w:rPr>
                <w:rFonts w:ascii="Arial" w:eastAsia="Arial" w:hAnsi="Arial" w:cs="Arial"/>
                <w:b/>
                <w:i w:val="0"/>
                <w:color w:val="FFFFFF"/>
                <w:sz w:val="16"/>
                <w:u w:val="none"/>
              </w:rPr>
              <w:t xml:space="preserve">Carrying Value as of </w:t>
            </w:r>
            <w:r>
              <w:rPr>
                <w:rFonts w:ascii="Arial" w:eastAsia="Arial" w:hAnsi="Arial" w:cs="Arial"/>
                <w:b/>
                <w:i w:val="0"/>
                <w:color w:val="FFFFFF"/>
                <w:sz w:val="16"/>
                <w:u w:val="none"/>
              </w:rPr>
              <w:t>December 31, 2023</w:t>
            </w:r>
          </w:p>
        </w:tc>
        <w:tc>
          <w:tcPr>
            <w:tcW w:w="169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30" w:line="288" w:lineRule="auto"/>
              <w:ind w:left="12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2023</w:t>
            </w:r>
            <w:r>
              <w:rPr>
                <w:rFonts w:ascii="Arial" w:eastAsia="Arial" w:hAnsi="Arial" w:cs="Arial"/>
                <w:b/>
                <w:i w:val="0"/>
                <w:color w:val="FFFFFF"/>
                <w:sz w:val="16"/>
                <w:u w:val="none"/>
              </w:rPr>
              <w:t xml:space="preserve"> Aggregate Fees</w:t>
            </w:r>
          </w:p>
        </w:tc>
        <w:tc>
          <w:tcPr>
            <w:tcW w:w="178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numPr>
                <w:ilvl w:val="0"/>
                <w:numId w:val="0"/>
              </w:numPr>
              <w:spacing w:before="53" w:after="30" w:line="288" w:lineRule="auto"/>
              <w:ind w:left="120" w:right="0" w:firstLine="0"/>
              <w:jc w:val="right"/>
              <w:outlineLvl w:val="9"/>
              <w:rPr>
                <w:rFonts w:ascii="Arial" w:eastAsia="Arial" w:hAnsi="Arial" w:cs="Arial"/>
                <w:b/>
                <w:i w:val="0"/>
                <w:color w:val="FFFFFF"/>
                <w:sz w:val="16"/>
                <w:u w:val="none"/>
              </w:rPr>
            </w:pPr>
            <w:r>
              <w:rPr>
                <w:rFonts w:ascii="Arial" w:eastAsia="Arial" w:hAnsi="Arial" w:cs="Arial"/>
                <w:b/>
                <w:i w:val="0"/>
                <w:color w:val="FFFFFF"/>
                <w:sz w:val="16"/>
                <w:u w:val="none"/>
              </w:rPr>
              <w:t xml:space="preserve">Outstanding Commitments as of </w:t>
            </w:r>
            <w:r>
              <w:rPr>
                <w:rFonts w:ascii="Arial" w:eastAsia="Arial" w:hAnsi="Arial" w:cs="Arial"/>
                <w:b/>
                <w:i w:val="0"/>
                <w:color w:val="FFFFFF"/>
                <w:sz w:val="16"/>
                <w:u w:val="none"/>
              </w:rPr>
              <w:t>December 31, 2023</w:t>
            </w:r>
            <w:r>
              <w:rPr>
                <w:rFonts w:ascii="Arial" w:eastAsia="Arial" w:hAnsi="Arial" w:cs="Arial"/>
                <w:b/>
                <w:i w:val="0"/>
                <w:color w:val="FFFFFF"/>
                <w:sz w:val="16"/>
                <w:u w:val="none"/>
              </w:rPr>
              <w:t xml:space="preserve"> </w:t>
            </w:r>
          </w:p>
        </w:tc>
      </w:tr>
      <w:tr>
        <w:tblPrEx>
          <w:tblW w:w="10110" w:type="dxa"/>
          <w:jc w:val="center"/>
          <w:tblLayout w:type="fixed"/>
          <w:tblCellMar>
            <w:left w:w="108" w:type="dxa"/>
            <w:right w:w="108" w:type="dxa"/>
          </w:tblCellMar>
        </w:tblPrEx>
        <w:trPr>
          <w:cantSplit/>
          <w:trHeight w:hRule="exact" w:val="255"/>
          <w:jc w:val="center"/>
        </w:trPr>
        <w:tc>
          <w:tcPr>
            <w:tcW w:w="4935" w:type="dxa"/>
            <w:tcBorders>
              <w:top w:val="nil"/>
              <w:left w:val="nil"/>
              <w:bottom w:val="nil"/>
              <w:right w:val="nil"/>
            </w:tcBorders>
            <w:shd w:val="clear" w:color="auto" w:fill="4495D1"/>
            <w:tcMar>
              <w:top w:w="0" w:type="dxa"/>
              <w:left w:w="53" w:type="dxa"/>
              <w:bottom w:w="0" w:type="dxa"/>
              <w:right w:w="53" w:type="dxa"/>
            </w:tcMar>
            <w:vAlign w:val="bottom"/>
          </w:tcPr>
          <w:p>
            <w:pPr>
              <w:keepNext/>
              <w:pageBreakBefore w:val="0"/>
              <w:spacing w:before="53" w:after="30" w:line="288" w:lineRule="auto"/>
              <w:jc w:val="left"/>
            </w:pPr>
            <w:r>
              <w:rPr>
                <w:rFonts w:ascii="Arial" w:eastAsia="Arial" w:hAnsi="Arial" w:cs="Arial"/>
                <w:b/>
                <w:i w:val="0"/>
                <w:color w:val="FFFFFF"/>
                <w:sz w:val="16"/>
                <w:u w:val="none"/>
              </w:rPr>
              <w:t>  </w:t>
            </w:r>
          </w:p>
        </w:tc>
        <w:tc>
          <w:tcPr>
            <w:tcW w:w="5175" w:type="dxa"/>
            <w:gridSpan w:val="3"/>
            <w:tcBorders>
              <w:top w:val="nil"/>
              <w:left w:val="nil"/>
              <w:bottom w:val="nil"/>
              <w:right w:val="nil"/>
            </w:tcBorders>
            <w:shd w:val="clear" w:color="auto" w:fill="4495D1"/>
            <w:tcMar>
              <w:top w:w="0" w:type="dxa"/>
              <w:left w:w="53" w:type="dxa"/>
              <w:bottom w:w="0" w:type="dxa"/>
              <w:right w:w="15" w:type="dxa"/>
            </w:tcMar>
            <w:vAlign w:val="bottom"/>
          </w:tcPr>
          <w:p>
            <w:pPr>
              <w:keepNext/>
              <w:pageBreakBefore w:val="0"/>
              <w:spacing w:before="53" w:after="30" w:line="288" w:lineRule="auto"/>
              <w:jc w:val="center"/>
            </w:pPr>
            <w:r>
              <w:rPr>
                <w:rFonts w:ascii="Arial" w:eastAsia="Arial" w:hAnsi="Arial" w:cs="Arial"/>
                <w:b/>
                <w:i w:val="0"/>
                <w:color w:val="FFFFFF"/>
                <w:sz w:val="16"/>
                <w:u w:val="none"/>
              </w:rPr>
              <w:t>(in millions of U.S. dollars)</w:t>
            </w:r>
          </w:p>
        </w:tc>
      </w:tr>
      <w:tr>
        <w:tblPrEx>
          <w:tblW w:w="10110" w:type="dxa"/>
          <w:jc w:val="center"/>
          <w:tblLayout w:type="fixed"/>
          <w:tblCellMar>
            <w:left w:w="108" w:type="dxa"/>
            <w:right w:w="108" w:type="dxa"/>
          </w:tblCellMar>
        </w:tblPrEx>
        <w:trPr>
          <w:cantSplit/>
          <w:trHeight w:hRule="exact" w:val="525"/>
          <w:jc w:val="center"/>
        </w:trPr>
        <w:tc>
          <w:tcPr>
            <w:tcW w:w="4935" w:type="dxa"/>
            <w:tcBorders>
              <w:top w:val="nil"/>
              <w:left w:val="nil"/>
              <w:bottom w:val="nil"/>
              <w:right w:val="nil"/>
            </w:tcBorders>
            <w:shd w:val="clear" w:color="auto" w:fill="DFDDDE"/>
            <w:tcMar>
              <w:top w:w="0" w:type="dxa"/>
              <w:left w:w="53" w:type="dxa"/>
              <w:bottom w:w="0" w:type="dxa"/>
              <w:right w:w="53" w:type="dxa"/>
            </w:tcMar>
            <w:vAlign w:val="bottom"/>
          </w:tcPr>
          <w:p>
            <w:pPr>
              <w:keepNext/>
              <w:pageBreakBefore w:val="0"/>
              <w:numPr>
                <w:ilvl w:val="0"/>
                <w:numId w:val="0"/>
              </w:numPr>
              <w:spacing w:before="53" w:after="3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Investments in Funds and Separate Accounts managed by Stone Point and its affiliates</w:t>
            </w:r>
            <w:r>
              <w:rPr>
                <w:rFonts w:ascii="Arial" w:eastAsia="Arial" w:hAnsi="Arial" w:cs="Arial"/>
                <w:b w:val="0"/>
                <w:i w:val="0"/>
                <w:sz w:val="20"/>
                <w:vertAlign w:val="superscript"/>
              </w:rPr>
              <w:t>(1)</w:t>
            </w:r>
          </w:p>
        </w:tc>
        <w:tc>
          <w:tcPr>
            <w:tcW w:w="1695" w:type="dxa"/>
            <w:tcBorders>
              <w:top w:val="nil"/>
              <w:left w:val="nil"/>
              <w:bottom w:val="nil"/>
              <w:right w:val="nil"/>
            </w:tcBorders>
            <w:shd w:val="clear" w:color="auto" w:fill="DFDDDE"/>
            <w:tcMar>
              <w:top w:w="0" w:type="dxa"/>
              <w:left w:w="0" w:type="dxa"/>
              <w:bottom w:w="0" w:type="dxa"/>
              <w:right w:w="15" w:type="dxa"/>
            </w:tcMar>
            <w:vAlign w:val="bottom"/>
          </w:tcPr>
          <w:p>
            <w:pPr>
              <w:keepNext/>
              <w:pageBreakBefore w:val="0"/>
              <w:tabs>
                <w:tab w:val="left" w:pos="1039"/>
              </w:tabs>
              <w:spacing w:before="53" w:after="30" w:line="288" w:lineRule="auto"/>
              <w:ind w:right="90"/>
              <w:jc w:val="right"/>
            </w:pPr>
            <w:r>
              <w:rPr>
                <w:rFonts w:ascii="Arial" w:eastAsia="Arial" w:hAnsi="Arial" w:cs="Arial"/>
                <w:b w:val="0"/>
                <w:i w:val="0"/>
                <w:color w:val="000000"/>
                <w:sz w:val="20"/>
                <w:u w:val="none"/>
              </w:rPr>
              <w:t>$</w:t>
              <w:tab/>
              <w:t>1,033</w:t>
            </w:r>
          </w:p>
        </w:tc>
        <w:tc>
          <w:tcPr>
            <w:tcW w:w="1695" w:type="dxa"/>
            <w:tcBorders>
              <w:top w:val="nil"/>
              <w:left w:val="nil"/>
              <w:bottom w:val="nil"/>
              <w:right w:val="nil"/>
            </w:tcBorders>
            <w:shd w:val="clear" w:color="auto" w:fill="DFDDDE"/>
            <w:tcMar>
              <w:top w:w="0" w:type="dxa"/>
              <w:left w:w="0" w:type="dxa"/>
              <w:bottom w:w="0" w:type="dxa"/>
              <w:right w:w="15" w:type="dxa"/>
            </w:tcMar>
            <w:vAlign w:val="bottom"/>
          </w:tcPr>
          <w:p>
            <w:pPr>
              <w:keepNext/>
              <w:pageBreakBefore w:val="0"/>
              <w:tabs>
                <w:tab w:val="left" w:pos="1316"/>
              </w:tabs>
              <w:spacing w:before="53" w:after="30" w:line="288" w:lineRule="auto"/>
              <w:ind w:right="90"/>
              <w:jc w:val="right"/>
            </w:pPr>
            <w:r>
              <w:rPr>
                <w:rFonts w:ascii="Arial" w:eastAsia="Arial" w:hAnsi="Arial" w:cs="Arial"/>
                <w:b w:val="0"/>
                <w:i w:val="0"/>
                <w:color w:val="000000"/>
                <w:sz w:val="20"/>
                <w:u w:val="none"/>
              </w:rPr>
              <w:t>$</w:t>
              <w:tab/>
              <w:t>12</w:t>
            </w:r>
          </w:p>
        </w:tc>
        <w:tc>
          <w:tcPr>
            <w:tcW w:w="1785" w:type="dxa"/>
            <w:tcBorders>
              <w:top w:val="nil"/>
              <w:left w:val="nil"/>
              <w:bottom w:val="nil"/>
              <w:right w:val="nil"/>
            </w:tcBorders>
            <w:shd w:val="clear" w:color="auto" w:fill="DFDDDE"/>
            <w:tcMar>
              <w:top w:w="0" w:type="dxa"/>
              <w:left w:w="0" w:type="dxa"/>
              <w:bottom w:w="0" w:type="dxa"/>
              <w:right w:w="15" w:type="dxa"/>
            </w:tcMar>
            <w:vAlign w:val="bottom"/>
          </w:tcPr>
          <w:p>
            <w:pPr>
              <w:keepNext/>
              <w:pageBreakBefore w:val="0"/>
              <w:tabs>
                <w:tab w:val="left" w:pos="1295"/>
              </w:tabs>
              <w:spacing w:before="53" w:after="30" w:line="288" w:lineRule="auto"/>
              <w:ind w:right="90"/>
              <w:jc w:val="right"/>
            </w:pPr>
            <w:r>
              <w:rPr>
                <w:rFonts w:ascii="Arial" w:eastAsia="Arial" w:hAnsi="Arial" w:cs="Arial"/>
                <w:b w:val="0"/>
                <w:i w:val="0"/>
                <w:color w:val="000000"/>
                <w:sz w:val="20"/>
                <w:u w:val="none"/>
              </w:rPr>
              <w:t>$</w:t>
              <w:tab/>
              <w:t>155</w:t>
            </w:r>
          </w:p>
        </w:tc>
      </w:tr>
      <w:tr>
        <w:tblPrEx>
          <w:tblW w:w="10110" w:type="dxa"/>
          <w:jc w:val="center"/>
          <w:tblLayout w:type="fixed"/>
          <w:tblCellMar>
            <w:left w:w="108" w:type="dxa"/>
            <w:right w:w="108" w:type="dxa"/>
          </w:tblCellMar>
        </w:tblPrEx>
        <w:trPr>
          <w:cantSplit/>
          <w:trHeight w:hRule="exact" w:val="285"/>
          <w:jc w:val="center"/>
        </w:trPr>
        <w:tc>
          <w:tcPr>
            <w:tcW w:w="4935" w:type="dxa"/>
            <w:tcBorders>
              <w:top w:val="nil"/>
              <w:left w:val="nil"/>
              <w:bottom w:val="nil"/>
              <w:right w:val="nil"/>
            </w:tcBorders>
            <w:shd w:val="clear" w:color="auto" w:fill="FFFFFF"/>
            <w:tcMar>
              <w:top w:w="0" w:type="dxa"/>
              <w:left w:w="53" w:type="dxa"/>
              <w:bottom w:w="0" w:type="dxa"/>
              <w:right w:w="53" w:type="dxa"/>
            </w:tcMar>
            <w:vAlign w:val="bottom"/>
          </w:tcPr>
          <w:p>
            <w:pPr>
              <w:keepNext/>
              <w:pageBreakBefore w:val="0"/>
              <w:numPr>
                <w:ilvl w:val="0"/>
                <w:numId w:val="0"/>
              </w:numPr>
              <w:spacing w:before="53" w:after="3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Direct Investment in Stone Point Credit Corporation</w:t>
            </w:r>
            <w:r>
              <w:rPr>
                <w:rFonts w:ascii="Arial" w:eastAsia="Arial" w:hAnsi="Arial" w:cs="Arial"/>
                <w:b w:val="0"/>
                <w:i w:val="0"/>
                <w:sz w:val="20"/>
                <w:vertAlign w:val="superscript"/>
              </w:rPr>
              <w:t>(2)</w:t>
            </w:r>
          </w:p>
        </w:tc>
        <w:tc>
          <w:tcPr>
            <w:tcW w:w="169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1316"/>
              </w:tabs>
              <w:spacing w:before="53" w:after="30" w:line="288" w:lineRule="auto"/>
              <w:ind w:right="90"/>
              <w:jc w:val="right"/>
            </w:pPr>
            <w:r>
              <w:rPr>
                <w:rFonts w:ascii="Arial" w:eastAsia="Arial" w:hAnsi="Arial" w:cs="Arial"/>
                <w:b w:val="0"/>
                <w:i w:val="0"/>
                <w:color w:val="000000"/>
                <w:sz w:val="20"/>
                <w:u w:val="none"/>
              </w:rPr>
              <w:t>$</w:t>
              <w:tab/>
              <w:t>45</w:t>
            </w:r>
          </w:p>
        </w:tc>
        <w:tc>
          <w:tcPr>
            <w:tcW w:w="169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1428"/>
              </w:tabs>
              <w:spacing w:before="53" w:after="30" w:line="288" w:lineRule="auto"/>
              <w:ind w:right="90"/>
              <w:jc w:val="right"/>
            </w:pPr>
            <w:r>
              <w:rPr>
                <w:rFonts w:ascii="Arial" w:eastAsia="Arial" w:hAnsi="Arial" w:cs="Arial"/>
                <w:b w:val="0"/>
                <w:i w:val="0"/>
                <w:color w:val="000000"/>
                <w:sz w:val="20"/>
                <w:u w:val="none"/>
              </w:rPr>
              <w:t>$</w:t>
              <w:tab/>
              <w:t>1</w:t>
            </w:r>
          </w:p>
        </w:tc>
        <w:tc>
          <w:tcPr>
            <w:tcW w:w="1785" w:type="dxa"/>
            <w:tcBorders>
              <w:top w:val="nil"/>
              <w:left w:val="nil"/>
              <w:bottom w:val="nil"/>
              <w:right w:val="nil"/>
            </w:tcBorders>
            <w:shd w:val="clear" w:color="auto" w:fill="FFFFFF"/>
            <w:tcMar>
              <w:top w:w="0" w:type="dxa"/>
              <w:left w:w="0" w:type="dxa"/>
              <w:bottom w:w="0" w:type="dxa"/>
              <w:right w:w="15" w:type="dxa"/>
            </w:tcMar>
            <w:vAlign w:val="bottom"/>
          </w:tcPr>
          <w:p>
            <w:pPr>
              <w:keepNext/>
              <w:pageBreakBefore w:val="0"/>
              <w:tabs>
                <w:tab w:val="left" w:pos="1406"/>
              </w:tabs>
              <w:spacing w:before="53" w:after="30" w:line="288" w:lineRule="auto"/>
              <w:ind w:right="90"/>
              <w:jc w:val="right"/>
            </w:pPr>
            <w:r>
              <w:rPr>
                <w:rFonts w:ascii="Arial" w:eastAsia="Arial" w:hAnsi="Arial" w:cs="Arial"/>
                <w:b w:val="0"/>
                <w:i w:val="0"/>
                <w:color w:val="000000"/>
                <w:sz w:val="20"/>
                <w:u w:val="none"/>
              </w:rPr>
              <w:t>$</w:t>
              <w:tab/>
              <w:t>12</w:t>
            </w:r>
          </w:p>
        </w:tc>
      </w:tr>
      <w:tr>
        <w:tblPrEx>
          <w:tblW w:w="10110" w:type="dxa"/>
          <w:jc w:val="center"/>
          <w:tblLayout w:type="fixed"/>
          <w:tblCellMar>
            <w:left w:w="108" w:type="dxa"/>
            <w:right w:w="108" w:type="dxa"/>
          </w:tblCellMar>
        </w:tblPrEx>
        <w:trPr>
          <w:cantSplit/>
          <w:trHeight w:hRule="exact" w:val="285"/>
          <w:jc w:val="center"/>
        </w:trPr>
        <w:tc>
          <w:tcPr>
            <w:tcW w:w="4935" w:type="dxa"/>
            <w:tcBorders>
              <w:top w:val="nil"/>
              <w:left w:val="nil"/>
              <w:bottom w:val="nil"/>
              <w:right w:val="nil"/>
            </w:tcBorders>
            <w:shd w:val="clear" w:color="auto" w:fill="DFDDDE"/>
            <w:tcMar>
              <w:top w:w="0" w:type="dxa"/>
              <w:left w:w="53" w:type="dxa"/>
              <w:bottom w:w="0" w:type="dxa"/>
              <w:right w:w="53" w:type="dxa"/>
            </w:tcMar>
            <w:vAlign w:val="bottom"/>
          </w:tcPr>
          <w:p>
            <w:pPr>
              <w:keepNext/>
              <w:pageBreakBefore w:val="0"/>
              <w:numPr>
                <w:ilvl w:val="0"/>
                <w:numId w:val="0"/>
              </w:numPr>
              <w:spacing w:before="53" w:after="30" w:line="288" w:lineRule="auto"/>
              <w:ind w:left="90" w:right="0" w:firstLine="0"/>
              <w:jc w:val="left"/>
              <w:outlineLvl w:val="9"/>
              <w:rPr>
                <w:rFonts w:ascii="Arial" w:eastAsia="Arial" w:hAnsi="Arial" w:cs="Arial"/>
                <w:b w:val="0"/>
                <w:i w:val="0"/>
                <w:sz w:val="20"/>
              </w:rPr>
            </w:pPr>
            <w:r>
              <w:rPr>
                <w:rFonts w:ascii="Arial" w:eastAsia="Arial" w:hAnsi="Arial" w:cs="Arial"/>
                <w:b w:val="0"/>
                <w:i w:val="0"/>
                <w:sz w:val="20"/>
              </w:rPr>
              <w:t>Direct Investment in Mitchell TopCo Holdings</w:t>
            </w:r>
            <w:r>
              <w:rPr>
                <w:rFonts w:ascii="Arial" w:eastAsia="Arial" w:hAnsi="Arial" w:cs="Arial"/>
                <w:b w:val="0"/>
                <w:i w:val="0"/>
                <w:sz w:val="20"/>
                <w:vertAlign w:val="superscript"/>
              </w:rPr>
              <w:t>(3)</w:t>
            </w:r>
          </w:p>
        </w:tc>
        <w:tc>
          <w:tcPr>
            <w:tcW w:w="1695" w:type="dxa"/>
            <w:tcBorders>
              <w:top w:val="nil"/>
              <w:left w:val="nil"/>
              <w:bottom w:val="nil"/>
              <w:right w:val="nil"/>
            </w:tcBorders>
            <w:shd w:val="clear" w:color="auto" w:fill="DFDDDE"/>
            <w:tcMar>
              <w:top w:w="0" w:type="dxa"/>
              <w:left w:w="0" w:type="dxa"/>
              <w:bottom w:w="0" w:type="dxa"/>
              <w:right w:w="15" w:type="dxa"/>
            </w:tcMar>
            <w:vAlign w:val="bottom"/>
          </w:tcPr>
          <w:p>
            <w:pPr>
              <w:keepNext/>
              <w:pageBreakBefore w:val="0"/>
              <w:tabs>
                <w:tab w:val="left" w:pos="1316"/>
              </w:tabs>
              <w:spacing w:before="53" w:after="30" w:line="288" w:lineRule="auto"/>
              <w:ind w:right="90"/>
              <w:jc w:val="right"/>
            </w:pPr>
            <w:r>
              <w:rPr>
                <w:rFonts w:ascii="Arial" w:eastAsia="Arial" w:hAnsi="Arial" w:cs="Arial"/>
                <w:b w:val="0"/>
                <w:i w:val="0"/>
                <w:color w:val="000000"/>
                <w:sz w:val="20"/>
                <w:u w:val="none"/>
              </w:rPr>
              <w:t>$</w:t>
              <w:tab/>
              <w:t>28</w:t>
            </w:r>
          </w:p>
        </w:tc>
        <w:tc>
          <w:tcPr>
            <w:tcW w:w="1695" w:type="dxa"/>
            <w:tcBorders>
              <w:top w:val="nil"/>
              <w:left w:val="nil"/>
              <w:bottom w:val="nil"/>
              <w:right w:val="nil"/>
            </w:tcBorders>
            <w:shd w:val="clear" w:color="auto" w:fill="DFDDDE"/>
            <w:tcMar>
              <w:top w:w="0" w:type="dxa"/>
              <w:left w:w="0" w:type="dxa"/>
              <w:bottom w:w="0" w:type="dxa"/>
              <w:right w:w="15" w:type="dxa"/>
            </w:tcMar>
            <w:vAlign w:val="bottom"/>
          </w:tcPr>
          <w:p>
            <w:pPr>
              <w:keepNext/>
              <w:pageBreakBefore w:val="0"/>
              <w:spacing w:before="53" w:after="30" w:line="288" w:lineRule="auto"/>
              <w:ind w:right="90"/>
              <w:jc w:val="right"/>
            </w:pPr>
            <w:r>
              <w:rPr>
                <w:rFonts w:ascii="Arial" w:eastAsia="Arial" w:hAnsi="Arial" w:cs="Arial"/>
                <w:b w:val="0"/>
                <w:i w:val="0"/>
                <w:color w:val="000000"/>
                <w:sz w:val="20"/>
                <w:u w:val="none"/>
              </w:rPr>
              <w:t>N/A</w:t>
            </w:r>
          </w:p>
        </w:tc>
        <w:tc>
          <w:tcPr>
            <w:tcW w:w="1785" w:type="dxa"/>
            <w:tcBorders>
              <w:top w:val="nil"/>
              <w:left w:val="nil"/>
              <w:bottom w:val="nil"/>
              <w:right w:val="nil"/>
            </w:tcBorders>
            <w:shd w:val="clear" w:color="auto" w:fill="DFDDDE"/>
            <w:tcMar>
              <w:top w:w="0" w:type="dxa"/>
              <w:left w:w="0" w:type="dxa"/>
              <w:bottom w:w="0" w:type="dxa"/>
              <w:right w:w="15" w:type="dxa"/>
            </w:tcMar>
            <w:vAlign w:val="bottom"/>
          </w:tcPr>
          <w:p>
            <w:pPr>
              <w:keepNext/>
              <w:pageBreakBefore w:val="0"/>
              <w:tabs>
                <w:tab w:val="left" w:pos="1429"/>
              </w:tabs>
              <w:spacing w:before="53" w:after="30" w:line="288" w:lineRule="auto"/>
              <w:ind w:right="90"/>
              <w:jc w:val="right"/>
            </w:pPr>
            <w:r>
              <w:rPr>
                <w:rFonts w:ascii="Arial" w:eastAsia="Arial" w:hAnsi="Arial" w:cs="Arial"/>
                <w:b w:val="0"/>
                <w:i w:val="0"/>
                <w:color w:val="000000"/>
                <w:sz w:val="20"/>
                <w:u w:val="none"/>
              </w:rPr>
              <w:t>$</w:t>
              <w:tab/>
              <w:t>—</w:t>
            </w:r>
          </w:p>
        </w:tc>
      </w:tr>
      <w:tr>
        <w:tblPrEx>
          <w:tblW w:w="10110" w:type="dxa"/>
          <w:jc w:val="center"/>
          <w:tblLayout w:type="fixed"/>
          <w:tblCellMar>
            <w:left w:w="108" w:type="dxa"/>
            <w:right w:w="108" w:type="dxa"/>
          </w:tblCellMar>
        </w:tblPrEx>
        <w:trPr>
          <w:cantSplit/>
          <w:trHeight w:hRule="exact" w:val="285"/>
          <w:jc w:val="center"/>
        </w:trPr>
        <w:tc>
          <w:tcPr>
            <w:tcW w:w="4935" w:type="dxa"/>
            <w:tcBorders>
              <w:top w:val="nil"/>
              <w:left w:val="nil"/>
              <w:bottom w:val="nil"/>
              <w:right w:val="nil"/>
            </w:tcBorders>
            <w:shd w:val="clear" w:color="auto" w:fill="FFFFFF"/>
            <w:tcMar>
              <w:top w:w="0" w:type="dxa"/>
              <w:left w:w="53" w:type="dxa"/>
              <w:bottom w:w="0" w:type="dxa"/>
              <w:right w:w="53" w:type="dxa"/>
            </w:tcMar>
            <w:vAlign w:val="bottom"/>
          </w:tcPr>
          <w:p>
            <w:pPr>
              <w:pageBreakBefore w:val="0"/>
              <w:numPr>
                <w:ilvl w:val="0"/>
                <w:numId w:val="0"/>
              </w:numPr>
              <w:spacing w:before="53" w:after="30" w:line="240" w:lineRule="auto"/>
              <w:ind w:left="90" w:right="0" w:firstLine="0"/>
              <w:jc w:val="left"/>
              <w:outlineLvl w:val="9"/>
              <w:rPr>
                <w:rFonts w:ascii="Arial" w:eastAsia="Arial" w:hAnsi="Arial" w:cs="Arial"/>
                <w:b w:val="0"/>
                <w:i w:val="0"/>
                <w:sz w:val="20"/>
              </w:rPr>
            </w:pPr>
            <w:r>
              <w:rPr>
                <w:rFonts w:ascii="Arial" w:eastAsia="Arial" w:hAnsi="Arial" w:cs="Arial"/>
                <w:b w:val="0"/>
                <w:i w:val="0"/>
                <w:sz w:val="20"/>
              </w:rPr>
              <w:t>Direct Investment in Evergreen Parent L.P.</w:t>
            </w:r>
            <w:r>
              <w:rPr>
                <w:rFonts w:ascii="Arial" w:eastAsia="Arial" w:hAnsi="Arial" w:cs="Arial"/>
                <w:b w:val="0"/>
                <w:i w:val="0"/>
                <w:sz w:val="20"/>
                <w:vertAlign w:val="superscript"/>
              </w:rPr>
              <w:t>(</w:t>
            </w:r>
            <w:r>
              <w:rPr>
                <w:rFonts w:ascii="Arial" w:eastAsia="Arial" w:hAnsi="Arial" w:cs="Arial"/>
                <w:b w:val="0"/>
                <w:i w:val="0"/>
                <w:sz w:val="20"/>
                <w:vertAlign w:val="superscript"/>
              </w:rPr>
              <w:t>4</w:t>
            </w:r>
            <w:r>
              <w:rPr>
                <w:rFonts w:ascii="Arial" w:eastAsia="Arial" w:hAnsi="Arial" w:cs="Arial"/>
                <w:b w:val="0"/>
                <w:i w:val="0"/>
                <w:sz w:val="20"/>
                <w:vertAlign w:val="superscript"/>
              </w:rPr>
              <w:t>)</w:t>
            </w:r>
          </w:p>
        </w:tc>
        <w:tc>
          <w:tcPr>
            <w:tcW w:w="1695" w:type="dxa"/>
            <w:tcBorders>
              <w:top w:val="nil"/>
              <w:left w:val="nil"/>
              <w:bottom w:val="nil"/>
              <w:right w:val="nil"/>
            </w:tcBorders>
            <w:shd w:val="clear" w:color="auto" w:fill="FFFFFF"/>
            <w:tcMar>
              <w:top w:w="0" w:type="dxa"/>
              <w:left w:w="0" w:type="dxa"/>
              <w:bottom w:w="0" w:type="dxa"/>
              <w:right w:w="15" w:type="dxa"/>
            </w:tcMar>
            <w:vAlign w:val="bottom"/>
          </w:tcPr>
          <w:p>
            <w:pPr>
              <w:pageBreakBefore w:val="0"/>
              <w:tabs>
                <w:tab w:val="left" w:pos="1205"/>
              </w:tabs>
              <w:spacing w:before="53" w:after="30" w:line="288" w:lineRule="auto"/>
              <w:ind w:right="90"/>
              <w:jc w:val="right"/>
            </w:pPr>
            <w:r>
              <w:rPr>
                <w:rFonts w:ascii="Arial" w:eastAsia="Arial" w:hAnsi="Arial" w:cs="Arial"/>
                <w:b w:val="0"/>
                <w:i w:val="0"/>
                <w:color w:val="000000"/>
                <w:sz w:val="20"/>
                <w:u w:val="none"/>
              </w:rPr>
              <w:t>$</w:t>
              <w:tab/>
              <w:t>181</w:t>
            </w:r>
          </w:p>
        </w:tc>
        <w:tc>
          <w:tcPr>
            <w:tcW w:w="1695" w:type="dxa"/>
            <w:tcBorders>
              <w:top w:val="nil"/>
              <w:left w:val="nil"/>
              <w:bottom w:val="nil"/>
              <w:right w:val="nil"/>
            </w:tcBorders>
            <w:shd w:val="clear" w:color="auto" w:fill="FFFFFF"/>
            <w:tcMar>
              <w:top w:w="0" w:type="dxa"/>
              <w:left w:w="0" w:type="dxa"/>
              <w:bottom w:w="0" w:type="dxa"/>
              <w:right w:w="15" w:type="dxa"/>
            </w:tcMar>
            <w:vAlign w:val="bottom"/>
          </w:tcPr>
          <w:p>
            <w:pPr>
              <w:pageBreakBefore w:val="0"/>
              <w:spacing w:before="53" w:after="30" w:line="288" w:lineRule="auto"/>
              <w:ind w:right="90"/>
              <w:jc w:val="right"/>
            </w:pPr>
            <w:r>
              <w:rPr>
                <w:rFonts w:ascii="Arial" w:eastAsia="Arial" w:hAnsi="Arial" w:cs="Arial"/>
                <w:b w:val="0"/>
                <w:i w:val="0"/>
                <w:color w:val="000000"/>
                <w:sz w:val="20"/>
                <w:u w:val="none"/>
              </w:rPr>
              <w:t>N/A</w:t>
            </w:r>
          </w:p>
        </w:tc>
        <w:tc>
          <w:tcPr>
            <w:tcW w:w="1785" w:type="dxa"/>
            <w:tcBorders>
              <w:top w:val="nil"/>
              <w:left w:val="nil"/>
              <w:bottom w:val="nil"/>
              <w:right w:val="nil"/>
            </w:tcBorders>
            <w:shd w:val="clear" w:color="auto" w:fill="FFFFFF"/>
            <w:tcMar>
              <w:top w:w="0" w:type="dxa"/>
              <w:left w:w="0" w:type="dxa"/>
              <w:bottom w:w="0" w:type="dxa"/>
              <w:right w:w="15" w:type="dxa"/>
            </w:tcMar>
            <w:vAlign w:val="bottom"/>
          </w:tcPr>
          <w:p>
            <w:pPr>
              <w:pageBreakBefore w:val="0"/>
              <w:tabs>
                <w:tab w:val="left" w:pos="1429"/>
              </w:tabs>
              <w:spacing w:before="53" w:after="30" w:line="288" w:lineRule="auto"/>
              <w:ind w:right="90"/>
              <w:jc w:val="right"/>
            </w:pPr>
            <w:r>
              <w:rPr>
                <w:rFonts w:ascii="Arial" w:eastAsia="Arial" w:hAnsi="Arial" w:cs="Arial"/>
                <w:b w:val="0"/>
                <w:i w:val="0"/>
                <w:color w:val="000000"/>
                <w:sz w:val="20"/>
                <w:u w:val="none"/>
              </w:rPr>
              <w:t>$</w:t>
              <w:tab/>
              <w:t>—</w:t>
            </w:r>
          </w:p>
        </w:tc>
      </w:tr>
    </w:tbl>
    <w:p>
      <w:pPr>
        <w:keepNext w:val="0"/>
        <w:keepLines w:val="0"/>
        <w:pageBreakBefore w:val="0"/>
        <w:widowControl/>
        <w:numPr>
          <w:ilvl w:val="0"/>
          <w:numId w:val="341"/>
        </w:numPr>
        <w:spacing w:before="12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Includes investments managed by Stone Point or one of the following entities in which funds managed by Stone Point have ownership interests: Eagle Point Credit Management LLC, SKY Harbor Capital Management, LLC, PRIMA Capital Advisors, LLC, Henderson Park Capital, and Marble Point Investments LP. Mr. Carey is a member of the board of managers of Eagle Point Credit Management LLC. Also includes investments managed by Sound Point Capital Management, L.P., in which Mr. Carey has an indirect minority ownership and for which he serves as a member of its board of managers.</w:t>
      </w:r>
    </w:p>
    <w:p>
      <w:pPr>
        <w:keepNext w:val="0"/>
        <w:keepLines w:val="0"/>
        <w:pageBreakBefore w:val="0"/>
        <w:widowControl/>
        <w:numPr>
          <w:ilvl w:val="0"/>
          <w:numId w:val="341"/>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Investment in Stone Point Credit Corporation, a business development company and affiliate of Stone Point.</w:t>
      </w:r>
    </w:p>
    <w:p>
      <w:pPr>
        <w:keepNext w:val="0"/>
        <w:keepLines w:val="0"/>
        <w:pageBreakBefore w:val="0"/>
        <w:widowControl/>
        <w:numPr>
          <w:ilvl w:val="0"/>
          <w:numId w:val="341"/>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Co-investment alongside an affiliate of Stone Point in Mitchell TopCo Holdings, the indirect parent company of Mitchell International ("Mitchell") and Genex Services ("Genex").</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 xml:space="preserve">Also includes co-investment alongside an affiliate of Stone Point in </w:t>
      </w:r>
      <w:r>
        <w:rPr>
          <w:rFonts w:ascii="Arial" w:eastAsia="Arial" w:hAnsi="Arial" w:cs="Arial"/>
          <w:b w:val="0"/>
          <w:i w:val="0"/>
          <w:color w:val="969698"/>
          <w:sz w:val="16"/>
          <w:u w:val="none"/>
        </w:rPr>
        <w:t>Emperion Partners Holdings GP, LLC</w:t>
      </w:r>
      <w:r>
        <w:rPr>
          <w:rFonts w:ascii="Arial" w:eastAsia="Arial" w:hAnsi="Arial" w:cs="Arial"/>
          <w:b w:val="0"/>
          <w:i w:val="0"/>
          <w:color w:val="969698"/>
          <w:sz w:val="16"/>
          <w:u w:val="none"/>
        </w:rPr>
        <w:t xml:space="preserve"> and </w:t>
      </w:r>
      <w:r>
        <w:rPr>
          <w:rFonts w:ascii="Arial" w:eastAsia="Arial" w:hAnsi="Arial" w:cs="Arial"/>
          <w:b w:val="0"/>
          <w:i w:val="0"/>
          <w:color w:val="969698"/>
          <w:sz w:val="16"/>
          <w:u w:val="none"/>
        </w:rPr>
        <w:t>Emperion Partners H</w:t>
      </w:r>
      <w:r>
        <w:rPr>
          <w:rFonts w:ascii="Arial" w:eastAsia="Arial" w:hAnsi="Arial" w:cs="Arial"/>
          <w:b w:val="0"/>
          <w:i w:val="0"/>
          <w:color w:val="969698"/>
          <w:sz w:val="16"/>
          <w:u w:val="none"/>
        </w:rPr>
        <w:t>oldings L</w:t>
      </w:r>
      <w:r>
        <w:rPr>
          <w:rFonts w:ascii="Arial" w:eastAsia="Arial" w:hAnsi="Arial" w:cs="Arial"/>
          <w:b w:val="0"/>
          <w:i w:val="0"/>
          <w:color w:val="969698"/>
          <w:sz w:val="16"/>
          <w:u w:val="none"/>
        </w:rPr>
        <w:t>P</w:t>
      </w:r>
      <w:r>
        <w:rPr>
          <w:rFonts w:ascii="Arial" w:eastAsia="Arial" w:hAnsi="Arial" w:cs="Arial"/>
          <w:b w:val="0"/>
          <w:i w:val="0"/>
          <w:color w:val="969698"/>
          <w:sz w:val="16"/>
          <w:u w:val="none"/>
        </w:rPr>
        <w:t xml:space="preserve"> (together, "Em</w:t>
      </w:r>
      <w:r>
        <w:rPr>
          <w:rFonts w:ascii="Arial" w:eastAsia="Arial" w:hAnsi="Arial" w:cs="Arial"/>
          <w:b w:val="0"/>
          <w:i w:val="0"/>
          <w:color w:val="969698"/>
          <w:sz w:val="16"/>
          <w:u w:val="none"/>
        </w:rPr>
        <w:t>perion")</w:t>
      </w:r>
      <w:r>
        <w:rPr>
          <w:rFonts w:ascii="Arial" w:eastAsia="Arial" w:hAnsi="Arial" w:cs="Arial"/>
          <w:b w:val="0"/>
          <w:i w:val="0"/>
          <w:color w:val="969698"/>
          <w:sz w:val="16"/>
          <w:u w:val="none"/>
        </w:rPr>
        <w:t xml:space="preserve">, </w:t>
      </w:r>
      <w:r>
        <w:rPr>
          <w:rFonts w:ascii="Arial" w:eastAsia="Arial" w:hAnsi="Arial" w:cs="Arial"/>
          <w:b w:val="0"/>
          <w:i w:val="0"/>
          <w:color w:val="969698"/>
          <w:sz w:val="16"/>
          <w:u w:val="none"/>
        </w:rPr>
        <w:t>which together act as the hold</w:t>
      </w:r>
      <w:r>
        <w:rPr>
          <w:rFonts w:ascii="Arial" w:eastAsia="Arial" w:hAnsi="Arial" w:cs="Arial"/>
          <w:b w:val="0"/>
          <w:i w:val="0"/>
          <w:color w:val="969698"/>
          <w:sz w:val="16"/>
          <w:u w:val="none"/>
        </w:rPr>
        <w:t xml:space="preserve">ing company for </w:t>
      </w:r>
      <w:r>
        <w:rPr>
          <w:rFonts w:ascii="Arial" w:eastAsia="Arial" w:hAnsi="Arial" w:cs="Arial"/>
          <w:b w:val="0"/>
          <w:i w:val="0"/>
          <w:color w:val="969698"/>
          <w:sz w:val="16"/>
          <w:u w:val="none"/>
        </w:rPr>
        <w:t xml:space="preserve">the assets </w:t>
      </w:r>
      <w:r>
        <w:rPr>
          <w:rFonts w:ascii="Arial" w:eastAsia="Arial" w:hAnsi="Arial" w:cs="Arial"/>
          <w:b w:val="0"/>
          <w:i w:val="0"/>
          <w:color w:val="969698"/>
          <w:sz w:val="16"/>
          <w:u w:val="none"/>
        </w:rPr>
        <w:t xml:space="preserve">formerly </w:t>
      </w:r>
      <w:r>
        <w:rPr>
          <w:rFonts w:ascii="Arial" w:eastAsia="Arial" w:hAnsi="Arial" w:cs="Arial"/>
          <w:b w:val="0"/>
          <w:i w:val="0"/>
          <w:color w:val="969698"/>
          <w:sz w:val="16"/>
          <w:u w:val="none"/>
        </w:rPr>
        <w:t>associated with Mi</w:t>
      </w:r>
      <w:r>
        <w:rPr>
          <w:rFonts w:ascii="Arial" w:eastAsia="Arial" w:hAnsi="Arial" w:cs="Arial"/>
          <w:b w:val="0"/>
          <w:i w:val="0"/>
          <w:color w:val="969698"/>
          <w:sz w:val="16"/>
          <w:u w:val="none"/>
        </w:rPr>
        <w:t>tchell</w:t>
      </w:r>
      <w:r>
        <w:rPr>
          <w:rFonts w:ascii="Arial" w:eastAsia="Arial" w:hAnsi="Arial" w:cs="Arial"/>
          <w:b w:val="0"/>
          <w:i w:val="0"/>
          <w:color w:val="969698"/>
          <w:sz w:val="16"/>
          <w:u w:val="none"/>
        </w:rPr>
        <w:t>'s</w:t>
      </w:r>
      <w:r>
        <w:rPr>
          <w:rFonts w:ascii="Arial" w:eastAsia="Arial" w:hAnsi="Arial" w:cs="Arial"/>
          <w:b w:val="0"/>
          <w:i w:val="0"/>
          <w:color w:val="969698"/>
          <w:sz w:val="16"/>
          <w:u w:val="none"/>
        </w:rPr>
        <w:t xml:space="preserve"> and Genex's </w:t>
      </w:r>
      <w:r>
        <w:rPr>
          <w:rFonts w:ascii="Arial" w:eastAsia="Arial" w:hAnsi="Arial" w:cs="Arial"/>
          <w:b w:val="0"/>
          <w:i w:val="0"/>
          <w:color w:val="969698"/>
          <w:sz w:val="16"/>
          <w:u w:val="none"/>
        </w:rPr>
        <w:t>independent medical examination</w:t>
      </w:r>
      <w:r>
        <w:rPr>
          <w:rFonts w:ascii="Arial" w:eastAsia="Arial" w:hAnsi="Arial" w:cs="Arial"/>
          <w:b w:val="0"/>
          <w:i w:val="0"/>
          <w:color w:val="969698"/>
          <w:sz w:val="16"/>
          <w:u w:val="none"/>
        </w:rPr>
        <w:t xml:space="preserve"> business</w:t>
      </w:r>
      <w:r>
        <w:rPr>
          <w:rFonts w:ascii="Arial" w:eastAsia="Arial" w:hAnsi="Arial" w:cs="Arial"/>
          <w:b w:val="0"/>
          <w:i w:val="0"/>
          <w:color w:val="969698"/>
          <w:sz w:val="16"/>
          <w:u w:val="none"/>
        </w:rPr>
        <w:t>es</w:t>
      </w:r>
      <w:r>
        <w:rPr>
          <w:rFonts w:ascii="Arial" w:eastAsia="Arial" w:hAnsi="Arial" w:cs="Arial"/>
          <w:b w:val="0"/>
          <w:i w:val="0"/>
          <w:color w:val="969698"/>
          <w:sz w:val="16"/>
          <w:u w:val="none"/>
        </w:rPr>
        <w:t xml:space="preserve">, effective as of March 31, 2024. </w:t>
      </w:r>
    </w:p>
    <w:p>
      <w:pPr>
        <w:keepNext w:val="0"/>
        <w:keepLines w:val="0"/>
        <w:pageBreakBefore w:val="0"/>
        <w:widowControl/>
        <w:numPr>
          <w:ilvl w:val="0"/>
          <w:numId w:val="341"/>
        </w:numPr>
        <w:spacing w:before="0" w:after="60" w:line="288" w:lineRule="auto"/>
        <w:ind w:left="360" w:right="0" w:hanging="360"/>
        <w:jc w:val="both"/>
        <w:outlineLvl w:val="9"/>
        <w:rPr>
          <w:rFonts w:ascii="Arial" w:eastAsia="Arial" w:hAnsi="Arial" w:cs="Arial"/>
          <w:b w:val="0"/>
          <w:i w:val="0"/>
          <w:color w:val="969698"/>
          <w:sz w:val="16"/>
          <w:u w:val="none"/>
        </w:rPr>
      </w:pPr>
      <w:r>
        <w:rPr>
          <w:rFonts w:ascii="Arial" w:eastAsia="Arial" w:hAnsi="Arial" w:cs="Arial"/>
          <w:b w:val="0"/>
          <w:i w:val="0"/>
          <w:color w:val="969698"/>
          <w:sz w:val="16"/>
          <w:u w:val="none"/>
        </w:rPr>
        <w:t>Direct investment alongside an affi</w:t>
      </w:r>
      <w:r>
        <w:rPr>
          <w:rFonts w:ascii="Arial" w:eastAsia="Arial" w:hAnsi="Arial" w:cs="Arial"/>
          <w:b w:val="0"/>
          <w:i w:val="0"/>
          <w:color w:val="969698"/>
          <w:sz w:val="16"/>
          <w:u w:val="none"/>
        </w:rPr>
        <w:t xml:space="preserve">liate of Stone Point in Evergreen Parent L.P., the parent company of AmTrust Financial Services, Inc. </w:t>
      </w:r>
    </w:p>
    <w:p>
      <w:pPr>
        <w:keepNext w:val="0"/>
        <w:keepLines w:val="0"/>
        <w:pageBreakBefore w:val="0"/>
        <w:widowControl/>
        <w:numPr>
          <w:ilvl w:val="0"/>
          <w:numId w:val="0"/>
        </w:numPr>
        <w:spacing w:before="180" w:after="120" w:line="300" w:lineRule="auto"/>
        <w:ind w:left="0" w:right="0" w:firstLine="0"/>
        <w:jc w:val="both"/>
        <w:outlineLvl w:val="9"/>
        <w:rPr>
          <w:rFonts w:ascii="Arial" w:eastAsia="Arial" w:hAnsi="Arial" w:cs="Arial"/>
          <w:b w:val="0"/>
          <w:i w:val="0"/>
          <w:color w:val="969698"/>
          <w:sz w:val="20"/>
          <w:u w:val="none"/>
        </w:rPr>
      </w:pPr>
      <w:r>
        <w:rPr>
          <w:rFonts w:ascii="Arial" w:eastAsia="Arial" w:hAnsi="Arial" w:cs="Arial"/>
          <w:b w:val="0"/>
          <w:i w:val="0"/>
          <w:sz w:val="20"/>
        </w:rPr>
        <w:t xml:space="preserve">In addition, </w:t>
      </w:r>
      <w:r>
        <w:rPr>
          <w:rFonts w:ascii="Arial" w:eastAsia="Arial" w:hAnsi="Arial" w:cs="Arial"/>
          <w:b w:val="0"/>
          <w:i w:val="0"/>
          <w:sz w:val="20"/>
        </w:rPr>
        <w:t>o</w:t>
      </w:r>
      <w:r>
        <w:rPr>
          <w:rFonts w:ascii="Arial" w:eastAsia="Arial" w:hAnsi="Arial" w:cs="Arial"/>
          <w:b w:val="0"/>
          <w:i w:val="0"/>
          <w:sz w:val="20"/>
        </w:rPr>
        <w:t xml:space="preserve">n </w:t>
      </w:r>
      <w:r>
        <w:rPr>
          <w:rFonts w:ascii="Arial" w:eastAsia="Arial" w:hAnsi="Arial" w:cs="Arial"/>
          <w:b w:val="0"/>
          <w:i w:val="0"/>
          <w:sz w:val="20"/>
        </w:rPr>
        <w:t>June 21</w:t>
      </w:r>
      <w:r>
        <w:rPr>
          <w:rFonts w:ascii="Arial" w:eastAsia="Arial" w:hAnsi="Arial" w:cs="Arial"/>
          <w:b w:val="0"/>
          <w:i w:val="0"/>
          <w:color w:val="000000"/>
          <w:sz w:val="20"/>
          <w:u w:val="none"/>
        </w:rPr>
        <w:t>, 2023</w:t>
      </w:r>
      <w:r>
        <w:rPr>
          <w:rFonts w:ascii="Arial" w:eastAsia="Arial" w:hAnsi="Arial" w:cs="Arial"/>
          <w:b w:val="0"/>
          <w:i w:val="0"/>
          <w:sz w:val="20"/>
        </w:rPr>
        <w:t xml:space="preserve">, we agreed to invest </w:t>
      </w:r>
      <w:r>
        <w:rPr>
          <w:rFonts w:ascii="Arial" w:eastAsia="Arial" w:hAnsi="Arial" w:cs="Arial"/>
          <w:b w:val="0"/>
          <w:i w:val="0"/>
          <w:sz w:val="20"/>
        </w:rPr>
        <w:t xml:space="preserve">$50 million into SPC Opportunities Parallel Fund II, L.P., an entity which is managed by Stone Point. </w:t>
      </w:r>
    </w:p>
    <w:p>
      <w:pPr>
        <w:keepNext w:val="0"/>
        <w:keepLines w:val="0"/>
        <w:pageBreakBefore w:val="0"/>
        <w:widowControl/>
        <w:numPr>
          <w:ilvl w:val="0"/>
          <w:numId w:val="0"/>
        </w:numPr>
        <w:spacing w:before="180" w:after="120" w:line="300" w:lineRule="auto"/>
        <w:ind w:left="0" w:right="0" w:firstLine="0"/>
        <w:jc w:val="both"/>
        <w:outlineLvl w:val="9"/>
        <w:rPr>
          <w:rFonts w:ascii="Arial" w:eastAsia="Arial" w:hAnsi="Arial" w:cs="Arial"/>
          <w:b w:val="0"/>
          <w:i w:val="0"/>
          <w:color w:val="969698"/>
          <w:sz w:val="16"/>
          <w:u w:val="none"/>
        </w:rPr>
        <w:sectPr>
          <w:headerReference w:type="default" r:id="rId346"/>
          <w:footerReference w:type="default" r:id="rId347"/>
          <w:type w:val="continuous"/>
          <w:pgSz w:w="12240" w:h="15840"/>
          <w:pgMar w:top="855" w:right="990" w:bottom="855" w:left="990" w:header="180" w:footer="270"/>
          <w:cols w:space="708"/>
        </w:sectPr>
      </w:pPr>
    </w:p>
    <w:p>
      <w:pPr>
        <w:keepNext/>
        <w:keepLines w:val="0"/>
        <w:pageBreakBefore w:val="0"/>
        <w:widowControl/>
        <w:numPr>
          <w:ilvl w:val="0"/>
          <w:numId w:val="0"/>
        </w:numPr>
        <w:spacing w:before="0" w:after="120" w:line="288" w:lineRule="auto"/>
        <w:ind w:left="0" w:right="0" w:firstLine="0"/>
        <w:jc w:val="left"/>
        <w:outlineLvl w:val="9"/>
        <w:rPr>
          <w:rFonts w:ascii="Arial" w:eastAsia="Arial" w:hAnsi="Arial" w:cs="Arial"/>
          <w:b/>
          <w:i w:val="0"/>
          <w:color w:val="171449"/>
          <w:sz w:val="20"/>
          <w:u w:val="none"/>
        </w:rPr>
      </w:pPr>
      <w:bookmarkStart w:id="133" w:name="Section136"/>
      <w:bookmarkEnd w:id="133"/>
    </w:p>
    <w:p>
      <w:pPr>
        <w:keepNext/>
        <w:keepLines w:val="0"/>
        <w:pageBreakBefore w:val="0"/>
        <w:widowControl/>
        <w:numPr>
          <w:ilvl w:val="0"/>
          <w:numId w:val="0"/>
        </w:numPr>
        <w:spacing w:before="0" w:after="120" w:line="288" w:lineRule="auto"/>
        <w:ind w:left="0" w:right="0" w:firstLine="0"/>
        <w:jc w:val="left"/>
        <w:outlineLvl w:val="4"/>
        <w:rPr>
          <w:rFonts w:ascii="Arial" w:eastAsia="Arial" w:hAnsi="Arial" w:cs="Arial"/>
          <w:b/>
          <w:i w:val="0"/>
          <w:color w:val="171449"/>
          <w:sz w:val="20"/>
          <w:u w:val="none"/>
        </w:rPr>
      </w:pPr>
      <w:r>
        <w:rPr>
          <w:rFonts w:ascii="Arial" w:eastAsia="Arial" w:hAnsi="Arial" w:cs="Arial"/>
          <w:b/>
          <w:i w:val="0"/>
          <w:color w:val="171449"/>
          <w:sz w:val="20"/>
          <w:u w:val="none"/>
        </w:rPr>
        <w:t>Third Party Administrators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Funds managed by Stone Point hold the controlling interest in Mitchell and Genex, with certain co-investors, including the Company, holding minority interests in the entities. During 202</w:t>
      </w:r>
      <w:r>
        <w:rPr>
          <w:rFonts w:ascii="Arial" w:eastAsia="Arial" w:hAnsi="Arial" w:cs="Arial"/>
          <w:b w:val="0"/>
          <w:i w:val="0"/>
          <w:sz w:val="20"/>
        </w:rPr>
        <w:t>3</w:t>
      </w:r>
      <w:r>
        <w:rPr>
          <w:rFonts w:ascii="Arial" w:eastAsia="Arial" w:hAnsi="Arial" w:cs="Arial"/>
          <w:b w:val="0"/>
          <w:i w:val="0"/>
          <w:sz w:val="20"/>
        </w:rPr>
        <w:t xml:space="preserve"> and through</w:t>
      </w:r>
      <w:r>
        <w:rPr>
          <w:rFonts w:ascii="Arial" w:eastAsia="Arial" w:hAnsi="Arial" w:cs="Arial"/>
          <w:b w:val="0"/>
          <w:i w:val="0"/>
          <w:sz w:val="20"/>
        </w:rPr>
        <w:t xml:space="preserve"> February 23</w:t>
      </w:r>
      <w:r>
        <w:rPr>
          <w:rFonts w:ascii="Arial" w:eastAsia="Arial" w:hAnsi="Arial" w:cs="Arial"/>
          <w:b w:val="0"/>
          <w:i w:val="0"/>
          <w:sz w:val="20"/>
        </w:rPr>
        <w:t>, 202</w:t>
      </w:r>
      <w:r>
        <w:rPr>
          <w:rFonts w:ascii="Arial" w:eastAsia="Arial" w:hAnsi="Arial" w:cs="Arial"/>
          <w:b w:val="0"/>
          <w:i w:val="0"/>
          <w:sz w:val="20"/>
        </w:rPr>
        <w:t>4</w:t>
      </w:r>
      <w:r>
        <w:rPr>
          <w:rFonts w:ascii="Arial" w:eastAsia="Arial" w:hAnsi="Arial" w:cs="Arial"/>
          <w:b w:val="0"/>
          <w:i w:val="0"/>
          <w:sz w:val="20"/>
        </w:rPr>
        <w:t xml:space="preserve">, we were invoiced an aggregate of </w:t>
      </w:r>
      <w:r>
        <w:rPr>
          <w:rFonts w:ascii="Arial" w:eastAsia="Arial" w:hAnsi="Arial" w:cs="Arial"/>
          <w:b w:val="0"/>
          <w:i w:val="0"/>
          <w:color w:val="000000"/>
          <w:sz w:val="20"/>
          <w:u w:val="none"/>
        </w:rPr>
        <w:t>$2.3</w:t>
      </w:r>
      <w:r>
        <w:rPr>
          <w:rFonts w:ascii="Arial" w:eastAsia="Arial" w:hAnsi="Arial" w:cs="Arial"/>
          <w:b w:val="0"/>
          <w:i w:val="0"/>
          <w:sz w:val="20"/>
        </w:rPr>
        <w:t xml:space="preserve"> million</w:t>
      </w:r>
      <w:r>
        <w:rPr>
          <w:rFonts w:ascii="Arial" w:eastAsia="Arial" w:hAnsi="Arial" w:cs="Arial"/>
          <w:b w:val="0"/>
          <w:i w:val="0"/>
          <w:sz w:val="20"/>
        </w:rPr>
        <w:t xml:space="preserve"> for services provided by Mitchell and Genex for medical treatment utilization review, medical bill review, </w:t>
      </w:r>
      <w:r>
        <w:rPr>
          <w:rFonts w:ascii="Arial" w:eastAsia="Arial" w:hAnsi="Arial" w:cs="Arial"/>
          <w:b w:val="0"/>
          <w:i w:val="0"/>
          <w:sz w:val="20"/>
        </w:rPr>
        <w:t xml:space="preserve">durable medical equipment coverage </w:t>
      </w:r>
      <w:r>
        <w:rPr>
          <w:rFonts w:ascii="Arial" w:eastAsia="Arial" w:hAnsi="Arial" w:cs="Arial"/>
          <w:b w:val="0"/>
          <w:i w:val="0"/>
          <w:sz w:val="20"/>
        </w:rPr>
        <w:t>and</w:t>
      </w:r>
      <w:r>
        <w:rPr>
          <w:rFonts w:ascii="Arial" w:eastAsia="Arial" w:hAnsi="Arial" w:cs="Arial"/>
          <w:b w:val="0"/>
          <w:i w:val="0"/>
          <w:sz w:val="20"/>
        </w:rPr>
        <w:t xml:space="preserve"> </w:t>
      </w:r>
      <w:r>
        <w:rPr>
          <w:rFonts w:ascii="Arial" w:eastAsia="Arial" w:hAnsi="Arial" w:cs="Arial"/>
          <w:b w:val="0"/>
          <w:i w:val="0"/>
          <w:sz w:val="20"/>
        </w:rPr>
        <w:t>p</w:t>
      </w:r>
      <w:r>
        <w:rPr>
          <w:rFonts w:ascii="Arial" w:eastAsia="Arial" w:hAnsi="Arial" w:cs="Arial"/>
          <w:b w:val="0"/>
          <w:i w:val="0"/>
          <w:sz w:val="20"/>
        </w:rPr>
        <w:t>harmacy benefit</w:t>
      </w:r>
      <w:r>
        <w:rPr>
          <w:rFonts w:ascii="Arial" w:eastAsia="Arial" w:hAnsi="Arial" w:cs="Arial"/>
          <w:b w:val="0"/>
          <w:i w:val="0"/>
          <w:sz w:val="20"/>
        </w:rPr>
        <w:t xml:space="preserve"> management services pursuant to third party administrator arrangements for primarily workers' compensation portfolios in run-off that we manage. </w:t>
      </w:r>
      <w:r>
        <w:rPr>
          <w:rFonts w:ascii="Arial" w:eastAsia="Arial" w:hAnsi="Arial" w:cs="Arial"/>
          <w:b w:val="0"/>
          <w:i w:val="0"/>
          <w:color w:val="000000"/>
          <w:sz w:val="20"/>
          <w:u w:val="none"/>
        </w:rPr>
        <w:t>$1.5</w:t>
      </w:r>
      <w:r>
        <w:rPr>
          <w:rFonts w:ascii="Arial" w:eastAsia="Arial" w:hAnsi="Arial" w:cs="Arial"/>
          <w:b w:val="0"/>
          <w:i w:val="0"/>
          <w:sz w:val="20"/>
        </w:rPr>
        <w:t xml:space="preserve"> </w:t>
      </w:r>
      <w:r>
        <w:rPr>
          <w:rFonts w:ascii="Arial" w:eastAsia="Arial" w:hAnsi="Arial" w:cs="Arial"/>
          <w:b w:val="0"/>
          <w:i w:val="0"/>
          <w:sz w:val="20"/>
        </w:rPr>
        <w:t xml:space="preserve">million </w:t>
      </w:r>
      <w:r>
        <w:rPr>
          <w:rFonts w:ascii="Arial" w:eastAsia="Arial" w:hAnsi="Arial" w:cs="Arial"/>
          <w:b w:val="0"/>
          <w:i w:val="0"/>
          <w:sz w:val="20"/>
        </w:rPr>
        <w:t xml:space="preserve">of this amount arises from pharmacy benefit management services provided by Mitchell, and the vast majority of amounts invoiced by Mitchell for these services represent the cost of providing prescription medication to our policyholders that we would otherwise pay directly. These invoices are processed for settlement by our third party administrators, whose periodic reporting to us reflects payments actually approved and processed through claims files as loss adjustment expenses. Stone Point has no influence over our dealings with these third party administrators and these arrangements are on an arms' length basis. </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48"/>
          <w:footerReference w:type="default" r:id="rId349"/>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120" w:line="288" w:lineRule="auto"/>
        <w:ind w:left="0" w:right="0" w:firstLine="0"/>
        <w:jc w:val="left"/>
        <w:outlineLvl w:val="9"/>
        <w:rPr>
          <w:rFonts w:ascii="Arial" w:eastAsia="Arial" w:hAnsi="Arial" w:cs="Arial"/>
          <w:b/>
          <w:i w:val="0"/>
          <w:color w:val="171449"/>
          <w:sz w:val="20"/>
          <w:u w:val="none"/>
        </w:rPr>
      </w:pPr>
      <w:bookmarkStart w:id="134" w:name="Section137"/>
      <w:bookmarkEnd w:id="134"/>
    </w:p>
    <w:p>
      <w:pPr>
        <w:keepNext/>
        <w:keepLines w:val="0"/>
        <w:pageBreakBefore w:val="0"/>
        <w:widowControl/>
        <w:numPr>
          <w:ilvl w:val="0"/>
          <w:numId w:val="0"/>
        </w:numPr>
        <w:spacing w:before="0" w:after="120" w:line="288" w:lineRule="auto"/>
        <w:ind w:left="0" w:right="0" w:firstLine="0"/>
        <w:jc w:val="left"/>
        <w:outlineLvl w:val="4"/>
        <w:rPr>
          <w:rFonts w:ascii="Arial" w:eastAsia="Arial" w:hAnsi="Arial" w:cs="Arial"/>
          <w:b/>
          <w:i w:val="0"/>
          <w:color w:val="171449"/>
          <w:sz w:val="20"/>
          <w:u w:val="none"/>
        </w:rPr>
      </w:pPr>
      <w:r>
        <w:rPr>
          <w:rFonts w:ascii="Arial" w:eastAsia="Arial" w:hAnsi="Arial" w:cs="Arial"/>
          <w:b/>
          <w:i w:val="0"/>
          <w:color w:val="171449"/>
          <w:sz w:val="20"/>
          <w:u w:val="none"/>
        </w:rPr>
        <w:t>StarStone</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On D</w:t>
      </w:r>
      <w:r>
        <w:rPr>
          <w:rFonts w:ascii="Arial" w:eastAsia="Arial" w:hAnsi="Arial" w:cs="Arial"/>
          <w:b w:val="0"/>
          <w:i w:val="0"/>
          <w:sz w:val="20"/>
        </w:rPr>
        <w:t>ecember 20, 2023, Kenmare Holdings Ltd.</w:t>
      </w:r>
      <w:r>
        <w:rPr>
          <w:rFonts w:ascii="Arial" w:eastAsia="Arial" w:hAnsi="Arial" w:cs="Arial"/>
          <w:b w:val="0"/>
          <w:i w:val="0"/>
          <w:sz w:val="20"/>
        </w:rPr>
        <w:t xml:space="preserve"> ("Kenmare"), our wholly </w:t>
      </w:r>
      <w:r>
        <w:rPr>
          <w:rFonts w:ascii="Arial" w:eastAsia="Arial" w:hAnsi="Arial" w:cs="Arial"/>
          <w:b w:val="0"/>
          <w:i w:val="0"/>
          <w:sz w:val="20"/>
        </w:rPr>
        <w:t>owned subsidiary, entered into a purchase agreement with</w:t>
      </w:r>
      <w:r>
        <w:rPr>
          <w:rFonts w:ascii="Arial" w:eastAsia="Arial" w:hAnsi="Arial" w:cs="Arial"/>
          <w:b w:val="0"/>
          <w:i w:val="0"/>
          <w:sz w:val="20"/>
        </w:rPr>
        <w:t xml:space="preserve"> Trident V, L.P., T</w:t>
      </w:r>
      <w:r>
        <w:rPr>
          <w:rFonts w:ascii="Arial" w:eastAsia="Arial" w:hAnsi="Arial" w:cs="Arial"/>
          <w:b w:val="0"/>
          <w:i w:val="0"/>
          <w:sz w:val="20"/>
        </w:rPr>
        <w:t>rident V Parallel Fund, L.P. and Trident V Professionals Fund, L</w:t>
      </w:r>
      <w:r>
        <w:rPr>
          <w:rFonts w:ascii="Arial" w:eastAsia="Arial" w:hAnsi="Arial" w:cs="Arial"/>
          <w:b w:val="0"/>
          <w:i w:val="0"/>
          <w:sz w:val="20"/>
        </w:rPr>
        <w:t>.P., (the "Tr</w:t>
      </w:r>
      <w:r>
        <w:rPr>
          <w:rFonts w:ascii="Arial" w:eastAsia="Arial" w:hAnsi="Arial" w:cs="Arial"/>
          <w:b w:val="0"/>
          <w:i w:val="0"/>
          <w:sz w:val="20"/>
        </w:rPr>
        <w:t>ident V Funds"</w:t>
      </w:r>
      <w:r>
        <w:rPr>
          <w:rFonts w:ascii="Arial" w:eastAsia="Arial" w:hAnsi="Arial" w:cs="Arial"/>
          <w:b w:val="0"/>
          <w:i w:val="0"/>
          <w:sz w:val="20"/>
        </w:rPr>
        <w:t>)</w:t>
      </w:r>
      <w:r>
        <w:rPr>
          <w:rFonts w:ascii="Arial" w:eastAsia="Arial" w:hAnsi="Arial" w:cs="Arial"/>
          <w:b w:val="0"/>
          <w:i w:val="0"/>
          <w:sz w:val="20"/>
        </w:rPr>
        <w:t xml:space="preserve">, funds managed by Stone Point, and </w:t>
      </w:r>
      <w:r>
        <w:rPr>
          <w:rFonts w:ascii="Arial" w:eastAsia="Arial" w:hAnsi="Arial" w:cs="Arial"/>
          <w:b w:val="0"/>
          <w:i w:val="0"/>
          <w:sz w:val="20"/>
        </w:rPr>
        <w:t>Dowling Capital Partners I, L.P. and Capital City Partners, LLC</w:t>
      </w:r>
      <w:r>
        <w:rPr>
          <w:rFonts w:ascii="Arial" w:eastAsia="Arial" w:hAnsi="Arial" w:cs="Arial"/>
          <w:b w:val="0"/>
          <w:i w:val="0"/>
          <w:sz w:val="20"/>
        </w:rPr>
        <w:t xml:space="preserve"> (colle</w:t>
      </w:r>
      <w:r>
        <w:rPr>
          <w:rFonts w:ascii="Arial" w:eastAsia="Arial" w:hAnsi="Arial" w:cs="Arial"/>
          <w:b w:val="0"/>
          <w:i w:val="0"/>
          <w:sz w:val="20"/>
        </w:rPr>
        <w:t xml:space="preserve">ctively, </w:t>
      </w:r>
      <w:r>
        <w:rPr>
          <w:rFonts w:ascii="Arial" w:eastAsia="Arial" w:hAnsi="Arial" w:cs="Arial"/>
          <w:b w:val="0"/>
          <w:i w:val="0"/>
          <w:sz w:val="20"/>
        </w:rPr>
        <w:t xml:space="preserve">the </w:t>
      </w:r>
      <w:r>
        <w:rPr>
          <w:rFonts w:ascii="Arial" w:eastAsia="Arial" w:hAnsi="Arial" w:cs="Arial"/>
          <w:b w:val="0"/>
          <w:i w:val="0"/>
          <w:sz w:val="20"/>
        </w:rPr>
        <w:t>"</w:t>
      </w:r>
      <w:r>
        <w:rPr>
          <w:rFonts w:ascii="Arial" w:eastAsia="Arial" w:hAnsi="Arial" w:cs="Arial"/>
          <w:b w:val="0"/>
          <w:i w:val="0"/>
          <w:sz w:val="20"/>
        </w:rPr>
        <w:t>Dowling Funds</w:t>
      </w:r>
      <w:r>
        <w:rPr>
          <w:rFonts w:ascii="Arial" w:eastAsia="Arial" w:hAnsi="Arial" w:cs="Arial"/>
          <w:b w:val="0"/>
          <w:i w:val="0"/>
          <w:sz w:val="20"/>
        </w:rPr>
        <w:t>")</w:t>
      </w:r>
      <w:r>
        <w:rPr>
          <w:rFonts w:ascii="Arial" w:eastAsia="Arial" w:hAnsi="Arial" w:cs="Arial"/>
          <w:b w:val="0"/>
          <w:i w:val="0"/>
          <w:sz w:val="20"/>
        </w:rPr>
        <w:t>, pu</w:t>
      </w:r>
      <w:r>
        <w:rPr>
          <w:rFonts w:ascii="Arial" w:eastAsia="Arial" w:hAnsi="Arial" w:cs="Arial"/>
          <w:b w:val="0"/>
          <w:i w:val="0"/>
          <w:sz w:val="20"/>
        </w:rPr>
        <w:t>rsuant to which Kenmare agreed to acquire</w:t>
      </w:r>
      <w:r>
        <w:rPr>
          <w:rFonts w:ascii="Arial" w:eastAsia="Arial" w:hAnsi="Arial" w:cs="Arial"/>
          <w:b w:val="0"/>
          <w:i w:val="0"/>
          <w:sz w:val="20"/>
        </w:rPr>
        <w:t xml:space="preserve"> all of the remaining common shares of StarStone Specialty Holdings L</w:t>
      </w:r>
      <w:r>
        <w:rPr>
          <w:rFonts w:ascii="Arial" w:eastAsia="Arial" w:hAnsi="Arial" w:cs="Arial"/>
          <w:b w:val="0"/>
          <w:i w:val="0"/>
          <w:sz w:val="20"/>
        </w:rPr>
        <w:t>i</w:t>
      </w:r>
      <w:r>
        <w:rPr>
          <w:rFonts w:ascii="Arial" w:eastAsia="Arial" w:hAnsi="Arial" w:cs="Arial"/>
          <w:b w:val="0"/>
          <w:i w:val="0"/>
          <w:sz w:val="20"/>
        </w:rPr>
        <w:t xml:space="preserve">mited, the holding company of the StarStone group of companies ("StarStone") that were not already owned by Kenmare.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In the transaction, Kenmare acquired the 41% interest in StarStone previously held by </w:t>
      </w:r>
      <w:r>
        <w:rPr>
          <w:rFonts w:ascii="Arial" w:eastAsia="Arial" w:hAnsi="Arial" w:cs="Arial"/>
          <w:b w:val="0"/>
          <w:i w:val="0"/>
          <w:sz w:val="20"/>
        </w:rPr>
        <w:t xml:space="preserve">the </w:t>
      </w:r>
      <w:r>
        <w:rPr>
          <w:rFonts w:ascii="Arial" w:eastAsia="Arial" w:hAnsi="Arial" w:cs="Arial"/>
          <w:b w:val="0"/>
          <w:i w:val="0"/>
          <w:sz w:val="20"/>
        </w:rPr>
        <w:t>Trident</w:t>
      </w:r>
      <w:r>
        <w:rPr>
          <w:rFonts w:ascii="Arial" w:eastAsia="Arial" w:hAnsi="Arial" w:cs="Arial"/>
          <w:b w:val="0"/>
          <w:i w:val="0"/>
          <w:sz w:val="20"/>
        </w:rPr>
        <w:t xml:space="preserve"> V</w:t>
      </w:r>
      <w:r>
        <w:rPr>
          <w:rFonts w:ascii="Arial" w:eastAsia="Arial" w:hAnsi="Arial" w:cs="Arial"/>
          <w:b w:val="0"/>
          <w:i w:val="0"/>
          <w:sz w:val="20"/>
        </w:rPr>
        <w:t xml:space="preserve"> F</w:t>
      </w:r>
      <w:r>
        <w:rPr>
          <w:rFonts w:ascii="Arial" w:eastAsia="Arial" w:hAnsi="Arial" w:cs="Arial"/>
          <w:b w:val="0"/>
          <w:i w:val="0"/>
          <w:sz w:val="20"/>
        </w:rPr>
        <w:t>unds</w:t>
      </w:r>
      <w:r>
        <w:rPr>
          <w:rFonts w:ascii="Arial" w:eastAsia="Arial" w:hAnsi="Arial" w:cs="Arial"/>
          <w:b w:val="0"/>
          <w:i w:val="0"/>
          <w:sz w:val="20"/>
        </w:rPr>
        <w:t xml:space="preserve"> and </w:t>
      </w:r>
      <w:r>
        <w:rPr>
          <w:rFonts w:ascii="Arial" w:eastAsia="Arial" w:hAnsi="Arial" w:cs="Arial"/>
          <w:b w:val="0"/>
          <w:i w:val="0"/>
          <w:sz w:val="20"/>
        </w:rPr>
        <w:t xml:space="preserve">the </w:t>
      </w:r>
      <w:r>
        <w:rPr>
          <w:rFonts w:ascii="Arial" w:eastAsia="Arial" w:hAnsi="Arial" w:cs="Arial"/>
          <w:b w:val="0"/>
          <w:i w:val="0"/>
          <w:sz w:val="20"/>
        </w:rPr>
        <w:t>Dowling</w:t>
      </w:r>
      <w:r>
        <w:rPr>
          <w:rFonts w:ascii="Arial" w:eastAsia="Arial" w:hAnsi="Arial" w:cs="Arial"/>
          <w:b w:val="0"/>
          <w:i w:val="0"/>
          <w:sz w:val="20"/>
        </w:rPr>
        <w:t xml:space="preserve"> F</w:t>
      </w:r>
      <w:r>
        <w:rPr>
          <w:rFonts w:ascii="Arial" w:eastAsia="Arial" w:hAnsi="Arial" w:cs="Arial"/>
          <w:b w:val="0"/>
          <w:i w:val="0"/>
          <w:sz w:val="20"/>
        </w:rPr>
        <w:t>unds</w:t>
      </w:r>
      <w:r>
        <w:rPr>
          <w:rFonts w:ascii="Arial" w:eastAsia="Arial" w:hAnsi="Arial" w:cs="Arial"/>
          <w:b w:val="0"/>
          <w:i w:val="0"/>
          <w:sz w:val="20"/>
        </w:rPr>
        <w:t xml:space="preserve">, resulting in whole ownership of StarStone. Total consideration paid by Kenmare in the transaction was $182.3 million, which pursuant to the </w:t>
      </w:r>
      <w:r>
        <w:rPr>
          <w:rFonts w:ascii="Arial" w:eastAsia="Arial" w:hAnsi="Arial" w:cs="Arial"/>
          <w:b w:val="0"/>
          <w:i w:val="0"/>
          <w:sz w:val="20"/>
        </w:rPr>
        <w:t>a</w:t>
      </w:r>
      <w:r>
        <w:rPr>
          <w:rFonts w:ascii="Arial" w:eastAsia="Arial" w:hAnsi="Arial" w:cs="Arial"/>
          <w:b w:val="0"/>
          <w:i w:val="0"/>
          <w:sz w:val="20"/>
        </w:rPr>
        <w:t xml:space="preserve">greement comprised a cash payment of $119 million and Kenmare's 13.5% interest in </w:t>
      </w:r>
      <w:r>
        <w:rPr>
          <w:rFonts w:ascii="Arial" w:eastAsia="Arial" w:hAnsi="Arial" w:cs="Arial"/>
          <w:b w:val="0"/>
          <w:i w:val="0"/>
          <w:sz w:val="20"/>
        </w:rPr>
        <w:t>Northshore</w:t>
      </w:r>
      <w:r>
        <w:rPr>
          <w:rFonts w:ascii="Arial" w:eastAsia="Arial" w:hAnsi="Arial" w:cs="Arial"/>
          <w:b w:val="0"/>
          <w:i w:val="0"/>
          <w:sz w:val="20"/>
        </w:rPr>
        <w:t xml:space="preserve"> Holdings Limited, the parent company of Atrium Underwriting Group Limited and its subsidiaries (collectively, "</w:t>
      </w:r>
      <w:r>
        <w:rPr>
          <w:rFonts w:ascii="Arial" w:eastAsia="Arial" w:hAnsi="Arial" w:cs="Arial"/>
          <w:b w:val="0"/>
          <w:i w:val="0"/>
          <w:sz w:val="20"/>
        </w:rPr>
        <w:t>N</w:t>
      </w:r>
      <w:r>
        <w:rPr>
          <w:rFonts w:ascii="Arial" w:eastAsia="Arial" w:hAnsi="Arial" w:cs="Arial"/>
          <w:b w:val="0"/>
          <w:i w:val="0"/>
          <w:sz w:val="20"/>
        </w:rPr>
        <w:t>orthshore")</w:t>
      </w:r>
      <w:r>
        <w:rPr>
          <w:rFonts w:ascii="Arial" w:eastAsia="Arial" w:hAnsi="Arial" w:cs="Arial"/>
          <w:b w:val="0"/>
          <w:i w:val="0"/>
          <w:sz w:val="20"/>
        </w:rPr>
        <w:t xml:space="preserve">. The cash payment made by Kenmare reflected the offset of certain amounts owed to it by </w:t>
      </w:r>
      <w:r>
        <w:rPr>
          <w:rFonts w:ascii="Arial" w:eastAsia="Arial" w:hAnsi="Arial" w:cs="Arial"/>
          <w:b w:val="0"/>
          <w:i w:val="0"/>
          <w:sz w:val="20"/>
        </w:rPr>
        <w:t xml:space="preserve">the </w:t>
      </w:r>
      <w:r>
        <w:rPr>
          <w:rFonts w:ascii="Arial" w:eastAsia="Arial" w:hAnsi="Arial" w:cs="Arial"/>
          <w:b w:val="0"/>
          <w:i w:val="0"/>
          <w:sz w:val="20"/>
        </w:rPr>
        <w:t xml:space="preserve">Trident </w:t>
      </w:r>
      <w:r>
        <w:rPr>
          <w:rFonts w:ascii="Arial" w:eastAsia="Arial" w:hAnsi="Arial" w:cs="Arial"/>
          <w:b w:val="0"/>
          <w:i w:val="0"/>
          <w:sz w:val="20"/>
        </w:rPr>
        <w:t xml:space="preserve">V Funds </w:t>
      </w:r>
      <w:r>
        <w:rPr>
          <w:rFonts w:ascii="Arial" w:eastAsia="Arial" w:hAnsi="Arial" w:cs="Arial"/>
          <w:b w:val="0"/>
          <w:i w:val="0"/>
          <w:sz w:val="20"/>
        </w:rPr>
        <w:t xml:space="preserve">and </w:t>
      </w:r>
      <w:r>
        <w:rPr>
          <w:rFonts w:ascii="Arial" w:eastAsia="Arial" w:hAnsi="Arial" w:cs="Arial"/>
          <w:b w:val="0"/>
          <w:i w:val="0"/>
          <w:sz w:val="20"/>
        </w:rPr>
        <w:t xml:space="preserve">the </w:t>
      </w:r>
      <w:r>
        <w:rPr>
          <w:rFonts w:ascii="Arial" w:eastAsia="Arial" w:hAnsi="Arial" w:cs="Arial"/>
          <w:b w:val="0"/>
          <w:i w:val="0"/>
          <w:sz w:val="20"/>
        </w:rPr>
        <w:t>Dowling</w:t>
      </w:r>
      <w:r>
        <w:rPr>
          <w:rFonts w:ascii="Arial" w:eastAsia="Arial" w:hAnsi="Arial" w:cs="Arial"/>
          <w:b w:val="0"/>
          <w:i w:val="0"/>
          <w:sz w:val="20"/>
        </w:rPr>
        <w:t xml:space="preserve"> Funds</w:t>
      </w:r>
      <w:r>
        <w:rPr>
          <w:rFonts w:ascii="Arial" w:eastAsia="Arial" w:hAnsi="Arial" w:cs="Arial"/>
          <w:b w:val="0"/>
          <w:i w:val="0"/>
          <w:sz w:val="20"/>
        </w:rPr>
        <w:t xml:space="preserve"> as set forth in the Agreement. Following the completion of the transaction, the Company no longer has a direct or indirect ownership interest in </w:t>
      </w:r>
      <w:r>
        <w:rPr>
          <w:rFonts w:ascii="Arial" w:eastAsia="Arial" w:hAnsi="Arial" w:cs="Arial"/>
          <w:b w:val="0"/>
          <w:i w:val="0"/>
          <w:sz w:val="20"/>
        </w:rPr>
        <w:t>North</w:t>
      </w:r>
      <w:r>
        <w:rPr>
          <w:rFonts w:ascii="Arial" w:eastAsia="Arial" w:hAnsi="Arial" w:cs="Arial"/>
          <w:b w:val="0"/>
          <w:i w:val="0"/>
          <w:sz w:val="20"/>
        </w:rPr>
        <w:t>s</w:t>
      </w:r>
      <w:r>
        <w:rPr>
          <w:rFonts w:ascii="Arial" w:eastAsia="Arial" w:hAnsi="Arial" w:cs="Arial"/>
          <w:b w:val="0"/>
          <w:i w:val="0"/>
          <w:sz w:val="20"/>
        </w:rPr>
        <w:t>hore</w:t>
      </w:r>
      <w:r>
        <w:rPr>
          <w:rFonts w:ascii="Arial" w:eastAsia="Arial" w:hAnsi="Arial" w:cs="Arial"/>
          <w:b w:val="0"/>
          <w:i w:val="0"/>
          <w:sz w:val="20"/>
        </w:rPr>
        <w:t>.</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50"/>
          <w:footerReference w:type="default" r:id="rId351"/>
          <w:type w:val="continuous"/>
          <w:pgSz w:w="12240" w:h="15840"/>
          <w:pgMar w:top="855" w:right="990" w:bottom="855" w:left="990" w:header="180" w:footer="270"/>
          <w:cols w:space="708"/>
        </w:sectPr>
      </w:pPr>
    </w:p>
    <w:p>
      <w:pPr>
        <w:keepNext/>
        <w:keepLines w:val="0"/>
        <w:pageBreakBefore w:val="0"/>
        <w:widowControl/>
        <w:numPr>
          <w:ilvl w:val="0"/>
          <w:numId w:val="0"/>
        </w:numPr>
        <w:spacing w:before="0" w:after="120" w:line="288" w:lineRule="auto"/>
        <w:ind w:left="0" w:right="0" w:firstLine="0"/>
        <w:jc w:val="left"/>
        <w:outlineLvl w:val="9"/>
        <w:rPr>
          <w:rFonts w:ascii="Arial" w:eastAsia="Arial" w:hAnsi="Arial" w:cs="Arial"/>
          <w:b/>
          <w:i w:val="0"/>
          <w:color w:val="171449"/>
          <w:sz w:val="20"/>
          <w:u w:val="none"/>
        </w:rPr>
      </w:pPr>
      <w:bookmarkStart w:id="135" w:name="Section138"/>
      <w:bookmarkEnd w:id="135"/>
    </w:p>
    <w:p>
      <w:pPr>
        <w:keepNext/>
        <w:keepLines w:val="0"/>
        <w:pageBreakBefore w:val="0"/>
        <w:widowControl/>
        <w:numPr>
          <w:ilvl w:val="0"/>
          <w:numId w:val="0"/>
        </w:numPr>
        <w:spacing w:before="0" w:after="120" w:line="288" w:lineRule="auto"/>
        <w:ind w:left="0" w:right="0" w:firstLine="0"/>
        <w:jc w:val="left"/>
        <w:outlineLvl w:val="4"/>
        <w:rPr>
          <w:rFonts w:ascii="Arial" w:eastAsia="Arial" w:hAnsi="Arial" w:cs="Arial"/>
          <w:b/>
          <w:i w:val="0"/>
          <w:color w:val="171449"/>
          <w:sz w:val="20"/>
          <w:u w:val="none"/>
        </w:rPr>
      </w:pPr>
      <w:r>
        <w:rPr>
          <w:rFonts w:ascii="Arial" w:eastAsia="Arial" w:hAnsi="Arial" w:cs="Arial"/>
          <w:b/>
          <w:i w:val="0"/>
          <w:color w:val="171449"/>
          <w:sz w:val="20"/>
          <w:u w:val="none"/>
        </w:rPr>
        <w:t>Monument Re</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As of December 31, 202</w:t>
      </w:r>
      <w:r>
        <w:rPr>
          <w:rFonts w:ascii="Arial" w:eastAsia="Arial" w:hAnsi="Arial" w:cs="Arial"/>
          <w:b w:val="0"/>
          <w:i w:val="0"/>
          <w:sz w:val="20"/>
        </w:rPr>
        <w:t>3</w:t>
      </w:r>
      <w:r>
        <w:rPr>
          <w:rFonts w:ascii="Arial" w:eastAsia="Arial" w:hAnsi="Arial" w:cs="Arial"/>
          <w:b w:val="0"/>
          <w:i w:val="0"/>
          <w:sz w:val="20"/>
        </w:rPr>
        <w:t xml:space="preserve">, we own </w:t>
      </w:r>
      <w:r>
        <w:rPr>
          <w:rFonts w:ascii="Arial" w:eastAsia="Arial" w:hAnsi="Arial" w:cs="Arial"/>
          <w:b w:val="0"/>
          <w:i w:val="0"/>
          <w:sz w:val="20"/>
        </w:rPr>
        <w:t>20.0</w:t>
      </w:r>
      <w:r>
        <w:rPr>
          <w:rFonts w:ascii="Arial" w:eastAsia="Arial" w:hAnsi="Arial" w:cs="Arial"/>
          <w:b w:val="0"/>
          <w:i w:val="0"/>
          <w:sz w:val="20"/>
        </w:rPr>
        <w:t xml:space="preserve">% of the common shares of Monument Re and </w:t>
      </w:r>
      <w:r>
        <w:rPr>
          <w:rFonts w:ascii="Arial" w:eastAsia="Arial" w:hAnsi="Arial" w:cs="Arial"/>
          <w:b w:val="0"/>
          <w:i w:val="0"/>
          <w:sz w:val="20"/>
        </w:rPr>
        <w:t>13.7</w:t>
      </w:r>
      <w:r>
        <w:rPr>
          <w:rFonts w:ascii="Arial" w:eastAsia="Arial" w:hAnsi="Arial" w:cs="Arial"/>
          <w:b w:val="0"/>
          <w:i w:val="0"/>
          <w:sz w:val="20"/>
        </w:rPr>
        <w:t>% of its preferred shares</w:t>
      </w:r>
      <w:r>
        <w:rPr>
          <w:rFonts w:ascii="Arial" w:eastAsia="Arial" w:hAnsi="Arial" w:cs="Arial"/>
          <w:b w:val="0"/>
          <w:i w:val="0"/>
          <w:sz w:val="20"/>
        </w:rPr>
        <w:t xml:space="preserve">. </w:t>
      </w:r>
      <w:r>
        <w:rPr>
          <w:rFonts w:ascii="Arial" w:eastAsia="Arial" w:hAnsi="Arial" w:cs="Arial"/>
          <w:b w:val="0"/>
          <w:i w:val="0"/>
          <w:color w:val="000000"/>
          <w:sz w:val="20"/>
          <w:u w:val="none"/>
        </w:rPr>
        <w:t>As of December 31, 202</w:t>
      </w:r>
      <w:r>
        <w:rPr>
          <w:rFonts w:ascii="Arial" w:eastAsia="Arial" w:hAnsi="Arial" w:cs="Arial"/>
          <w:b w:val="0"/>
          <w:i w:val="0"/>
          <w:color w:val="000000"/>
          <w:sz w:val="20"/>
          <w:u w:val="none"/>
        </w:rPr>
        <w:t>3</w:t>
      </w:r>
      <w:r>
        <w:rPr>
          <w:rFonts w:ascii="Arial" w:eastAsia="Arial" w:hAnsi="Arial" w:cs="Arial"/>
          <w:b w:val="0"/>
          <w:i w:val="0"/>
          <w:color w:val="000000"/>
          <w:sz w:val="20"/>
          <w:u w:val="none"/>
        </w:rPr>
        <w:t xml:space="preserve">, a fund managed by Stone Point owns </w:t>
      </w:r>
      <w:r>
        <w:rPr>
          <w:rFonts w:ascii="Arial" w:eastAsia="Arial" w:hAnsi="Arial" w:cs="Arial"/>
          <w:b w:val="0"/>
          <w:i w:val="0"/>
          <w:color w:val="000000"/>
          <w:sz w:val="20"/>
          <w:u w:val="none"/>
        </w:rPr>
        <w:t>11.2</w:t>
      </w:r>
      <w:r>
        <w:rPr>
          <w:rFonts w:ascii="Arial" w:eastAsia="Arial" w:hAnsi="Arial" w:cs="Arial"/>
          <w:b w:val="0"/>
          <w:i w:val="0"/>
          <w:color w:val="000000"/>
          <w:sz w:val="20"/>
          <w:u w:val="none"/>
        </w:rPr>
        <w:t>% of Monument Re’s preferred shares</w:t>
      </w:r>
      <w:r>
        <w:rPr>
          <w:rFonts w:ascii="Arial" w:eastAsia="Arial" w:hAnsi="Arial" w:cs="Arial"/>
          <w:b w:val="0"/>
          <w:i w:val="0"/>
          <w:sz w:val="20"/>
        </w:rPr>
        <w: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In November 2022, we closed a transaction with Monument Re to novate our reinsurance closed block of life annuity policies written by Enhanzed Re. We settled the life liabilities and the related assets at carrying value in return for cash consideration as of the closing date. A portion of the net gain on novation</w:t>
      </w:r>
      <w:r>
        <w:rPr>
          <w:rFonts w:ascii="Arial" w:eastAsia="Arial" w:hAnsi="Arial" w:cs="Arial"/>
          <w:b w:val="0"/>
          <w:i w:val="0"/>
          <w:sz w:val="20"/>
        </w:rPr>
        <w:t>, equal to $49 million,</w:t>
      </w:r>
      <w:r>
        <w:rPr>
          <w:rFonts w:ascii="Arial" w:eastAsia="Arial" w:hAnsi="Arial" w:cs="Arial"/>
          <w:b w:val="0"/>
          <w:i w:val="0"/>
          <w:sz w:val="20"/>
        </w:rPr>
        <w:t xml:space="preserve"> </w:t>
      </w:r>
      <w:r>
        <w:rPr>
          <w:rFonts w:ascii="Arial" w:eastAsia="Arial" w:hAnsi="Arial" w:cs="Arial"/>
          <w:b w:val="0"/>
          <w:i w:val="0"/>
          <w:sz w:val="20"/>
        </w:rPr>
        <w:t>was</w:t>
      </w:r>
      <w:r>
        <w:rPr>
          <w:rFonts w:ascii="Arial" w:eastAsia="Arial" w:hAnsi="Arial" w:cs="Arial"/>
          <w:b w:val="0"/>
          <w:i w:val="0"/>
          <w:sz w:val="20"/>
        </w:rPr>
        <w:t xml:space="preserve"> subject to deferral to account for our existing ownership interest in Monument Re. The final impact of the novation </w:t>
      </w:r>
      <w:r>
        <w:rPr>
          <w:rFonts w:ascii="Arial" w:eastAsia="Arial" w:hAnsi="Arial" w:cs="Arial"/>
          <w:b w:val="0"/>
          <w:i w:val="0"/>
          <w:sz w:val="20"/>
        </w:rPr>
        <w:t>was</w:t>
      </w:r>
      <w:r>
        <w:rPr>
          <w:rFonts w:ascii="Arial" w:eastAsia="Arial" w:hAnsi="Arial" w:cs="Arial"/>
          <w:b w:val="0"/>
          <w:i w:val="0"/>
          <w:sz w:val="20"/>
        </w:rPr>
        <w:t xml:space="preserve"> reflected in our first quarter 2023 results, as we report the results of Enhanzed Re on a one quarter reporting lag. We have accounted for our investment in the common and preferred shares of Monument Re as an equity method investment.</w:t>
      </w:r>
      <w:r>
        <w:rPr>
          <w:rFonts w:ascii="Arial" w:eastAsia="Arial" w:hAnsi="Arial" w:cs="Arial"/>
          <w:b w:val="0"/>
          <w:i w:val="0"/>
          <w:sz w:val="20"/>
        </w:rPr>
        <w:t xml:space="preserve"> </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52"/>
          <w:footerReference w:type="default" r:id="rId353"/>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120" w:line="288" w:lineRule="auto"/>
        <w:ind w:left="0" w:right="0" w:firstLine="0"/>
        <w:jc w:val="left"/>
        <w:outlineLvl w:val="9"/>
        <w:rPr>
          <w:rFonts w:ascii="Arial" w:eastAsia="Arial" w:hAnsi="Arial" w:cs="Arial"/>
          <w:b/>
          <w:i w:val="0"/>
          <w:color w:val="171449"/>
          <w:sz w:val="20"/>
          <w:u w:val="none"/>
        </w:rPr>
      </w:pPr>
      <w:bookmarkStart w:id="136" w:name="Section139"/>
      <w:bookmarkEnd w:id="136"/>
    </w:p>
    <w:p>
      <w:pPr>
        <w:keepNext w:val="0"/>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Share Repurchase</w:t>
      </w:r>
      <w:r>
        <w:rPr>
          <w:rFonts w:ascii="Arial" w:eastAsia="Arial" w:hAnsi="Arial" w:cs="Arial"/>
          <w:b/>
          <w:i w:val="0"/>
          <w:color w:val="4495D1"/>
          <w:sz w:val="20"/>
          <w:u w:val="none"/>
        </w:rPr>
        <w:t>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In </w:t>
      </w:r>
      <w:r>
        <w:rPr>
          <w:rFonts w:ascii="Arial" w:eastAsia="Arial" w:hAnsi="Arial" w:cs="Arial"/>
          <w:b w:val="0"/>
          <w:i w:val="0"/>
          <w:sz w:val="20"/>
        </w:rPr>
        <w:t>March 2023, we repurchased 1,597,712 of our non-v</w:t>
      </w:r>
      <w:r>
        <w:rPr>
          <w:rFonts w:ascii="Arial" w:eastAsia="Arial" w:hAnsi="Arial" w:cs="Arial"/>
          <w:b w:val="0"/>
          <w:i w:val="0"/>
          <w:sz w:val="20"/>
        </w:rPr>
        <w:t>oting ordinary shares held by Canada Pension Plan Investment Board</w:t>
      </w:r>
      <w:r>
        <w:rPr>
          <w:rFonts w:ascii="Arial" w:eastAsia="Arial" w:hAnsi="Arial" w:cs="Arial"/>
          <w:b w:val="0"/>
          <w:i w:val="0"/>
          <w:sz w:val="20"/>
        </w:rPr>
        <w:t>, a Canadian federal Crown corporation</w:t>
      </w:r>
      <w:r>
        <w:rPr>
          <w:rFonts w:ascii="Arial" w:eastAsia="Arial" w:hAnsi="Arial" w:cs="Arial"/>
          <w:b w:val="0"/>
          <w:i w:val="0"/>
          <w:sz w:val="20"/>
        </w:rPr>
        <w:t xml:space="preserve"> ("CPP Investments") for an aggregate of $341 million, representing a price per share of $213.13 and</w:t>
      </w:r>
      <w:r>
        <w:rPr>
          <w:rFonts w:ascii="Arial" w:eastAsia="Arial" w:hAnsi="Arial" w:cs="Arial"/>
          <w:b w:val="0"/>
          <w:i w:val="0"/>
          <w:sz w:val="20"/>
        </w:rPr>
        <w:t xml:space="preserve"> a 5% discoun</w:t>
      </w:r>
      <w:r>
        <w:rPr>
          <w:rFonts w:ascii="Arial" w:eastAsia="Arial" w:hAnsi="Arial" w:cs="Arial"/>
          <w:b w:val="0"/>
          <w:i w:val="0"/>
          <w:sz w:val="20"/>
        </w:rPr>
        <w:t>t to the trailing 10-day v</w:t>
      </w:r>
      <w:r>
        <w:rPr>
          <w:rFonts w:ascii="Arial" w:eastAsia="Arial" w:hAnsi="Arial" w:cs="Arial"/>
          <w:b w:val="0"/>
          <w:i w:val="0"/>
          <w:sz w:val="20"/>
        </w:rPr>
        <w:t>olume</w:t>
      </w:r>
      <w:r>
        <w:rPr>
          <w:rFonts w:ascii="Arial" w:eastAsia="Arial" w:hAnsi="Arial" w:cs="Arial"/>
          <w:b w:val="0"/>
          <w:i w:val="0"/>
          <w:sz w:val="20"/>
        </w:rPr>
        <w:t xml:space="preserve"> weighted average price of our voting ordinary shares as of the close of business on March 22, 2023. The r</w:t>
      </w:r>
      <w:r>
        <w:rPr>
          <w:rFonts w:ascii="Arial" w:eastAsia="Arial" w:hAnsi="Arial" w:cs="Arial"/>
          <w:b w:val="0"/>
          <w:i w:val="0"/>
          <w:sz w:val="20"/>
        </w:rPr>
        <w:t>epurchased shares comprised all of our outstanding Series C and Series E non-</w:t>
      </w:r>
      <w:r>
        <w:rPr>
          <w:rFonts w:ascii="Arial" w:eastAsia="Arial" w:hAnsi="Arial" w:cs="Arial"/>
          <w:b w:val="0"/>
          <w:i w:val="0"/>
          <w:sz w:val="20"/>
        </w:rPr>
        <w:t xml:space="preserve">voting ordinary shares.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On </w:t>
      </w:r>
      <w:r>
        <w:rPr>
          <w:rFonts w:ascii="Arial" w:eastAsia="Arial" w:hAnsi="Arial" w:cs="Arial"/>
          <w:b w:val="0"/>
          <w:i w:val="0"/>
          <w:sz w:val="20"/>
        </w:rPr>
        <w:t>N</w:t>
      </w:r>
      <w:r>
        <w:rPr>
          <w:rFonts w:ascii="Arial" w:eastAsia="Arial" w:hAnsi="Arial" w:cs="Arial"/>
          <w:b w:val="0"/>
          <w:i w:val="0"/>
          <w:sz w:val="20"/>
        </w:rPr>
        <w:t>o</w:t>
      </w:r>
      <w:r>
        <w:rPr>
          <w:rFonts w:ascii="Arial" w:eastAsia="Arial" w:hAnsi="Arial" w:cs="Arial"/>
          <w:b w:val="0"/>
          <w:i w:val="0"/>
          <w:sz w:val="20"/>
        </w:rPr>
        <w:t>vember 7, 2023</w:t>
      </w:r>
      <w:r>
        <w:rPr>
          <w:rFonts w:ascii="Arial" w:eastAsia="Arial" w:hAnsi="Arial" w:cs="Arial"/>
          <w:b w:val="0"/>
          <w:i w:val="0"/>
          <w:sz w:val="20"/>
        </w:rPr>
        <w:t>, we</w:t>
      </w:r>
      <w:r>
        <w:rPr>
          <w:rFonts w:ascii="Arial" w:eastAsia="Arial" w:hAnsi="Arial" w:cs="Arial"/>
          <w:b w:val="0"/>
          <w:i w:val="0"/>
          <w:sz w:val="20"/>
        </w:rPr>
        <w:t xml:space="preserve"> </w:t>
      </w:r>
      <w:r>
        <w:rPr>
          <w:rFonts w:ascii="Arial" w:eastAsia="Arial" w:hAnsi="Arial" w:cs="Arial"/>
          <w:b w:val="0"/>
          <w:i w:val="0"/>
          <w:sz w:val="20"/>
        </w:rPr>
        <w:t xml:space="preserve">entered into a purchase agreement with </w:t>
      </w:r>
      <w:r>
        <w:rPr>
          <w:rFonts w:ascii="Arial" w:eastAsia="Arial" w:hAnsi="Arial" w:cs="Arial"/>
          <w:b w:val="0"/>
          <w:i w:val="0"/>
          <w:sz w:val="20"/>
        </w:rPr>
        <w:t>C</w:t>
      </w:r>
      <w:r>
        <w:rPr>
          <w:rFonts w:ascii="Arial" w:eastAsia="Arial" w:hAnsi="Arial" w:cs="Arial"/>
          <w:b w:val="0"/>
          <w:i w:val="0"/>
          <w:sz w:val="20"/>
        </w:rPr>
        <w:t>PP Investments</w:t>
      </w:r>
      <w:r>
        <w:rPr>
          <w:rFonts w:ascii="Arial" w:eastAsia="Arial" w:hAnsi="Arial" w:cs="Arial"/>
          <w:b w:val="0"/>
          <w:i w:val="0"/>
          <w:sz w:val="20"/>
        </w:rPr>
        <w:t xml:space="preserve"> and Canada E</w:t>
      </w:r>
      <w:r>
        <w:rPr>
          <w:rFonts w:ascii="Arial" w:eastAsia="Arial" w:hAnsi="Arial" w:cs="Arial"/>
          <w:b w:val="0"/>
          <w:i w:val="0"/>
          <w:sz w:val="20"/>
        </w:rPr>
        <w:t>p</w:t>
      </w:r>
      <w:r>
        <w:rPr>
          <w:rFonts w:ascii="Arial" w:eastAsia="Arial" w:hAnsi="Arial" w:cs="Arial"/>
          <w:b w:val="0"/>
          <w:i w:val="0"/>
          <w:sz w:val="20"/>
        </w:rPr>
        <w:t>silon O</w:t>
      </w:r>
      <w:r>
        <w:rPr>
          <w:rFonts w:ascii="Arial" w:eastAsia="Arial" w:hAnsi="Arial" w:cs="Arial"/>
          <w:b w:val="0"/>
          <w:i w:val="0"/>
          <w:sz w:val="20"/>
        </w:rPr>
        <w:t>n</w:t>
      </w:r>
      <w:r>
        <w:rPr>
          <w:rFonts w:ascii="Arial" w:eastAsia="Arial" w:hAnsi="Arial" w:cs="Arial"/>
          <w:b w:val="0"/>
          <w:i w:val="0"/>
          <w:sz w:val="20"/>
        </w:rPr>
        <w:t>tario Limited Partner</w:t>
      </w:r>
      <w:r>
        <w:rPr>
          <w:rFonts w:ascii="Arial" w:eastAsia="Arial" w:hAnsi="Arial" w:cs="Arial"/>
          <w:b w:val="0"/>
          <w:i w:val="0"/>
          <w:sz w:val="20"/>
        </w:rPr>
        <w:t xml:space="preserve">ship, an Ontario </w:t>
      </w:r>
      <w:r>
        <w:rPr>
          <w:rFonts w:ascii="Arial" w:eastAsia="Arial" w:hAnsi="Arial" w:cs="Arial"/>
          <w:b w:val="0"/>
          <w:i w:val="0"/>
          <w:sz w:val="20"/>
        </w:rPr>
        <w:t>limited Partnership ("CPPIB LP"), pur</w:t>
      </w:r>
      <w:r>
        <w:rPr>
          <w:rFonts w:ascii="Arial" w:eastAsia="Arial" w:hAnsi="Arial" w:cs="Arial"/>
          <w:b w:val="0"/>
          <w:i w:val="0"/>
          <w:sz w:val="20"/>
        </w:rPr>
        <w:t>suant to which th</w:t>
      </w:r>
      <w:r>
        <w:rPr>
          <w:rFonts w:ascii="Arial" w:eastAsia="Arial" w:hAnsi="Arial" w:cs="Arial"/>
          <w:b w:val="0"/>
          <w:i w:val="0"/>
          <w:sz w:val="20"/>
        </w:rPr>
        <w:t>e</w:t>
      </w:r>
      <w:r>
        <w:rPr>
          <w:rFonts w:ascii="Arial" w:eastAsia="Arial" w:hAnsi="Arial" w:cs="Arial"/>
          <w:b w:val="0"/>
          <w:i w:val="0"/>
          <w:sz w:val="20"/>
        </w:rPr>
        <w:t xml:space="preserve"> </w:t>
      </w:r>
      <w:r>
        <w:rPr>
          <w:rFonts w:ascii="Arial" w:eastAsia="Arial" w:hAnsi="Arial" w:cs="Arial"/>
          <w:b w:val="0"/>
          <w:i w:val="0"/>
          <w:sz w:val="20"/>
        </w:rPr>
        <w:t>Company agreed to</w:t>
      </w:r>
      <w:r>
        <w:rPr>
          <w:rFonts w:ascii="Arial" w:eastAsia="Arial" w:hAnsi="Arial" w:cs="Arial"/>
          <w:b w:val="0"/>
          <w:i w:val="0"/>
          <w:sz w:val="20"/>
        </w:rPr>
        <w:t xml:space="preserve"> repurchase 50,000 </w:t>
      </w:r>
      <w:r>
        <w:rPr>
          <w:rFonts w:ascii="Arial" w:eastAsia="Arial" w:hAnsi="Arial" w:cs="Arial"/>
          <w:b w:val="0"/>
          <w:i w:val="0"/>
          <w:sz w:val="20"/>
        </w:rPr>
        <w:t xml:space="preserve">voting </w:t>
      </w:r>
      <w:r>
        <w:rPr>
          <w:rFonts w:ascii="Arial" w:eastAsia="Arial" w:hAnsi="Arial" w:cs="Arial"/>
          <w:b w:val="0"/>
          <w:i w:val="0"/>
          <w:sz w:val="20"/>
        </w:rPr>
        <w:t xml:space="preserve">ordinary </w:t>
      </w:r>
      <w:r>
        <w:rPr>
          <w:rFonts w:ascii="Arial" w:eastAsia="Arial" w:hAnsi="Arial" w:cs="Arial"/>
          <w:b w:val="0"/>
          <w:i w:val="0"/>
          <w:sz w:val="20"/>
        </w:rPr>
        <w:t>shares from CPP Investments and 741,</w:t>
      </w:r>
      <w:r>
        <w:rPr>
          <w:rFonts w:ascii="Arial" w:eastAsia="Arial" w:hAnsi="Arial" w:cs="Arial"/>
          <w:b w:val="0"/>
          <w:i w:val="0"/>
          <w:sz w:val="20"/>
        </w:rPr>
        <w:t xml:space="preserve">735 </w:t>
      </w:r>
      <w:r>
        <w:rPr>
          <w:rFonts w:ascii="Arial" w:eastAsia="Arial" w:hAnsi="Arial" w:cs="Arial"/>
          <w:b w:val="0"/>
          <w:i w:val="0"/>
          <w:sz w:val="20"/>
        </w:rPr>
        <w:t xml:space="preserve">voting </w:t>
      </w:r>
      <w:r>
        <w:rPr>
          <w:rFonts w:ascii="Arial" w:eastAsia="Arial" w:hAnsi="Arial" w:cs="Arial"/>
          <w:b w:val="0"/>
          <w:i w:val="0"/>
          <w:sz w:val="20"/>
        </w:rPr>
        <w:t xml:space="preserve">ordinary shares </w:t>
      </w:r>
      <w:r>
        <w:rPr>
          <w:rFonts w:ascii="Arial" w:eastAsia="Arial" w:hAnsi="Arial" w:cs="Arial"/>
          <w:b w:val="0"/>
          <w:i w:val="0"/>
          <w:sz w:val="20"/>
        </w:rPr>
        <w:t xml:space="preserve">from CPPIB LP for an aggregate price </w:t>
      </w:r>
      <w:r>
        <w:rPr>
          <w:rFonts w:ascii="Arial" w:eastAsia="Arial" w:hAnsi="Arial" w:cs="Arial"/>
          <w:b w:val="0"/>
          <w:i w:val="0"/>
          <w:sz w:val="20"/>
        </w:rPr>
        <w:t xml:space="preserve">of </w:t>
      </w:r>
      <w:r>
        <w:rPr>
          <w:rFonts w:ascii="Arial" w:eastAsia="Arial" w:hAnsi="Arial" w:cs="Arial"/>
          <w:b w:val="0"/>
          <w:i w:val="0"/>
          <w:sz w:val="20"/>
        </w:rPr>
        <w:t xml:space="preserve">$179.9 million. </w:t>
      </w:r>
      <w:r>
        <w:rPr>
          <w:rFonts w:ascii="Arial" w:eastAsia="Arial" w:hAnsi="Arial" w:cs="Arial"/>
          <w:b w:val="0"/>
          <w:i w:val="0"/>
          <w:sz w:val="20"/>
        </w:rPr>
        <w:t xml:space="preserve">The transaction was priced at </w:t>
      </w:r>
      <w:r>
        <w:rPr>
          <w:rFonts w:ascii="Arial" w:eastAsia="Arial" w:hAnsi="Arial" w:cs="Arial"/>
          <w:b w:val="0"/>
          <w:i w:val="0"/>
          <w:sz w:val="20"/>
        </w:rPr>
        <w:t xml:space="preserve">$227.18 per share, representing a 5% discount to the 10-day volume weighted average price of </w:t>
      </w:r>
      <w:r>
        <w:rPr>
          <w:rFonts w:ascii="Arial" w:eastAsia="Arial" w:hAnsi="Arial" w:cs="Arial"/>
          <w:b w:val="0"/>
          <w:i w:val="0"/>
          <w:sz w:val="20"/>
        </w:rPr>
        <w:t xml:space="preserve">our </w:t>
      </w:r>
      <w:r>
        <w:rPr>
          <w:rFonts w:ascii="Arial" w:eastAsia="Arial" w:hAnsi="Arial" w:cs="Arial"/>
          <w:b w:val="0"/>
          <w:i w:val="0"/>
          <w:sz w:val="20"/>
        </w:rPr>
        <w:t>voting ordinary s</w:t>
      </w:r>
      <w:r>
        <w:rPr>
          <w:rFonts w:ascii="Arial" w:eastAsia="Arial" w:hAnsi="Arial" w:cs="Arial"/>
          <w:b w:val="0"/>
          <w:i w:val="0"/>
          <w:sz w:val="20"/>
        </w:rPr>
        <w:t>hares</w:t>
      </w:r>
      <w:r>
        <w:rPr>
          <w:rFonts w:ascii="Arial" w:eastAsia="Arial" w:hAnsi="Arial" w:cs="Arial"/>
          <w:b w:val="0"/>
          <w:i w:val="0"/>
          <w:sz w:val="20"/>
        </w:rPr>
        <w:t xml:space="preserve"> on the NASDAQ stock market as of November 3, 2023. </w:t>
      </w:r>
      <w:r>
        <w:rPr>
          <w:rFonts w:ascii="Arial" w:eastAsia="Arial" w:hAnsi="Arial" w:cs="Arial"/>
          <w:b w:val="0"/>
          <w:i w:val="0"/>
          <w:sz w:val="20"/>
        </w:rPr>
        <w:t xml:space="preserve"> We </w:t>
      </w:r>
      <w:r>
        <w:rPr>
          <w:rFonts w:ascii="Arial" w:eastAsia="Arial" w:hAnsi="Arial" w:cs="Arial"/>
          <w:b w:val="0"/>
          <w:i w:val="0"/>
          <w:sz w:val="20"/>
        </w:rPr>
        <w:t>funded the repurchase using cash on hand</w:t>
      </w:r>
      <w:r>
        <w:rPr>
          <w:rFonts w:ascii="Arial" w:eastAsia="Arial" w:hAnsi="Arial" w:cs="Arial"/>
          <w:b w:val="0"/>
          <w:i w:val="0"/>
          <w:sz w:val="20"/>
        </w:rPr>
        <w:t xml:space="preserve">. </w:t>
      </w:r>
      <w:r>
        <w:rPr>
          <w:rFonts w:ascii="Arial" w:eastAsia="Arial" w:hAnsi="Arial" w:cs="Arial"/>
          <w:b w:val="0"/>
          <w:i w:val="0"/>
          <w:sz w:val="20"/>
        </w:rPr>
        <w:t xml:space="preserve">Following the share repurchase, CPP Investments </w:t>
      </w:r>
      <w:r>
        <w:rPr>
          <w:rFonts w:ascii="Arial" w:eastAsia="Arial" w:hAnsi="Arial" w:cs="Arial"/>
          <w:b w:val="0"/>
          <w:i w:val="0"/>
          <w:sz w:val="20"/>
        </w:rPr>
        <w:t xml:space="preserve">held a 4.3% </w:t>
      </w:r>
      <w:r>
        <w:rPr>
          <w:rFonts w:ascii="Arial" w:eastAsia="Arial" w:hAnsi="Arial" w:cs="Arial"/>
          <w:b w:val="0"/>
          <w:i w:val="0"/>
          <w:sz w:val="20"/>
        </w:rPr>
        <w:t>interest in the Company</w:t>
      </w:r>
      <w:r>
        <w:rPr>
          <w:rFonts w:ascii="Arial" w:eastAsia="Arial" w:hAnsi="Arial" w:cs="Arial"/>
          <w:b w:val="0"/>
          <w:i w:val="0"/>
          <w:sz w:val="20"/>
        </w:rPr>
        <w:t xml:space="preserve">. </w:t>
      </w:r>
      <w:r>
        <w:rPr>
          <w:rFonts w:ascii="Arial" w:eastAsia="Arial" w:hAnsi="Arial" w:cs="Arial"/>
          <w:b w:val="0"/>
          <w:i w:val="0"/>
          <w:sz w:val="20"/>
        </w:rPr>
        <w:t>In addition</w:t>
      </w:r>
      <w:r>
        <w:rPr>
          <w:rFonts w:ascii="Arial" w:eastAsia="Arial" w:hAnsi="Arial" w:cs="Arial"/>
          <w:b w:val="0"/>
          <w:i w:val="0"/>
          <w:sz w:val="20"/>
        </w:rPr>
        <w:t>, CPP</w:t>
      </w:r>
      <w:r>
        <w:rPr>
          <w:rFonts w:ascii="Arial" w:eastAsia="Arial" w:hAnsi="Arial" w:cs="Arial"/>
          <w:b w:val="0"/>
          <w:i w:val="0"/>
          <w:sz w:val="20"/>
        </w:rPr>
        <w:t xml:space="preserve"> I</w:t>
      </w:r>
      <w:r>
        <w:rPr>
          <w:rFonts w:ascii="Arial" w:eastAsia="Arial" w:hAnsi="Arial" w:cs="Arial"/>
          <w:b w:val="0"/>
          <w:i w:val="0"/>
          <w:sz w:val="20"/>
        </w:rPr>
        <w:t>nvestments</w:t>
      </w:r>
      <w:r>
        <w:rPr>
          <w:rFonts w:ascii="Arial" w:eastAsia="Arial" w:hAnsi="Arial" w:cs="Arial"/>
          <w:b w:val="0"/>
          <w:i w:val="0"/>
          <w:sz w:val="20"/>
        </w:rPr>
        <w:t xml:space="preserve"> had a contractual right to appoint a director representative to </w:t>
      </w:r>
      <w:r>
        <w:rPr>
          <w:rFonts w:ascii="Arial" w:eastAsia="Arial" w:hAnsi="Arial" w:cs="Arial"/>
          <w:b w:val="0"/>
          <w:i w:val="0"/>
          <w:sz w:val="20"/>
        </w:rPr>
        <w:t xml:space="preserve">our </w:t>
      </w:r>
      <w:r>
        <w:rPr>
          <w:rFonts w:ascii="Arial" w:eastAsia="Arial" w:hAnsi="Arial" w:cs="Arial"/>
          <w:b w:val="0"/>
          <w:i w:val="0"/>
          <w:sz w:val="20"/>
        </w:rPr>
        <w:t>Board, w</w:t>
      </w:r>
      <w:r>
        <w:rPr>
          <w:rFonts w:ascii="Arial" w:eastAsia="Arial" w:hAnsi="Arial" w:cs="Arial"/>
          <w:b w:val="0"/>
          <w:i w:val="0"/>
          <w:sz w:val="20"/>
        </w:rPr>
        <w:t>hich right was extinguished following the completion of its sale of vo</w:t>
      </w:r>
      <w:r>
        <w:rPr>
          <w:rFonts w:ascii="Arial" w:eastAsia="Arial" w:hAnsi="Arial" w:cs="Arial"/>
          <w:b w:val="0"/>
          <w:i w:val="0"/>
          <w:sz w:val="20"/>
        </w:rPr>
        <w:t>t</w:t>
      </w:r>
      <w:r>
        <w:rPr>
          <w:rFonts w:ascii="Arial" w:eastAsia="Arial" w:hAnsi="Arial" w:cs="Arial"/>
          <w:b w:val="0"/>
          <w:i w:val="0"/>
          <w:sz w:val="20"/>
        </w:rPr>
        <w:t xml:space="preserve">ing ordinary </w:t>
      </w:r>
      <w:r>
        <w:rPr>
          <w:rFonts w:ascii="Arial" w:eastAsia="Arial" w:hAnsi="Arial" w:cs="Arial"/>
          <w:b w:val="0"/>
          <w:i w:val="0"/>
          <w:sz w:val="20"/>
        </w:rPr>
        <w:t xml:space="preserve">shares back to us and </w:t>
      </w:r>
      <w:r>
        <w:rPr>
          <w:rFonts w:ascii="Arial" w:eastAsia="Arial" w:hAnsi="Arial" w:cs="Arial"/>
          <w:b w:val="0"/>
          <w:i w:val="0"/>
          <w:sz w:val="20"/>
        </w:rPr>
        <w:t>its</w:t>
      </w:r>
      <w:r>
        <w:rPr>
          <w:rFonts w:ascii="Arial" w:eastAsia="Arial" w:hAnsi="Arial" w:cs="Arial"/>
          <w:b w:val="0"/>
          <w:i w:val="0"/>
          <w:sz w:val="20"/>
        </w:rPr>
        <w:t xml:space="preserve"> sale of additional voting ordinary </w:t>
      </w:r>
      <w:r>
        <w:rPr>
          <w:rFonts w:ascii="Arial" w:eastAsia="Arial" w:hAnsi="Arial" w:cs="Arial"/>
          <w:b w:val="0"/>
          <w:i w:val="0"/>
          <w:sz w:val="20"/>
        </w:rPr>
        <w:t>shares</w:t>
      </w:r>
      <w:r>
        <w:rPr>
          <w:rFonts w:ascii="Arial" w:eastAsia="Arial" w:hAnsi="Arial" w:cs="Arial"/>
          <w:b w:val="0"/>
          <w:i w:val="0"/>
          <w:sz w:val="20"/>
        </w:rPr>
        <w:t xml:space="preserve"> to certain third parties.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000000"/>
          <w:sz w:val="20"/>
          <w:u w:val="none"/>
          <w:shd w:val="clear" w:color="auto" w:fill="FFFF00"/>
        </w:rPr>
      </w:pPr>
      <w:r>
        <w:rPr>
          <w:rFonts w:ascii="Arial" w:eastAsia="Arial" w:hAnsi="Arial" w:cs="Arial"/>
          <w:b w:val="0"/>
          <w:i w:val="0"/>
          <w:sz w:val="20"/>
        </w:rPr>
        <w:t>Additionall</w:t>
      </w:r>
      <w:r>
        <w:rPr>
          <w:rFonts w:ascii="Arial" w:eastAsia="Arial" w:hAnsi="Arial" w:cs="Arial"/>
          <w:b w:val="0"/>
          <w:i w:val="0"/>
          <w:sz w:val="20"/>
        </w:rPr>
        <w:t>y</w:t>
      </w:r>
      <w:r>
        <w:rPr>
          <w:rFonts w:ascii="Arial" w:eastAsia="Arial" w:hAnsi="Arial" w:cs="Arial"/>
          <w:b w:val="0"/>
          <w:i w:val="0"/>
          <w:sz w:val="20"/>
        </w:rPr>
        <w:t>, on</w:t>
      </w:r>
      <w:r>
        <w:rPr>
          <w:rFonts w:ascii="Arial" w:eastAsia="Arial" w:hAnsi="Arial" w:cs="Arial"/>
          <w:b w:val="0"/>
          <w:i w:val="0"/>
          <w:sz w:val="20"/>
        </w:rPr>
        <w:t xml:space="preserve"> November 7, 2023, we </w:t>
      </w:r>
      <w:r>
        <w:rPr>
          <w:rFonts w:ascii="Arial" w:eastAsia="Arial" w:hAnsi="Arial" w:cs="Arial"/>
          <w:b w:val="0"/>
          <w:i w:val="0"/>
          <w:sz w:val="20"/>
        </w:rPr>
        <w:t>entered into a purchase agreement with Trident Public E</w:t>
      </w:r>
      <w:r>
        <w:rPr>
          <w:rFonts w:ascii="Arial" w:eastAsia="Arial" w:hAnsi="Arial" w:cs="Arial"/>
          <w:b w:val="0"/>
          <w:i w:val="0"/>
          <w:sz w:val="20"/>
        </w:rPr>
        <w:t>quity LP ("Trident P</w:t>
      </w:r>
      <w:r>
        <w:rPr>
          <w:rFonts w:ascii="Arial" w:eastAsia="Arial" w:hAnsi="Arial" w:cs="Arial"/>
          <w:b w:val="0"/>
          <w:i w:val="0"/>
          <w:sz w:val="20"/>
        </w:rPr>
        <w:t>u</w:t>
      </w:r>
      <w:r>
        <w:rPr>
          <w:rFonts w:ascii="Arial" w:eastAsia="Arial" w:hAnsi="Arial" w:cs="Arial"/>
          <w:b w:val="0"/>
          <w:i w:val="0"/>
          <w:sz w:val="20"/>
        </w:rPr>
        <w:t>blic Equity")</w:t>
      </w:r>
      <w:r>
        <w:rPr>
          <w:rFonts w:ascii="Arial" w:eastAsia="Arial" w:hAnsi="Arial" w:cs="Arial"/>
          <w:b w:val="0"/>
          <w:i w:val="0"/>
          <w:sz w:val="20"/>
        </w:rPr>
        <w:t>, an affiliate of Stone Point, pursuant to which we agreed to repurc</w:t>
      </w:r>
      <w:r>
        <w:rPr>
          <w:rFonts w:ascii="Arial" w:eastAsia="Arial" w:hAnsi="Arial" w:cs="Arial"/>
          <w:b w:val="0"/>
          <w:i w:val="0"/>
          <w:sz w:val="20"/>
        </w:rPr>
        <w:t>h</w:t>
      </w:r>
      <w:r>
        <w:rPr>
          <w:rFonts w:ascii="Arial" w:eastAsia="Arial" w:hAnsi="Arial" w:cs="Arial"/>
          <w:b w:val="0"/>
          <w:i w:val="0"/>
          <w:sz w:val="20"/>
        </w:rPr>
        <w:t>a</w:t>
      </w:r>
      <w:r>
        <w:rPr>
          <w:rFonts w:ascii="Arial" w:eastAsia="Arial" w:hAnsi="Arial" w:cs="Arial"/>
          <w:b w:val="0"/>
          <w:i w:val="0"/>
          <w:sz w:val="20"/>
        </w:rPr>
        <w:t xml:space="preserve">se </w:t>
      </w:r>
      <w:r>
        <w:rPr>
          <w:rFonts w:ascii="Arial" w:eastAsia="Arial" w:hAnsi="Arial" w:cs="Arial"/>
          <w:b w:val="0"/>
          <w:i w:val="0"/>
          <w:sz w:val="20"/>
        </w:rPr>
        <w:t xml:space="preserve">50,000 </w:t>
      </w:r>
      <w:r>
        <w:rPr>
          <w:rFonts w:ascii="Arial" w:eastAsia="Arial" w:hAnsi="Arial" w:cs="Arial"/>
          <w:b w:val="0"/>
          <w:i w:val="0"/>
          <w:sz w:val="20"/>
        </w:rPr>
        <w:t xml:space="preserve">voting ordinary shares </w:t>
      </w:r>
      <w:r>
        <w:rPr>
          <w:rFonts w:ascii="Arial" w:eastAsia="Arial" w:hAnsi="Arial" w:cs="Arial"/>
          <w:b w:val="0"/>
          <w:i w:val="0"/>
          <w:sz w:val="20"/>
        </w:rPr>
        <w:t>held by Trident Public Equity for a</w:t>
      </w:r>
      <w:r>
        <w:rPr>
          <w:rFonts w:ascii="Arial" w:eastAsia="Arial" w:hAnsi="Arial" w:cs="Arial"/>
          <w:b w:val="0"/>
          <w:i w:val="0"/>
          <w:sz w:val="20"/>
        </w:rPr>
        <w:t xml:space="preserve"> price of $11.4 million. </w:t>
      </w:r>
      <w:r>
        <w:rPr>
          <w:rFonts w:ascii="Arial" w:eastAsia="Arial" w:hAnsi="Arial" w:cs="Arial"/>
          <w:b w:val="0"/>
          <w:i w:val="0"/>
          <w:sz w:val="20"/>
        </w:rPr>
        <w:t xml:space="preserve">The transaction was priced at $227.18 per share, representing a 5% discount to the 10-day volume weighted average price of </w:t>
      </w:r>
      <w:r>
        <w:rPr>
          <w:rFonts w:ascii="Arial" w:eastAsia="Arial" w:hAnsi="Arial" w:cs="Arial"/>
          <w:b w:val="0"/>
          <w:i w:val="0"/>
          <w:sz w:val="20"/>
        </w:rPr>
        <w:t>our voting ordinary shares</w:t>
      </w:r>
      <w:r>
        <w:rPr>
          <w:rFonts w:ascii="Arial" w:eastAsia="Arial" w:hAnsi="Arial" w:cs="Arial"/>
          <w:b w:val="0"/>
          <w:i w:val="0"/>
          <w:sz w:val="20"/>
        </w:rPr>
        <w:t xml:space="preserve"> on the NASDAQ stock market as of November 3, 2023.  We </w:t>
      </w:r>
      <w:r>
        <w:rPr>
          <w:rFonts w:ascii="Arial" w:eastAsia="Arial" w:hAnsi="Arial" w:cs="Arial"/>
          <w:b w:val="0"/>
          <w:i w:val="0"/>
          <w:sz w:val="20"/>
        </w:rPr>
        <w:t>funded the repurchase using cash on hand.</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54"/>
          <w:footerReference w:type="default" r:id="rId355"/>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0"/>
          <w:u w:val="none"/>
        </w:rPr>
      </w:pPr>
      <w:bookmarkStart w:id="137" w:name="Section140"/>
      <w:bookmarkEnd w:id="137"/>
    </w:p>
    <w:p>
      <w:pPr>
        <w:keepNext w:val="0"/>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 xml:space="preserve">Other </w:t>
      </w:r>
      <w:r>
        <w:rPr>
          <w:rFonts w:ascii="Arial" w:eastAsia="Arial" w:hAnsi="Arial" w:cs="Arial"/>
          <w:b/>
          <w:i w:val="0"/>
          <w:color w:val="4495D1"/>
          <w:sz w:val="20"/>
          <w:u w:val="none"/>
        </w:rPr>
        <w:t>Invest</w:t>
      </w:r>
      <w:r>
        <w:rPr>
          <w:rFonts w:ascii="Arial" w:eastAsia="Arial" w:hAnsi="Arial" w:cs="Arial"/>
          <w:b/>
          <w:i w:val="0"/>
          <w:color w:val="4495D1"/>
          <w:sz w:val="20"/>
          <w:u w:val="none"/>
        </w:rPr>
        <w:t>ment</w:t>
      </w:r>
      <w:r>
        <w:rPr>
          <w:rFonts w:ascii="Arial" w:eastAsia="Arial" w:hAnsi="Arial" w:cs="Arial"/>
          <w:b/>
          <w:i w:val="0"/>
          <w:color w:val="4495D1"/>
          <w:sz w:val="20"/>
          <w:u w:val="none"/>
        </w:rPr>
        <w:t xml:space="preserve"> Management</w:t>
      </w:r>
      <w:r>
        <w:rPr>
          <w:rFonts w:ascii="Arial" w:eastAsia="Arial" w:hAnsi="Arial" w:cs="Arial"/>
          <w:b/>
          <w:i w:val="0"/>
          <w:color w:val="4495D1"/>
          <w:sz w:val="20"/>
          <w:u w:val="none"/>
        </w:rPr>
        <w:t xml:space="preserve"> Fees </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000000"/>
          <w:sz w:val="20"/>
          <w:u w:val="none"/>
        </w:rPr>
      </w:pPr>
      <w:r>
        <w:rPr>
          <w:rFonts w:ascii="Arial" w:eastAsia="Arial" w:hAnsi="Arial" w:cs="Arial"/>
          <w:b w:val="0"/>
          <w:i w:val="0"/>
          <w:color w:val="000000"/>
          <w:sz w:val="20"/>
          <w:u w:val="none"/>
        </w:rPr>
        <w:t>The Vanguard Group</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("Vanguard") </w:t>
      </w:r>
      <w:r>
        <w:rPr>
          <w:rFonts w:ascii="Arial" w:eastAsia="Arial" w:hAnsi="Arial" w:cs="Arial"/>
          <w:b w:val="0"/>
          <w:i w:val="0"/>
          <w:color w:val="000000"/>
          <w:sz w:val="20"/>
          <w:u w:val="none"/>
        </w:rPr>
        <w:t>and</w:t>
      </w:r>
      <w:r>
        <w:rPr>
          <w:rFonts w:ascii="Arial" w:eastAsia="Arial" w:hAnsi="Arial" w:cs="Arial"/>
          <w:b w:val="0"/>
          <w:i w:val="0"/>
          <w:color w:val="000000"/>
          <w:sz w:val="20"/>
          <w:u w:val="none"/>
        </w:rPr>
        <w:t xml:space="preserve"> Black</w:t>
      </w:r>
      <w:r>
        <w:rPr>
          <w:rFonts w:ascii="Arial" w:eastAsia="Arial" w:hAnsi="Arial" w:cs="Arial"/>
          <w:b w:val="0"/>
          <w:i w:val="0"/>
          <w:color w:val="000000"/>
          <w:sz w:val="20"/>
          <w:u w:val="none"/>
        </w:rPr>
        <w:t>R</w:t>
      </w:r>
      <w:r>
        <w:rPr>
          <w:rFonts w:ascii="Arial" w:eastAsia="Arial" w:hAnsi="Arial" w:cs="Arial"/>
          <w:b w:val="0"/>
          <w:i w:val="0"/>
          <w:color w:val="000000"/>
          <w:sz w:val="20"/>
          <w:u w:val="none"/>
        </w:rPr>
        <w:t>ock, I</w:t>
      </w:r>
      <w:r>
        <w:rPr>
          <w:rFonts w:ascii="Arial" w:eastAsia="Arial" w:hAnsi="Arial" w:cs="Arial"/>
          <w:b w:val="0"/>
          <w:i w:val="0"/>
          <w:color w:val="000000"/>
          <w:sz w:val="20"/>
          <w:u w:val="none"/>
        </w:rPr>
        <w:t>nc.</w:t>
      </w:r>
      <w:r>
        <w:rPr>
          <w:rFonts w:ascii="Arial" w:eastAsia="Arial" w:hAnsi="Arial" w:cs="Arial"/>
          <w:b w:val="0"/>
          <w:i w:val="0"/>
          <w:color w:val="000000"/>
          <w:sz w:val="20"/>
          <w:u w:val="none"/>
        </w:rPr>
        <w:t xml:space="preserve"> ("BlackRock")</w:t>
      </w:r>
      <w:r>
        <w:rPr>
          <w:rFonts w:ascii="Arial" w:eastAsia="Arial" w:hAnsi="Arial" w:cs="Arial"/>
          <w:b w:val="0"/>
          <w:i w:val="0"/>
          <w:color w:val="000000"/>
          <w:sz w:val="20"/>
          <w:u w:val="none"/>
        </w:rPr>
        <w:t>, t</w:t>
      </w:r>
      <w:r>
        <w:rPr>
          <w:rFonts w:ascii="Arial" w:eastAsia="Arial" w:hAnsi="Arial" w:cs="Arial"/>
          <w:b w:val="0"/>
          <w:i w:val="0"/>
          <w:color w:val="000000"/>
          <w:sz w:val="20"/>
          <w:u w:val="none"/>
        </w:rPr>
        <w:t>ogether with</w:t>
      </w:r>
      <w:r>
        <w:rPr>
          <w:rFonts w:ascii="Arial" w:eastAsia="Arial" w:hAnsi="Arial" w:cs="Arial"/>
          <w:b w:val="0"/>
          <w:i w:val="0"/>
          <w:color w:val="000000"/>
          <w:sz w:val="20"/>
          <w:u w:val="none"/>
        </w:rPr>
        <w:t xml:space="preserve"> each of</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their</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affiliates</w:t>
      </w:r>
      <w:r>
        <w:rPr>
          <w:rFonts w:ascii="Arial" w:eastAsia="Arial" w:hAnsi="Arial" w:cs="Arial"/>
          <w:b w:val="0"/>
          <w:i w:val="0"/>
          <w:color w:val="000000"/>
          <w:sz w:val="20"/>
          <w:u w:val="none"/>
        </w:rPr>
        <w:t>,</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collectively owned </w:t>
      </w:r>
      <w:r>
        <w:rPr>
          <w:rFonts w:ascii="Arial" w:eastAsia="Arial" w:hAnsi="Arial" w:cs="Arial"/>
          <w:b w:val="0"/>
          <w:i w:val="0"/>
          <w:color w:val="000000"/>
          <w:sz w:val="20"/>
          <w:u w:val="none"/>
        </w:rPr>
        <w:t>8.5%</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and </w:t>
      </w:r>
      <w:r>
        <w:rPr>
          <w:rFonts w:ascii="Arial" w:eastAsia="Arial" w:hAnsi="Arial" w:cs="Arial"/>
          <w:b w:val="0"/>
          <w:i w:val="0"/>
          <w:color w:val="000000"/>
          <w:sz w:val="20"/>
          <w:u w:val="none"/>
        </w:rPr>
        <w:t>6.3%</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of our voting ordinary shares as of </w:t>
      </w:r>
      <w:r>
        <w:rPr>
          <w:rFonts w:ascii="Arial" w:eastAsia="Arial" w:hAnsi="Arial" w:cs="Arial"/>
          <w:b w:val="0"/>
          <w:i w:val="0"/>
          <w:color w:val="000000"/>
          <w:sz w:val="20"/>
          <w:u w:val="none"/>
        </w:rPr>
        <w:t>December 31, 2023</w:t>
      </w:r>
      <w:r>
        <w:rPr>
          <w:rFonts w:ascii="Arial" w:eastAsia="Arial" w:hAnsi="Arial" w:cs="Arial"/>
          <w:b w:val="0"/>
          <w:i w:val="0"/>
          <w:color w:val="000000"/>
          <w:sz w:val="20"/>
          <w:u w:val="none"/>
        </w:rPr>
        <w:t>, respectively</w:t>
      </w:r>
      <w:r>
        <w:rPr>
          <w:rFonts w:ascii="Arial" w:eastAsia="Arial" w:hAnsi="Arial" w:cs="Arial"/>
          <w:b w:val="0"/>
          <w:i w:val="0"/>
          <w:color w:val="000000"/>
          <w:sz w:val="20"/>
          <w:u w:val="none"/>
        </w:rPr>
        <w:t xml:space="preserve">. We have made investments in </w:t>
      </w:r>
      <w:r>
        <w:rPr>
          <w:rFonts w:ascii="Arial" w:eastAsia="Arial" w:hAnsi="Arial" w:cs="Arial"/>
          <w:b w:val="0"/>
          <w:i w:val="0"/>
          <w:color w:val="000000"/>
          <w:sz w:val="20"/>
          <w:u w:val="none"/>
        </w:rPr>
        <w:t xml:space="preserve">exchange traded </w:t>
      </w:r>
      <w:r>
        <w:rPr>
          <w:rFonts w:ascii="Arial" w:eastAsia="Arial" w:hAnsi="Arial" w:cs="Arial"/>
          <w:b w:val="0"/>
          <w:i w:val="0"/>
          <w:color w:val="000000"/>
          <w:sz w:val="20"/>
          <w:u w:val="none"/>
        </w:rPr>
        <w:t xml:space="preserve">funds </w:t>
      </w:r>
      <w:r>
        <w:rPr>
          <w:rFonts w:ascii="Arial" w:eastAsia="Arial" w:hAnsi="Arial" w:cs="Arial"/>
          <w:b w:val="0"/>
          <w:i w:val="0"/>
          <w:color w:val="000000"/>
          <w:sz w:val="20"/>
          <w:u w:val="none"/>
        </w:rPr>
        <w:t xml:space="preserve">("ETFs") </w:t>
      </w:r>
      <w:r>
        <w:rPr>
          <w:rFonts w:ascii="Arial" w:eastAsia="Arial" w:hAnsi="Arial" w:cs="Arial"/>
          <w:b w:val="0"/>
          <w:i w:val="0"/>
          <w:color w:val="000000"/>
          <w:sz w:val="20"/>
          <w:u w:val="none"/>
        </w:rPr>
        <w:t xml:space="preserve">managed by </w:t>
      </w:r>
      <w:r>
        <w:rPr>
          <w:rFonts w:ascii="Arial" w:eastAsia="Arial" w:hAnsi="Arial" w:cs="Arial"/>
          <w:b w:val="0"/>
          <w:i w:val="0"/>
          <w:color w:val="000000"/>
          <w:sz w:val="20"/>
          <w:u w:val="none"/>
        </w:rPr>
        <w:t>Vang</w:t>
      </w:r>
      <w:r>
        <w:rPr>
          <w:rFonts w:ascii="Arial" w:eastAsia="Arial" w:hAnsi="Arial" w:cs="Arial"/>
          <w:b w:val="0"/>
          <w:i w:val="0"/>
          <w:color w:val="000000"/>
          <w:sz w:val="20"/>
          <w:u w:val="none"/>
        </w:rPr>
        <w:t>uard and Black</w:t>
      </w:r>
      <w:r>
        <w:rPr>
          <w:rFonts w:ascii="Arial" w:eastAsia="Arial" w:hAnsi="Arial" w:cs="Arial"/>
          <w:b w:val="0"/>
          <w:i w:val="0"/>
          <w:color w:val="000000"/>
          <w:sz w:val="20"/>
          <w:u w:val="none"/>
        </w:rPr>
        <w:t>Rock</w:t>
      </w:r>
      <w:r>
        <w:rPr>
          <w:rFonts w:ascii="Arial" w:eastAsia="Arial" w:hAnsi="Arial" w:cs="Arial"/>
          <w:b w:val="0"/>
          <w:i w:val="0"/>
          <w:color w:val="000000"/>
          <w:sz w:val="20"/>
          <w:u w:val="none"/>
        </w:rPr>
        <w:t xml:space="preserve">. As of </w:t>
      </w:r>
      <w:r>
        <w:rPr>
          <w:rFonts w:ascii="Arial" w:eastAsia="Arial" w:hAnsi="Arial" w:cs="Arial"/>
          <w:b w:val="0"/>
          <w:i w:val="0"/>
          <w:color w:val="000000"/>
          <w:sz w:val="20"/>
          <w:u w:val="none"/>
        </w:rPr>
        <w:t>December 31, 2023</w:t>
      </w:r>
      <w:r>
        <w:rPr>
          <w:rFonts w:ascii="Arial" w:eastAsia="Arial" w:hAnsi="Arial" w:cs="Arial"/>
          <w:b w:val="0"/>
          <w:i w:val="0"/>
          <w:color w:val="000000"/>
          <w:sz w:val="20"/>
          <w:u w:val="none"/>
        </w:rPr>
        <w:t xml:space="preserve">, the market value of our investments in </w:t>
      </w:r>
      <w:r>
        <w:rPr>
          <w:rFonts w:ascii="Arial" w:eastAsia="Arial" w:hAnsi="Arial" w:cs="Arial"/>
          <w:b w:val="0"/>
          <w:i w:val="0"/>
          <w:color w:val="000000"/>
          <w:sz w:val="20"/>
          <w:u w:val="none"/>
        </w:rPr>
        <w:t>ETFs</w:t>
      </w:r>
      <w:r>
        <w:rPr>
          <w:rFonts w:ascii="Arial" w:eastAsia="Arial" w:hAnsi="Arial" w:cs="Arial"/>
          <w:b w:val="0"/>
          <w:i w:val="0"/>
          <w:color w:val="000000"/>
          <w:sz w:val="20"/>
          <w:u w:val="none"/>
        </w:rPr>
        <w:t xml:space="preserve"> managed by </w:t>
      </w:r>
      <w:r>
        <w:rPr>
          <w:rFonts w:ascii="Arial" w:eastAsia="Arial" w:hAnsi="Arial" w:cs="Arial"/>
          <w:b w:val="0"/>
          <w:i w:val="0"/>
          <w:color w:val="000000"/>
          <w:sz w:val="20"/>
          <w:u w:val="none"/>
        </w:rPr>
        <w:t>Vanguard and BlackRock</w:t>
      </w:r>
      <w:r>
        <w:rPr>
          <w:rFonts w:ascii="Arial" w:eastAsia="Arial" w:hAnsi="Arial" w:cs="Arial"/>
          <w:b w:val="0"/>
          <w:i w:val="0"/>
          <w:color w:val="000000"/>
          <w:sz w:val="20"/>
          <w:u w:val="none"/>
        </w:rPr>
        <w:t xml:space="preserve"> was </w:t>
      </w:r>
      <w:r>
        <w:rPr>
          <w:rFonts w:ascii="Arial" w:eastAsia="Arial" w:hAnsi="Arial" w:cs="Arial"/>
          <w:b w:val="0"/>
          <w:i w:val="0"/>
          <w:color w:val="000000"/>
          <w:sz w:val="20"/>
          <w:u w:val="none"/>
        </w:rPr>
        <w:t>$</w:t>
      </w:r>
      <w:r>
        <w:rPr>
          <w:rFonts w:ascii="Arial" w:eastAsia="Arial" w:hAnsi="Arial" w:cs="Arial"/>
          <w:b w:val="0"/>
          <w:i w:val="0"/>
          <w:color w:val="000000"/>
          <w:sz w:val="20"/>
          <w:u w:val="none"/>
        </w:rPr>
        <w:t>2.5 million</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and </w:t>
      </w:r>
      <w:r>
        <w:rPr>
          <w:rFonts w:ascii="Arial" w:eastAsia="Arial" w:hAnsi="Arial" w:cs="Arial"/>
          <w:b w:val="0"/>
          <w:i w:val="0"/>
          <w:color w:val="000000"/>
          <w:sz w:val="20"/>
          <w:u w:val="none"/>
        </w:rPr>
        <w:t>$</w:t>
      </w:r>
      <w:r>
        <w:rPr>
          <w:rFonts w:ascii="Arial" w:eastAsia="Arial" w:hAnsi="Arial" w:cs="Arial"/>
          <w:b w:val="0"/>
          <w:i w:val="0"/>
          <w:color w:val="000000"/>
          <w:sz w:val="20"/>
          <w:u w:val="none"/>
        </w:rPr>
        <w:t>41.4</w:t>
      </w:r>
      <w:r>
        <w:rPr>
          <w:rFonts w:ascii="Arial" w:eastAsia="Arial" w:hAnsi="Arial" w:cs="Arial"/>
          <w:b w:val="0"/>
          <w:i w:val="0"/>
          <w:color w:val="000000"/>
          <w:sz w:val="20"/>
          <w:u w:val="none"/>
        </w:rPr>
        <w:t xml:space="preserve"> million</w:t>
      </w:r>
      <w:r>
        <w:rPr>
          <w:rFonts w:ascii="Arial" w:eastAsia="Arial" w:hAnsi="Arial" w:cs="Arial"/>
          <w:b w:val="0"/>
          <w:i w:val="0"/>
          <w:color w:val="000000"/>
          <w:sz w:val="20"/>
          <w:u w:val="none"/>
        </w:rPr>
        <w:t xml:space="preserve">, respectively. </w:t>
      </w:r>
      <w:r>
        <w:rPr>
          <w:rFonts w:ascii="Arial" w:eastAsia="Arial" w:hAnsi="Arial" w:cs="Arial"/>
          <w:b w:val="0"/>
          <w:i w:val="0"/>
          <w:color w:val="000000"/>
          <w:sz w:val="20"/>
          <w:u w:val="none"/>
        </w:rPr>
        <w:t xml:space="preserve">Our investments in </w:t>
      </w:r>
      <w:r>
        <w:rPr>
          <w:rFonts w:ascii="Arial" w:eastAsia="Arial" w:hAnsi="Arial" w:cs="Arial"/>
          <w:b w:val="0"/>
          <w:i w:val="0"/>
          <w:color w:val="000000"/>
          <w:sz w:val="20"/>
          <w:u w:val="none"/>
        </w:rPr>
        <w:t>the Vanguard and B</w:t>
      </w:r>
      <w:r>
        <w:rPr>
          <w:rFonts w:ascii="Arial" w:eastAsia="Arial" w:hAnsi="Arial" w:cs="Arial"/>
          <w:b w:val="0"/>
          <w:i w:val="0"/>
          <w:color w:val="000000"/>
          <w:sz w:val="20"/>
          <w:u w:val="none"/>
        </w:rPr>
        <w:t>lackR</w:t>
      </w:r>
      <w:r>
        <w:rPr>
          <w:rFonts w:ascii="Arial" w:eastAsia="Arial" w:hAnsi="Arial" w:cs="Arial"/>
          <w:b w:val="0"/>
          <w:i w:val="0"/>
          <w:color w:val="000000"/>
          <w:sz w:val="20"/>
          <w:u w:val="none"/>
        </w:rPr>
        <w:t>ock</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ETFs are </w:t>
      </w:r>
      <w:r>
        <w:rPr>
          <w:rFonts w:ascii="Arial" w:eastAsia="Arial" w:hAnsi="Arial" w:cs="Arial"/>
          <w:b w:val="0"/>
          <w:i w:val="0"/>
          <w:color w:val="000000"/>
          <w:sz w:val="20"/>
          <w:u w:val="none"/>
        </w:rPr>
        <w:t xml:space="preserve">each </w:t>
      </w:r>
      <w:r>
        <w:rPr>
          <w:rFonts w:ascii="Arial" w:eastAsia="Arial" w:hAnsi="Arial" w:cs="Arial"/>
          <w:b w:val="0"/>
          <w:i w:val="0"/>
          <w:color w:val="000000"/>
          <w:sz w:val="20"/>
          <w:u w:val="none"/>
        </w:rPr>
        <w:t>subject to a</w:t>
      </w:r>
      <w:r>
        <w:rPr>
          <w:rFonts w:ascii="Arial" w:eastAsia="Arial" w:hAnsi="Arial" w:cs="Arial"/>
          <w:b w:val="0"/>
          <w:i w:val="0"/>
          <w:color w:val="000000"/>
          <w:sz w:val="20"/>
          <w:u w:val="none"/>
        </w:rPr>
        <w:t>n expense ratio</w:t>
      </w:r>
      <w:r>
        <w:rPr>
          <w:rFonts w:ascii="Arial" w:eastAsia="Arial" w:hAnsi="Arial" w:cs="Arial"/>
          <w:b w:val="0"/>
          <w:i w:val="0"/>
          <w:color w:val="000000"/>
          <w:sz w:val="20"/>
          <w:u w:val="none"/>
        </w:rPr>
        <w:t xml:space="preserve"> of 0.1%</w:t>
      </w:r>
      <w:r>
        <w:rPr>
          <w:rFonts w:ascii="Arial" w:eastAsia="Arial" w:hAnsi="Arial" w:cs="Arial"/>
          <w:b w:val="0"/>
          <w:i w:val="0"/>
          <w:color w:val="000000"/>
          <w:sz w:val="20"/>
          <w:u w:val="none"/>
        </w:rPr>
        <w:t>. Expenses accrued pursua</w:t>
      </w:r>
      <w:r>
        <w:rPr>
          <w:rFonts w:ascii="Arial" w:eastAsia="Arial" w:hAnsi="Arial" w:cs="Arial"/>
          <w:b w:val="0"/>
          <w:i w:val="0"/>
          <w:color w:val="000000"/>
          <w:sz w:val="20"/>
          <w:u w:val="none"/>
        </w:rPr>
        <w:t xml:space="preserve">nt to the expense ratio are </w:t>
      </w:r>
      <w:r>
        <w:rPr>
          <w:rFonts w:ascii="Arial" w:eastAsia="Arial" w:hAnsi="Arial" w:cs="Arial"/>
          <w:b w:val="0"/>
          <w:i w:val="0"/>
          <w:color w:val="000000"/>
          <w:sz w:val="20"/>
          <w:u w:val="none"/>
        </w:rPr>
        <w:t xml:space="preserve">deducted from the net asset </w:t>
      </w:r>
      <w:r>
        <w:rPr>
          <w:rFonts w:ascii="Arial" w:eastAsia="Arial" w:hAnsi="Arial" w:cs="Arial"/>
          <w:b w:val="0"/>
          <w:i w:val="0"/>
          <w:color w:val="000000"/>
          <w:sz w:val="20"/>
          <w:u w:val="none"/>
        </w:rPr>
        <w:t>value of our investments in the ETFs</w:t>
      </w:r>
      <w:r>
        <w:rPr>
          <w:rFonts w:ascii="Arial" w:eastAsia="Arial" w:hAnsi="Arial" w:cs="Arial"/>
          <w:b w:val="0"/>
          <w:i w:val="0"/>
          <w:color w:val="000000"/>
          <w:sz w:val="20"/>
          <w:u w:val="none"/>
        </w:rPr>
        <w:t>. The expense r</w:t>
      </w:r>
      <w:r>
        <w:rPr>
          <w:rFonts w:ascii="Arial" w:eastAsia="Arial" w:hAnsi="Arial" w:cs="Arial"/>
          <w:b w:val="0"/>
          <w:i w:val="0"/>
          <w:color w:val="000000"/>
          <w:sz w:val="20"/>
          <w:u w:val="none"/>
        </w:rPr>
        <w:t>atio</w:t>
      </w:r>
      <w:r>
        <w:rPr>
          <w:rFonts w:ascii="Arial" w:eastAsia="Arial" w:hAnsi="Arial" w:cs="Arial"/>
          <w:b w:val="0"/>
          <w:i w:val="0"/>
          <w:color w:val="000000"/>
          <w:sz w:val="20"/>
          <w:u w:val="none"/>
        </w:rPr>
        <w:t xml:space="preserve">s we pay </w:t>
      </w:r>
      <w:r>
        <w:rPr>
          <w:rFonts w:ascii="Arial" w:eastAsia="Arial" w:hAnsi="Arial" w:cs="Arial"/>
          <w:b w:val="0"/>
          <w:i w:val="0"/>
          <w:color w:val="000000"/>
          <w:sz w:val="20"/>
          <w:u w:val="none"/>
        </w:rPr>
        <w:t>on the</w:t>
      </w:r>
      <w:r>
        <w:rPr>
          <w:rFonts w:ascii="Arial" w:eastAsia="Arial" w:hAnsi="Arial" w:cs="Arial"/>
          <w:b w:val="0"/>
          <w:i w:val="0"/>
          <w:color w:val="000000"/>
          <w:sz w:val="20"/>
          <w:u w:val="none"/>
        </w:rPr>
        <w:t xml:space="preserve"> Vang</w:t>
      </w:r>
      <w:r>
        <w:rPr>
          <w:rFonts w:ascii="Arial" w:eastAsia="Arial" w:hAnsi="Arial" w:cs="Arial"/>
          <w:b w:val="0"/>
          <w:i w:val="0"/>
          <w:color w:val="000000"/>
          <w:sz w:val="20"/>
          <w:u w:val="none"/>
        </w:rPr>
        <w:t>u</w:t>
      </w:r>
      <w:r>
        <w:rPr>
          <w:rFonts w:ascii="Arial" w:eastAsia="Arial" w:hAnsi="Arial" w:cs="Arial"/>
          <w:b w:val="0"/>
          <w:i w:val="0"/>
          <w:color w:val="000000"/>
          <w:sz w:val="20"/>
          <w:u w:val="none"/>
        </w:rPr>
        <w:t>a</w:t>
      </w:r>
      <w:r>
        <w:rPr>
          <w:rFonts w:ascii="Arial" w:eastAsia="Arial" w:hAnsi="Arial" w:cs="Arial"/>
          <w:b w:val="0"/>
          <w:i w:val="0"/>
          <w:color w:val="000000"/>
          <w:sz w:val="20"/>
          <w:u w:val="none"/>
        </w:rPr>
        <w:t>rd and BlackRock ETFs a</w:t>
      </w:r>
      <w:r>
        <w:rPr>
          <w:rFonts w:ascii="Arial" w:eastAsia="Arial" w:hAnsi="Arial" w:cs="Arial"/>
          <w:b w:val="0"/>
          <w:i w:val="0"/>
          <w:color w:val="000000"/>
          <w:sz w:val="20"/>
          <w:u w:val="none"/>
        </w:rPr>
        <w:t>r</w:t>
      </w:r>
      <w:r>
        <w:rPr>
          <w:rFonts w:ascii="Arial" w:eastAsia="Arial" w:hAnsi="Arial" w:cs="Arial"/>
          <w:b w:val="0"/>
          <w:i w:val="0"/>
          <w:color w:val="000000"/>
          <w:sz w:val="20"/>
          <w:u w:val="none"/>
        </w:rPr>
        <w:t>e standard competitive rates</w:t>
      </w:r>
      <w:r>
        <w:rPr>
          <w:rFonts w:ascii="Arial" w:eastAsia="Arial" w:hAnsi="Arial" w:cs="Arial"/>
          <w:b w:val="0"/>
          <w:i w:val="0"/>
          <w:color w:val="000000"/>
          <w:sz w:val="20"/>
          <w:u w:val="none"/>
        </w:rPr>
        <w:t>. W</w:t>
      </w:r>
      <w:r>
        <w:rPr>
          <w:rFonts w:ascii="Arial" w:eastAsia="Arial" w:hAnsi="Arial" w:cs="Arial"/>
          <w:b w:val="0"/>
          <w:i w:val="0"/>
          <w:color w:val="000000"/>
          <w:sz w:val="20"/>
          <w:u w:val="none"/>
        </w:rPr>
        <w:t xml:space="preserve">e are treated no more or less </w:t>
      </w:r>
      <w:r>
        <w:rPr>
          <w:rFonts w:ascii="Arial" w:eastAsia="Arial" w:hAnsi="Arial" w:cs="Arial"/>
          <w:b w:val="0"/>
          <w:i w:val="0"/>
          <w:color w:val="000000"/>
          <w:sz w:val="20"/>
          <w:u w:val="none"/>
        </w:rPr>
        <w:t xml:space="preserve">favorably than similarly situated investors in these </w:t>
      </w:r>
      <w:r>
        <w:rPr>
          <w:rFonts w:ascii="Arial" w:eastAsia="Arial" w:hAnsi="Arial" w:cs="Arial"/>
          <w:b w:val="0"/>
          <w:i w:val="0"/>
          <w:color w:val="000000"/>
          <w:sz w:val="20"/>
          <w:u w:val="none"/>
        </w:rPr>
        <w:t>ETFs</w:t>
      </w:r>
      <w:r>
        <w:rPr>
          <w:rFonts w:ascii="Arial" w:eastAsia="Arial" w:hAnsi="Arial" w:cs="Arial"/>
          <w:b w:val="0"/>
          <w:i w:val="0"/>
          <w:color w:val="000000"/>
          <w:sz w:val="20"/>
          <w:u w:val="none"/>
        </w:rPr>
        <w:t xml:space="preserve">, and fees charged pursuant to investments affiliated with </w:t>
      </w:r>
      <w:r>
        <w:rPr>
          <w:rFonts w:ascii="Arial" w:eastAsia="Arial" w:hAnsi="Arial" w:cs="Arial"/>
          <w:b w:val="0"/>
          <w:i w:val="0"/>
          <w:color w:val="000000"/>
          <w:sz w:val="20"/>
          <w:u w:val="none"/>
        </w:rPr>
        <w:t>Vanguard and Black</w:t>
      </w:r>
      <w:r>
        <w:rPr>
          <w:rFonts w:ascii="Arial" w:eastAsia="Arial" w:hAnsi="Arial" w:cs="Arial"/>
          <w:b w:val="0"/>
          <w:i w:val="0"/>
          <w:color w:val="000000"/>
          <w:sz w:val="20"/>
          <w:u w:val="none"/>
        </w:rPr>
        <w:t>Rock</w:t>
      </w:r>
      <w:r>
        <w:rPr>
          <w:rFonts w:ascii="Arial" w:eastAsia="Arial" w:hAnsi="Arial" w:cs="Arial"/>
          <w:b w:val="0"/>
          <w:i w:val="0"/>
          <w:color w:val="000000"/>
          <w:sz w:val="20"/>
          <w:u w:val="none"/>
        </w:rPr>
        <w:t xml:space="preserve"> were on an arm's-length basis.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Wellington Management Group LLP and certain of its affiliates ("Wellington") collectively owned </w:t>
      </w:r>
      <w:r>
        <w:rPr>
          <w:rFonts w:ascii="Arial" w:eastAsia="Arial" w:hAnsi="Arial" w:cs="Arial"/>
          <w:b w:val="0"/>
          <w:i w:val="0"/>
          <w:color w:val="000000"/>
          <w:sz w:val="20"/>
          <w:u w:val="none"/>
        </w:rPr>
        <w:t>3.1%</w:t>
      </w:r>
      <w:r>
        <w:rPr>
          <w:rFonts w:ascii="Arial" w:eastAsia="Arial" w:hAnsi="Arial" w:cs="Arial"/>
          <w:b w:val="0"/>
          <w:i w:val="0"/>
          <w:sz w:val="20"/>
        </w:rPr>
        <w:t xml:space="preserve"> of our voting ordinary shares as of </w:t>
      </w:r>
      <w:r>
        <w:rPr>
          <w:rFonts w:ascii="Arial" w:eastAsia="Arial" w:hAnsi="Arial" w:cs="Arial"/>
          <w:b w:val="0"/>
          <w:i w:val="0"/>
          <w:color w:val="000000"/>
          <w:sz w:val="20"/>
          <w:u w:val="none"/>
        </w:rPr>
        <w:t>December 31, 2023</w:t>
      </w:r>
      <w:r>
        <w:rPr>
          <w:rFonts w:ascii="Arial" w:eastAsia="Arial" w:hAnsi="Arial" w:cs="Arial"/>
          <w:b w:val="0"/>
          <w:i w:val="0"/>
          <w:sz w:val="20"/>
        </w:rPr>
        <w:t xml:space="preserve">. However, during a portion of 2023, Wellington held greater than 5% of our voting ordinary shares outstanding. As of </w:t>
      </w:r>
      <w:r>
        <w:rPr>
          <w:rFonts w:ascii="Arial" w:eastAsia="Arial" w:hAnsi="Arial" w:cs="Arial"/>
          <w:b w:val="0"/>
          <w:i w:val="0"/>
          <w:color w:val="000000"/>
          <w:sz w:val="20"/>
          <w:u w:val="none"/>
        </w:rPr>
        <w:t>December 31, 2023</w:t>
      </w:r>
      <w:r>
        <w:rPr>
          <w:rFonts w:ascii="Arial" w:eastAsia="Arial" w:hAnsi="Arial" w:cs="Arial"/>
          <w:b w:val="0"/>
          <w:i w:val="0"/>
          <w:sz w:val="20"/>
        </w:rPr>
        <w:t xml:space="preserve">, the market value of our investments in a separate account managed by Wellington was </w:t>
      </w:r>
      <w:r>
        <w:rPr>
          <w:rFonts w:ascii="Arial" w:eastAsia="Arial" w:hAnsi="Arial" w:cs="Arial"/>
          <w:b w:val="0"/>
          <w:i w:val="0"/>
          <w:color w:val="000000"/>
          <w:sz w:val="20"/>
          <w:u w:val="none"/>
        </w:rPr>
        <w:t>$3.1 billion</w:t>
      </w:r>
      <w:r>
        <w:rPr>
          <w:rFonts w:ascii="Arial" w:eastAsia="Arial" w:hAnsi="Arial" w:cs="Arial"/>
          <w:b w:val="0"/>
          <w:i w:val="0"/>
          <w:sz w:val="20"/>
        </w:rPr>
        <w:t xml:space="preserve">, and we incurred fees of </w:t>
      </w:r>
      <w:r>
        <w:rPr>
          <w:rFonts w:ascii="Arial" w:eastAsia="Arial" w:hAnsi="Arial" w:cs="Arial"/>
          <w:b w:val="0"/>
          <w:i w:val="0"/>
          <w:color w:val="000000"/>
          <w:sz w:val="20"/>
          <w:u w:val="none"/>
        </w:rPr>
        <w:t>$1.6 million</w:t>
      </w:r>
      <w:r>
        <w:rPr>
          <w:rFonts w:ascii="Arial" w:eastAsia="Arial" w:hAnsi="Arial" w:cs="Arial"/>
          <w:b w:val="0"/>
          <w:i w:val="0"/>
          <w:sz w:val="20"/>
        </w:rPr>
        <w:t xml:space="preserve"> in respect of such investments during the year ended </w:t>
      </w:r>
      <w:r>
        <w:rPr>
          <w:rFonts w:ascii="Arial" w:eastAsia="Arial" w:hAnsi="Arial" w:cs="Arial"/>
          <w:b w:val="0"/>
          <w:i w:val="0"/>
          <w:color w:val="000000"/>
          <w:sz w:val="20"/>
          <w:u w:val="none"/>
        </w:rPr>
        <w:t>December 31, 2023</w:t>
      </w:r>
      <w:r>
        <w:rPr>
          <w:rFonts w:ascii="Arial" w:eastAsia="Arial" w:hAnsi="Arial" w:cs="Arial"/>
          <w:b w:val="0"/>
          <w:i w:val="0"/>
          <w:sz w:val="20"/>
        </w:rPr>
        <w:t xml:space="preserve">. </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56"/>
          <w:footerReference w:type="default" r:id="rId357"/>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0"/>
          <w:u w:val="none"/>
        </w:rPr>
      </w:pPr>
      <w:bookmarkStart w:id="138" w:name="Section141"/>
      <w:bookmarkEnd w:id="138"/>
    </w:p>
    <w:p>
      <w:pPr>
        <w:keepNext/>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Saracens Group</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color w:val="000000"/>
          <w:sz w:val="20"/>
          <w:u w:val="none"/>
        </w:rPr>
        <w:t xml:space="preserve">An entity controlled by Dominic Silvester owns a controlling stake in Saracens Limited, a U.K. professional sports organization for rugby and netball ("Saracens"). </w:t>
      </w:r>
      <w:r>
        <w:rPr>
          <w:rFonts w:ascii="Arial" w:eastAsia="Arial" w:hAnsi="Arial" w:cs="Arial"/>
          <w:b w:val="0"/>
          <w:i w:val="0"/>
          <w:color w:val="000000"/>
          <w:sz w:val="20"/>
          <w:u w:val="none"/>
        </w:rPr>
        <w:t xml:space="preserve">Paul O’Shea is a minority shareholder in the entity, and both serve as non-employee directors of Saracens. In March 2022, we entered into a three-year sponsorship agreement with Saracens Women's (rugby) and Saracens Mavericks (woman's netball), to sponsor and promote women's sports, gender equality and community outreach as a part of our ESG program. We committed to pay Saracens up to </w:t>
      </w:r>
      <w:r>
        <w:rPr>
          <w:rFonts w:ascii="Arial" w:eastAsia="Arial" w:hAnsi="Arial" w:cs="Arial"/>
          <w:b w:val="0"/>
          <w:i w:val="0"/>
          <w:color w:val="000000"/>
          <w:sz w:val="20"/>
          <w:u w:val="none"/>
        </w:rPr>
        <w:t>£115,000</w:t>
      </w:r>
      <w:r>
        <w:rPr>
          <w:rFonts w:ascii="Arial" w:eastAsia="Arial" w:hAnsi="Arial" w:cs="Arial"/>
          <w:b w:val="0"/>
          <w:i w:val="0"/>
          <w:color w:val="000000"/>
          <w:sz w:val="20"/>
          <w:u w:val="none"/>
        </w:rPr>
        <w:t xml:space="preserve"> per year (approximately </w:t>
      </w:r>
      <w:r>
        <w:rPr>
          <w:rFonts w:ascii="Arial" w:eastAsia="Arial" w:hAnsi="Arial" w:cs="Arial"/>
          <w:b w:val="0"/>
          <w:i w:val="0"/>
          <w:color w:val="000000"/>
          <w:sz w:val="20"/>
          <w:u w:val="none"/>
        </w:rPr>
        <w:t>$156,400</w:t>
      </w:r>
      <w:r>
        <w:rPr>
          <w:rFonts w:ascii="Arial" w:eastAsia="Arial" w:hAnsi="Arial" w:cs="Arial"/>
          <w:b w:val="0"/>
          <w:i w:val="0"/>
          <w:color w:val="000000"/>
          <w:sz w:val="20"/>
          <w:u w:val="none"/>
        </w:rPr>
        <w:t>) plus VAT, and in return we receive certain marketing and other rights and will support them in their community outreach efforts. The sponsorship opportunity was entered into on an arms-length basis.</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In addition to </w:t>
      </w:r>
      <w:r>
        <w:rPr>
          <w:rFonts w:ascii="Arial" w:eastAsia="Arial" w:hAnsi="Arial" w:cs="Arial"/>
          <w:b w:val="0"/>
          <w:i w:val="0"/>
          <w:color w:val="000000"/>
          <w:sz w:val="20"/>
          <w:u w:val="none"/>
        </w:rPr>
        <w:t>our</w:t>
      </w:r>
      <w:r>
        <w:rPr>
          <w:rFonts w:ascii="Arial" w:eastAsia="Arial" w:hAnsi="Arial" w:cs="Arial"/>
          <w:b w:val="0"/>
          <w:i w:val="0"/>
          <w:color w:val="000000"/>
          <w:sz w:val="20"/>
          <w:u w:val="none"/>
        </w:rPr>
        <w:t xml:space="preserve"> three-year sponsorship</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in May 2023 we purchased </w:t>
      </w:r>
      <w:r>
        <w:rPr>
          <w:rFonts w:ascii="Arial" w:eastAsia="Arial" w:hAnsi="Arial" w:cs="Arial"/>
          <w:b w:val="0"/>
          <w:i w:val="0"/>
          <w:color w:val="000000"/>
          <w:sz w:val="20"/>
          <w:u w:val="none"/>
        </w:rPr>
        <w:t>six co</w:t>
      </w:r>
      <w:r>
        <w:rPr>
          <w:rFonts w:ascii="Arial" w:eastAsia="Arial" w:hAnsi="Arial" w:cs="Arial"/>
          <w:b w:val="0"/>
          <w:i w:val="0"/>
          <w:color w:val="000000"/>
          <w:sz w:val="20"/>
          <w:u w:val="none"/>
        </w:rPr>
        <w:t>rporate hospitality tickets</w:t>
      </w:r>
      <w:r>
        <w:rPr>
          <w:rFonts w:ascii="Arial" w:eastAsia="Arial" w:hAnsi="Arial" w:cs="Arial"/>
          <w:b w:val="0"/>
          <w:i w:val="0"/>
          <w:color w:val="000000"/>
          <w:sz w:val="20"/>
          <w:u w:val="none"/>
        </w:rPr>
        <w:t xml:space="preserve"> from </w:t>
      </w:r>
      <w:r>
        <w:rPr>
          <w:rFonts w:ascii="Arial" w:eastAsia="Arial" w:hAnsi="Arial" w:cs="Arial"/>
          <w:b w:val="0"/>
          <w:i w:val="0"/>
          <w:color w:val="000000"/>
          <w:sz w:val="20"/>
          <w:u w:val="none"/>
        </w:rPr>
        <w:t>Saracen</w:t>
      </w:r>
      <w:r>
        <w:rPr>
          <w:rFonts w:ascii="Arial" w:eastAsia="Arial" w:hAnsi="Arial" w:cs="Arial"/>
          <w:b w:val="0"/>
          <w:i w:val="0"/>
          <w:color w:val="000000"/>
          <w:sz w:val="20"/>
          <w:u w:val="none"/>
        </w:rPr>
        <w:t>s</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 xml:space="preserve">for the </w:t>
      </w:r>
      <w:r>
        <w:rPr>
          <w:rFonts w:ascii="Arial" w:eastAsia="Arial" w:hAnsi="Arial" w:cs="Arial"/>
          <w:b w:val="0"/>
          <w:i w:val="0"/>
          <w:color w:val="000000"/>
          <w:sz w:val="20"/>
          <w:u w:val="none"/>
        </w:rPr>
        <w:t xml:space="preserve">cost of </w:t>
      </w:r>
      <w:r>
        <w:rPr>
          <w:rFonts w:ascii="Arial" w:eastAsia="Arial" w:hAnsi="Arial" w:cs="Arial"/>
          <w:b w:val="0"/>
          <w:i w:val="0"/>
          <w:color w:val="000000"/>
          <w:sz w:val="20"/>
          <w:u w:val="none"/>
        </w:rPr>
        <w:t>£</w:t>
      </w:r>
      <w:r>
        <w:rPr>
          <w:rFonts w:ascii="Arial" w:eastAsia="Arial" w:hAnsi="Arial" w:cs="Arial"/>
          <w:b w:val="0"/>
          <w:i w:val="0"/>
          <w:color w:val="000000"/>
          <w:sz w:val="20"/>
          <w:u w:val="none"/>
        </w:rPr>
        <w:t>78</w:t>
      </w:r>
      <w:r>
        <w:rPr>
          <w:rFonts w:ascii="Arial" w:eastAsia="Arial" w:hAnsi="Arial" w:cs="Arial"/>
          <w:b w:val="0"/>
          <w:i w:val="0"/>
          <w:color w:val="000000"/>
          <w:sz w:val="20"/>
          <w:u w:val="none"/>
        </w:rPr>
        <w:t>,000</w:t>
      </w:r>
      <w:r>
        <w:rPr>
          <w:rFonts w:ascii="Arial" w:eastAsia="Arial" w:hAnsi="Arial" w:cs="Arial"/>
          <w:b w:val="0"/>
          <w:i w:val="0"/>
          <w:color w:val="000000"/>
          <w:sz w:val="20"/>
          <w:u w:val="none"/>
        </w:rPr>
        <w:t xml:space="preserve"> (approximately </w:t>
      </w:r>
      <w:r>
        <w:rPr>
          <w:rFonts w:ascii="Arial" w:eastAsia="Arial" w:hAnsi="Arial" w:cs="Arial"/>
          <w:b w:val="0"/>
          <w:i w:val="0"/>
          <w:color w:val="000000"/>
          <w:sz w:val="20"/>
          <w:u w:val="none"/>
        </w:rPr>
        <w:t>$1</w:t>
      </w:r>
      <w:r>
        <w:rPr>
          <w:rFonts w:ascii="Arial" w:eastAsia="Arial" w:hAnsi="Arial" w:cs="Arial"/>
          <w:b w:val="0"/>
          <w:i w:val="0"/>
          <w:color w:val="000000"/>
          <w:sz w:val="20"/>
          <w:u w:val="none"/>
        </w:rPr>
        <w:t>06,8</w:t>
      </w:r>
      <w:r>
        <w:rPr>
          <w:rFonts w:ascii="Arial" w:eastAsia="Arial" w:hAnsi="Arial" w:cs="Arial"/>
          <w:b w:val="0"/>
          <w:i w:val="0"/>
          <w:color w:val="000000"/>
          <w:sz w:val="20"/>
          <w:u w:val="none"/>
        </w:rPr>
        <w:t>00</w:t>
      </w:r>
      <w:r>
        <w:rPr>
          <w:rFonts w:ascii="Arial" w:eastAsia="Arial" w:hAnsi="Arial" w:cs="Arial"/>
          <w:b w:val="0"/>
          <w:i w:val="0"/>
          <w:color w:val="000000"/>
          <w:sz w:val="20"/>
          <w:u w:val="none"/>
        </w:rPr>
        <w:t>) plus VAT</w:t>
      </w:r>
      <w:r>
        <w:rPr>
          <w:rFonts w:ascii="Arial" w:eastAsia="Arial" w:hAnsi="Arial" w:cs="Arial"/>
          <w:b w:val="0"/>
          <w:i w:val="0"/>
          <w:color w:val="000000"/>
          <w:sz w:val="20"/>
          <w:u w:val="none"/>
        </w:rPr>
        <w:t>, for the purpose of corporate entertaining. The t</w:t>
      </w:r>
      <w:r>
        <w:rPr>
          <w:rFonts w:ascii="Arial" w:eastAsia="Arial" w:hAnsi="Arial" w:cs="Arial"/>
          <w:b w:val="0"/>
          <w:i w:val="0"/>
          <w:color w:val="000000"/>
          <w:sz w:val="20"/>
          <w:u w:val="none"/>
        </w:rPr>
        <w:t xml:space="preserve">ickets </w:t>
      </w:r>
      <w:r>
        <w:rPr>
          <w:rFonts w:ascii="Arial" w:eastAsia="Arial" w:hAnsi="Arial" w:cs="Arial"/>
          <w:b w:val="0"/>
          <w:i w:val="0"/>
          <w:color w:val="000000"/>
          <w:sz w:val="20"/>
          <w:u w:val="none"/>
        </w:rPr>
        <w:t>were purchased at prices available to the public at agreed rates.</w:t>
      </w:r>
      <w:r>
        <w:rPr>
          <w:rFonts w:ascii="Arial" w:eastAsia="Arial" w:hAnsi="Arial" w:cs="Arial"/>
          <w:b w:val="0"/>
          <w:i w:val="0"/>
          <w:color w:val="000000"/>
          <w:sz w:val="20"/>
          <w:u w:val="none"/>
        </w:rPr>
        <w:t xml:space="preserve"> </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58"/>
          <w:footerReference w:type="default" r:id="rId359"/>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4495D1"/>
          <w:sz w:val="20"/>
          <w:u w:val="none"/>
        </w:rPr>
      </w:pPr>
      <w:bookmarkStart w:id="139" w:name="Section142"/>
      <w:bookmarkEnd w:id="139"/>
    </w:p>
    <w:p>
      <w:pPr>
        <w:keepNext w:val="0"/>
        <w:keepLines w:val="0"/>
        <w:pageBreakBefore w:val="0"/>
        <w:widowControl/>
        <w:numPr>
          <w:ilvl w:val="0"/>
          <w:numId w:val="0"/>
        </w:numPr>
        <w:spacing w:before="0" w:after="60" w:line="288" w:lineRule="auto"/>
        <w:ind w:left="0" w:right="0" w:firstLine="0"/>
        <w:jc w:val="left"/>
        <w:outlineLvl w:val="3"/>
        <w:rPr>
          <w:rFonts w:ascii="Arial" w:eastAsia="Arial" w:hAnsi="Arial" w:cs="Arial"/>
          <w:b/>
          <w:i w:val="0"/>
          <w:color w:val="4495D1"/>
          <w:sz w:val="20"/>
          <w:u w:val="none"/>
        </w:rPr>
      </w:pPr>
      <w:r>
        <w:rPr>
          <w:rFonts w:ascii="Arial" w:eastAsia="Arial" w:hAnsi="Arial" w:cs="Arial"/>
          <w:b/>
          <w:i w:val="0"/>
          <w:color w:val="4495D1"/>
          <w:sz w:val="20"/>
          <w:u w:val="none"/>
        </w:rPr>
        <w:t>Family Relationships</w:t>
      </w:r>
    </w:p>
    <w:p>
      <w:pPr>
        <w:keepNext w:val="0"/>
        <w:keepLines w:val="0"/>
        <w:pageBreakBefore w:val="0"/>
        <w:widowControl/>
        <w:numPr>
          <w:ilvl w:val="0"/>
          <w:numId w:val="0"/>
        </w:numPr>
        <w:spacing w:before="0" w:after="120" w:line="300" w:lineRule="auto"/>
        <w:ind w:left="0" w:right="0" w:firstLine="0"/>
        <w:jc w:val="both"/>
        <w:outlineLvl w:val="9"/>
        <w:rPr>
          <w:rFonts w:ascii="Calibri" w:eastAsia="Calibri" w:hAnsi="Calibri" w:cs="Calibri"/>
          <w:b w:val="0"/>
          <w:i w:val="0"/>
          <w:sz w:val="20"/>
        </w:rPr>
      </w:pPr>
      <w:r>
        <w:rPr>
          <w:rFonts w:ascii="Arial" w:eastAsia="Arial" w:hAnsi="Arial" w:cs="Arial"/>
          <w:b w:val="0"/>
          <w:i w:val="0"/>
          <w:color w:val="000000"/>
          <w:sz w:val="20"/>
          <w:u w:val="none"/>
        </w:rPr>
        <w:t xml:space="preserve">Alex O'Shea, the son of Paul O'Shea, is employed by Enstar as VP, Mergers &amp; Acquisitions. Alex O'Shea's aggregate compensation in </w:t>
      </w:r>
      <w:r>
        <w:rPr>
          <w:rFonts w:ascii="Arial" w:eastAsia="Arial" w:hAnsi="Arial" w:cs="Arial"/>
          <w:b w:val="0"/>
          <w:i w:val="0"/>
          <w:color w:val="000000"/>
          <w:sz w:val="20"/>
          <w:u w:val="none"/>
        </w:rPr>
        <w:t>2023</w:t>
      </w:r>
      <w:r>
        <w:rPr>
          <w:rFonts w:ascii="Arial" w:eastAsia="Arial" w:hAnsi="Arial" w:cs="Arial"/>
          <w:b w:val="0"/>
          <w:i w:val="0"/>
          <w:color w:val="000000"/>
          <w:sz w:val="20"/>
          <w:u w:val="none"/>
        </w:rPr>
        <w:t xml:space="preserve"> (including salary, bonus, and long term incentive awards at grant date fair value) was </w:t>
      </w:r>
      <w:r>
        <w:rPr>
          <w:rFonts w:ascii="Arial" w:eastAsia="Arial" w:hAnsi="Arial" w:cs="Arial"/>
          <w:b w:val="0"/>
          <w:i w:val="0"/>
          <w:color w:val="000000"/>
          <w:sz w:val="20"/>
          <w:u w:val="none"/>
        </w:rPr>
        <w:t>$279,911</w:t>
      </w:r>
      <w:r>
        <w:rPr>
          <w:rFonts w:ascii="Arial" w:eastAsia="Arial" w:hAnsi="Arial" w:cs="Arial"/>
          <w:b w:val="0"/>
          <w:i w:val="0"/>
          <w:color w:val="000000"/>
          <w:sz w:val="20"/>
          <w:u w:val="none"/>
        </w:rPr>
        <w:t>. Compensation for Alex O'Shea was established in accordance with Enstar's employment and compensation practices applicable to employees with equivalent qualifications, experience and responsibilities. He is also eligible to participate in Enstar's employee benefit programs on the same basis as other eligible employees. Paul O'Shea has been recused from all related compensation decision</w:t>
      </w:r>
      <w:r>
        <w:rPr>
          <w:rFonts w:ascii="Arial" w:eastAsia="Arial" w:hAnsi="Arial" w:cs="Arial"/>
          <w:b w:val="0"/>
          <w:i w:val="0"/>
          <w:color w:val="000000"/>
          <w:sz w:val="20"/>
          <w:u w:val="none"/>
        </w:rPr>
        <w:t>s</w:t>
      </w:r>
      <w:r>
        <w:rPr>
          <w:rFonts w:ascii="Arial" w:eastAsia="Arial" w:hAnsi="Arial" w:cs="Arial"/>
          <w:b w:val="0"/>
          <w:i w:val="0"/>
          <w:color w:val="000000"/>
          <w:sz w:val="20"/>
          <w:u w:val="none"/>
        </w:rPr>
        <w:t>.</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On December</w:t>
      </w:r>
      <w:r>
        <w:rPr>
          <w:rFonts w:ascii="Arial" w:eastAsia="Arial" w:hAnsi="Arial" w:cs="Arial"/>
          <w:b w:val="0"/>
          <w:i w:val="0"/>
          <w:sz w:val="20"/>
        </w:rPr>
        <w:t xml:space="preserve"> </w:t>
      </w:r>
      <w:r>
        <w:rPr>
          <w:rFonts w:ascii="Arial" w:eastAsia="Arial" w:hAnsi="Arial" w:cs="Arial"/>
          <w:b w:val="0"/>
          <w:i w:val="0"/>
          <w:sz w:val="20"/>
        </w:rPr>
        <w:t>21</w:t>
      </w:r>
      <w:r>
        <w:rPr>
          <w:rFonts w:ascii="Arial" w:eastAsia="Arial" w:hAnsi="Arial" w:cs="Arial"/>
          <w:b w:val="0"/>
          <w:i w:val="0"/>
          <w:sz w:val="20"/>
        </w:rPr>
        <w:t>, 202</w:t>
      </w:r>
      <w:r>
        <w:rPr>
          <w:rFonts w:ascii="Arial" w:eastAsia="Arial" w:hAnsi="Arial" w:cs="Arial"/>
          <w:b w:val="0"/>
          <w:i w:val="0"/>
          <w:sz w:val="20"/>
        </w:rPr>
        <w:t>3</w:t>
      </w:r>
      <w:r>
        <w:rPr>
          <w:rFonts w:ascii="Arial" w:eastAsia="Arial" w:hAnsi="Arial" w:cs="Arial"/>
          <w:b w:val="0"/>
          <w:i w:val="0"/>
          <w:sz w:val="20"/>
        </w:rPr>
        <w:t xml:space="preserve">, our subsidiary Cavello Bay Reinsurance Limited </w:t>
      </w:r>
      <w:r>
        <w:rPr>
          <w:rFonts w:ascii="Arial" w:eastAsia="Arial" w:hAnsi="Arial" w:cs="Arial"/>
          <w:b w:val="0"/>
          <w:i w:val="0"/>
          <w:sz w:val="20"/>
        </w:rPr>
        <w:t>renewed</w:t>
      </w:r>
      <w:r>
        <w:rPr>
          <w:rFonts w:ascii="Arial" w:eastAsia="Arial" w:hAnsi="Arial" w:cs="Arial"/>
          <w:b w:val="0"/>
          <w:i w:val="0"/>
          <w:sz w:val="20"/>
        </w:rPr>
        <w:t xml:space="preserve"> its $25 million investment into a reinsurance sidecar, Outrigger Re Ltd., which is sponsored by Ark Insurance Holdings ("Ark"). Chris Silvester, the brother of Dominic Silvester, is employed by Ark as Head of Global Property and is a member of the Property Casualty Underwriting Leadership team.   </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60"/>
          <w:footerReference w:type="default" r:id="rId361"/>
          <w:type w:val="continuous"/>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140" w:name="Section143"/>
      <w:bookmarkEnd w:id="140"/>
    </w:p>
    <w:p>
      <w:pPr>
        <w:keepNext/>
        <w:keepLines w:val="0"/>
        <w:pageBreakBefore w:val="0"/>
        <w:widowControl/>
        <w:numPr>
          <w:ilvl w:val="0"/>
          <w:numId w:val="0"/>
        </w:numPr>
        <w:spacing w:before="0" w:after="60" w:line="288" w:lineRule="auto"/>
        <w:ind w:left="0" w:right="0" w:firstLine="0"/>
        <w:jc w:val="left"/>
        <w:outlineLvl w:val="2"/>
        <w:rPr>
          <w:rFonts w:ascii="Arial" w:eastAsia="Arial" w:hAnsi="Arial" w:cs="Arial"/>
          <w:b/>
          <w:i w:val="0"/>
          <w:color w:val="171449"/>
          <w:sz w:val="24"/>
          <w:u w:val="none"/>
        </w:rPr>
      </w:pPr>
      <w:r>
        <w:rPr>
          <w:rFonts w:ascii="Arial" w:eastAsia="Arial" w:hAnsi="Arial" w:cs="Arial"/>
          <w:b/>
          <w:i w:val="0"/>
          <w:color w:val="171449"/>
          <w:sz w:val="24"/>
          <w:u w:val="none"/>
        </w:rPr>
        <w:t>Indemnification of Directors and Officers; Director Indemnity Agreements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000000"/>
          <w:sz w:val="20"/>
          <w:u w:val="none"/>
        </w:rPr>
      </w:pPr>
      <w:r>
        <w:rPr>
          <w:rFonts w:ascii="Arial" w:eastAsia="Arial" w:hAnsi="Arial" w:cs="Arial"/>
          <w:b w:val="0"/>
          <w:i w:val="0"/>
          <w:color w:val="000000"/>
          <w:sz w:val="20"/>
          <w:u w:val="none"/>
        </w:rPr>
        <w:t>We have Indemnification Agreements with each of our directors. Each Indemnification Agreement provides, among other things, that we will, to the extent permitted by applicable law, indemnify and hold harmless each indemnitee if, by reason of such indemnitee’s status as a director or officer of the Company, such indemnitee was, is or is threatened to be made a party or participant in any threatened, pending or completed proceeding, whether of a civil, criminal, administrative, regulatory or investigative nature, against all judgments, fines, penalties, excise taxes, interest and amounts paid in settlement and incurred by such indemnitee in connection with such proceeding. In addition, each of the Indemnification Agreements provides for the advancement of expenses incurred by the indemnitee in connection with any proceeding covered by the agreement, subject to certain exceptions. None of the Indemnification Agreements precludes any other rights to indemnification or advancement of expenses to which the indemnitee may be entitled, including but not limited to, any rights arising under our governing documents, or any other agreement, any vote of our shareholders or any applicable law.</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color w:val="000000"/>
          <w:sz w:val="20"/>
          <w:u w:val="none"/>
        </w:rPr>
      </w:pPr>
      <w:r>
        <w:rPr>
          <w:rFonts w:ascii="Arial" w:eastAsia="Arial" w:hAnsi="Arial" w:cs="Arial"/>
          <w:b w:val="0"/>
          <w:i w:val="0"/>
          <w:color w:val="000000"/>
          <w:sz w:val="20"/>
          <w:u w:val="none"/>
        </w:rPr>
        <w:t>Our executive officers’ employment agreements provide them with indemnification protection to the fullest extent permitted by applicable law in the jurisdictions in which they are employed.</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62"/>
          <w:footerReference w:type="default" r:id="rId363"/>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80"/>
          <w:u w:val="none"/>
        </w:rPr>
      </w:pPr>
      <w:bookmarkStart w:id="141" w:name="Section144"/>
      <w:bookmarkEnd w:id="141"/>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80" w:line="252" w:lineRule="auto"/>
        <w:ind w:left="0" w:right="0" w:firstLine="0"/>
        <w:jc w:val="left"/>
        <w:outlineLvl w:val="0"/>
        <w:rPr>
          <w:rFonts w:ascii="Arial" w:eastAsia="Arial" w:hAnsi="Arial" w:cs="Arial"/>
          <w:b/>
          <w:i w:val="0"/>
          <w:color w:val="171449"/>
          <w:sz w:val="80"/>
          <w:u w:val="none"/>
        </w:rPr>
      </w:pPr>
      <w:r>
        <w:rPr>
          <w:rFonts w:ascii="Arial" w:eastAsia="Arial" w:hAnsi="Arial" w:cs="Arial"/>
          <w:b/>
          <w:i w:val="0"/>
          <w:color w:val="171449"/>
          <w:sz w:val="80"/>
          <w:u w:val="none"/>
        </w:rPr>
        <w:t>Other</w:t>
      </w: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80"/>
          <w:u w:val="none"/>
        </w:rPr>
      </w:pPr>
      <w:r>
        <w:rPr>
          <w:rFonts w:ascii="Arial" w:eastAsia="Arial" w:hAnsi="Arial" w:cs="Arial"/>
          <w:b/>
          <w:i w:val="0"/>
          <w:color w:val="171449"/>
          <w:sz w:val="80"/>
          <w:u w:val="none"/>
        </w:rPr>
        <w:t>Matters</w:t>
      </w:r>
    </w:p>
    <w:p>
      <w:pPr>
        <w:keepNext w:val="0"/>
        <w:keepLines w:val="0"/>
        <w:pageBreakBefore w:val="0"/>
        <w:widowControl/>
        <w:numPr>
          <w:ilvl w:val="0"/>
          <w:numId w:val="0"/>
        </w:numPr>
        <w:spacing w:before="0" w:after="180" w:line="252" w:lineRule="auto"/>
        <w:ind w:left="0" w:right="0" w:firstLine="0"/>
        <w:jc w:val="left"/>
        <w:outlineLvl w:val="9"/>
        <w:rPr>
          <w:rFonts w:ascii="Arial" w:eastAsia="Arial" w:hAnsi="Arial" w:cs="Arial"/>
          <w:b/>
          <w:i w:val="0"/>
          <w:color w:val="171449"/>
          <w:sz w:val="40"/>
          <w:u w:val="none"/>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p>
    <w:tbl>
      <w:tblPr>
        <w:tblW w:w="85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7995"/>
        <w:gridCol w:w="585"/>
      </w:tblGrid>
      <w:tr>
        <w:tblPrEx>
          <w:tblW w:w="85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315"/>
        </w:trPr>
        <w:tc>
          <w:tcPr>
            <w:tcW w:w="7995" w:type="dxa"/>
            <w:tcBorders>
              <w:top w:val="single" w:sz="8" w:space="0" w:color="929292"/>
              <w:left w:val="nil"/>
              <w:bottom w:val="nil"/>
              <w:right w:val="nil"/>
            </w:tcBorders>
            <w:tcMar>
              <w:top w:w="0" w:type="dxa"/>
              <w:left w:w="0" w:type="dxa"/>
              <w:bottom w:w="0" w:type="dxa"/>
              <w:right w:w="0" w:type="dxa"/>
            </w:tcMar>
            <w:vAlign w:val="bottom"/>
          </w:tcPr>
          <w:p>
            <w:pPr>
              <w:keepNext/>
              <w:pageBreakBefore w:val="0"/>
              <w:spacing w:before="0" w:after="0"/>
            </w:pPr>
          </w:p>
        </w:tc>
        <w:tc>
          <w:tcPr>
            <w:tcW w:w="585" w:type="dxa"/>
            <w:tcBorders>
              <w:top w:val="single" w:sz="8" w:space="0" w:color="929292"/>
              <w:left w:val="nil"/>
              <w:bottom w:val="nil"/>
              <w:right w:val="nil"/>
            </w:tcBorders>
            <w:tcMar>
              <w:top w:w="0" w:type="dxa"/>
              <w:left w:w="0" w:type="dxa"/>
              <w:bottom w:w="0" w:type="dxa"/>
              <w:right w:w="0" w:type="dxa"/>
            </w:tcMar>
            <w:vAlign w:val="bottom"/>
          </w:tcPr>
          <w:p>
            <w:pPr>
              <w:keepNext/>
              <w:pageBreakBefore w:val="0"/>
              <w:spacing w:before="0" w:after="0"/>
            </w:pPr>
          </w:p>
        </w:tc>
      </w:tr>
      <w:tr>
        <w:tblPrEx>
          <w:tblW w:w="8580" w:type="dxa"/>
          <w:tblInd w:w="0" w:type="dxa"/>
          <w:tblLayout w:type="fixed"/>
          <w:tblCellMar>
            <w:left w:w="108" w:type="dxa"/>
            <w:right w:w="108" w:type="dxa"/>
          </w:tblCellMar>
        </w:tblPrEx>
        <w:trPr>
          <w:cantSplit/>
          <w:trHeight w:hRule="exact" w:val="315"/>
        </w:trPr>
        <w:tc>
          <w:tcPr>
            <w:tcW w:w="7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left"/>
              <w:outlineLvl w:val="9"/>
              <w:rPr>
                <w:rFonts w:ascii="Arial" w:eastAsia="Arial" w:hAnsi="Arial" w:cs="Arial"/>
                <w:b w:val="0"/>
                <w:i w:val="0"/>
                <w:sz w:val="18"/>
                <w:shd w:val="clear" w:color="auto" w:fill="auto"/>
              </w:rPr>
            </w:pPr>
            <w:hyperlink w:anchor="Section145" w:history="1">
              <w:r>
                <w:rPr>
                  <w:rFonts w:ascii="Arial" w:eastAsia="Arial" w:hAnsi="Arial" w:cs="Arial"/>
                  <w:b w:val="0"/>
                  <w:i w:val="0"/>
                  <w:color w:val="000000"/>
                  <w:sz w:val="18"/>
                  <w:u w:val="none"/>
                  <w:shd w:val="clear" w:color="auto" w:fill="auto"/>
                </w:rPr>
                <w:t>Questions and Answers</w:t>
              </w:r>
            </w:hyperlink>
          </w:p>
        </w:tc>
        <w:tc>
          <w:tcPr>
            <w:tcW w:w="58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8"/>
              </w:rPr>
            </w:pPr>
            <w:r>
              <w:rPr>
                <w:rFonts w:ascii="Arial" w:eastAsia="Arial" w:hAnsi="Arial" w:cs="Arial"/>
                <w:b w:val="0"/>
                <w:i w:val="0"/>
                <w:color w:val="000000"/>
                <w:sz w:val="18"/>
                <w:u w:val="none"/>
              </w:rPr>
              <w:fldChar w:fldCharType="begin"/>
            </w:r>
            <w:r>
              <w:rPr>
                <w:rFonts w:ascii="Arial" w:eastAsia="Arial" w:hAnsi="Arial" w:cs="Arial"/>
                <w:b w:val="0"/>
                <w:i w:val="0"/>
                <w:color w:val="000000"/>
                <w:sz w:val="18"/>
                <w:u w:val="none"/>
              </w:rPr>
              <w:instrText xml:space="preserve"> PAGEREF </w:instrText>
            </w:r>
            <w:r>
              <w:rPr>
                <w:rFonts w:ascii="Arial" w:eastAsia="Arial" w:hAnsi="Arial" w:cs="Arial"/>
                <w:b w:val="0"/>
                <w:i w:val="0"/>
                <w:color w:val="000000"/>
                <w:sz w:val="18"/>
                <w:u w:val="none"/>
              </w:rPr>
              <w:instrText xml:space="preserve"> </w:instrText>
            </w:r>
            <w:r>
              <w:rPr>
                <w:rFonts w:ascii="Arial" w:eastAsia="Arial" w:hAnsi="Arial" w:cs="Arial"/>
                <w:b w:val="0"/>
                <w:i w:val="0"/>
                <w:color w:val="000000"/>
                <w:sz w:val="18"/>
                <w:u w:val="none"/>
              </w:rPr>
              <w:instrText>Section145</w:instrText>
            </w:r>
            <w:r>
              <w:rPr>
                <w:rFonts w:ascii="Arial" w:eastAsia="Arial" w:hAnsi="Arial" w:cs="Arial"/>
                <w:b w:val="0"/>
                <w:i w:val="0"/>
                <w:color w:val="000000"/>
                <w:sz w:val="18"/>
                <w:u w:val="none"/>
              </w:rPr>
              <w:instrText xml:space="preserve"> \h</w:instrText>
            </w:r>
            <w:r>
              <w:rPr>
                <w:rFonts w:ascii="Arial" w:eastAsia="Arial" w:hAnsi="Arial" w:cs="Arial"/>
                <w:b w:val="0"/>
                <w:i w:val="0"/>
                <w:color w:val="000000"/>
                <w:sz w:val="18"/>
                <w:u w:val="none"/>
              </w:rPr>
              <w:fldChar w:fldCharType="separate"/>
            </w:r>
            <w:r>
              <w:rPr>
                <w:rFonts w:ascii="Arial" w:eastAsia="Arial" w:hAnsi="Arial" w:cs="Arial"/>
                <w:b w:val="0"/>
                <w:i w:val="0"/>
                <w:color w:val="000000"/>
                <w:sz w:val="18"/>
                <w:u w:val="none"/>
              </w:rPr>
              <w:t>109</w:t>
            </w:r>
            <w:r>
              <w:rPr>
                <w:rFonts w:ascii="Arial" w:eastAsia="Arial" w:hAnsi="Arial" w:cs="Arial"/>
                <w:b w:val="0"/>
                <w:i w:val="0"/>
                <w:color w:val="000000"/>
                <w:sz w:val="18"/>
                <w:u w:val="none"/>
              </w:rPr>
              <w:fldChar w:fldCharType="end"/>
            </w:r>
          </w:p>
        </w:tc>
      </w:tr>
    </w:tbl>
    <w:p>
      <w:pPr>
        <w:keepNext w:val="0"/>
        <w:keepLines w:val="0"/>
        <w:pageBreakBefore w:val="0"/>
        <w:widowControl/>
        <w:numPr>
          <w:ilvl w:val="0"/>
          <w:numId w:val="0"/>
        </w:numPr>
        <w:spacing w:before="120" w:after="180" w:line="252" w:lineRule="auto"/>
        <w:ind w:left="0" w:right="0" w:firstLine="0"/>
        <w:jc w:val="left"/>
        <w:outlineLvl w:val="9"/>
        <w:rPr>
          <w:rFonts w:ascii="Arial" w:eastAsia="Arial" w:hAnsi="Arial" w:cs="Arial"/>
          <w:b/>
          <w:i w:val="0"/>
          <w:color w:val="171449"/>
          <w:sz w:val="80"/>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p>
      <w:pPr>
        <w:keepNext w:val="0"/>
        <w:keepLines w:val="0"/>
        <w:pageBreakBefore w:val="0"/>
        <w:widowControl/>
        <w:numPr>
          <w:ilvl w:val="0"/>
          <w:numId w:val="0"/>
        </w:numPr>
        <w:spacing w:before="0" w:after="120" w:line="288" w:lineRule="auto"/>
        <w:ind w:left="0" w:right="0" w:firstLine="0"/>
        <w:jc w:val="both"/>
        <w:outlineLvl w:val="9"/>
        <w:rPr>
          <w:rFonts w:ascii="Arial" w:eastAsia="Arial" w:hAnsi="Arial" w:cs="Arial"/>
          <w:b/>
          <w:i w:val="0"/>
          <w:color w:val="171449"/>
          <w:sz w:val="80"/>
          <w:u w:val="none"/>
        </w:rPr>
        <w:sectPr>
          <w:headerReference w:type="default" r:id="rId364"/>
          <w:footerReference w:type="default" r:id="rId365"/>
          <w:footnotePr>
            <w:numRestart w:val="eachSect"/>
          </w:footnotePr>
          <w:pgSz w:w="12240" w:h="15840"/>
          <w:pgMar w:top="855" w:right="990" w:bottom="855" w:left="990" w:header="180" w:footer="270"/>
          <w:cols w:space="708"/>
        </w:sect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bookmarkStart w:id="142" w:name="Section145"/>
      <w:bookmarkEnd w:id="142"/>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4495D1"/>
          <w:sz w:val="24"/>
          <w:u w:val="none"/>
        </w:rPr>
      </w:pPr>
      <w:r>
        <w:rPr>
          <w:rFonts w:ascii="Arial" w:eastAsia="Arial" w:hAnsi="Arial" w:cs="Arial"/>
          <w:b/>
          <w:i w:val="0"/>
          <w:color w:val="4495D1"/>
          <w:sz w:val="24"/>
          <w:u w:val="none"/>
        </w:rPr>
        <w:t>QUESTIONS AND ANSWERS</w:t>
      </w:r>
    </w:p>
    <w:tbl>
      <w:tblPr>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00"/>
      </w:tblGrid>
      <w:tr>
        <w:tblPrEx>
          <w:tblW w:w="102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00" w:type="dxa"/>
            <w:tcBorders>
              <w:top w:val="single" w:sz="8" w:space="0" w:color="4495D1"/>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
          <w:u w:val="none"/>
        </w:rPr>
        <w:sectPr>
          <w:headerReference w:type="default" r:id="rId366"/>
          <w:footerReference w:type="default" r:id="rId367"/>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360" w:right="0" w:firstLine="0"/>
        <w:jc w:val="left"/>
        <w:outlineLvl w:val="9"/>
        <w:rPr>
          <w:rFonts w:ascii="Arial" w:eastAsia="Arial" w:hAnsi="Arial" w:cs="Arial"/>
          <w:b/>
          <w:i w:val="0"/>
          <w:color w:val="171449"/>
          <w:sz w:val="24"/>
          <w:u w:val="none"/>
        </w:rPr>
      </w:pPr>
      <w:bookmarkStart w:id="143" w:name="Section146"/>
      <w:bookmarkEnd w:id="143"/>
    </w:p>
    <w:p>
      <w:pPr>
        <w:keepNext w:val="0"/>
        <w:keepLines w:val="0"/>
        <w:pageBreakBefore w:val="0"/>
        <w:widowControl/>
        <w:numPr>
          <w:ilvl w:val="0"/>
          <w:numId w:val="342"/>
        </w:numPr>
        <w:spacing w:before="0" w:after="60" w:line="288" w:lineRule="auto"/>
        <w:ind w:left="360" w:right="0" w:hanging="36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Why am I receiving these proxy materials?</w:t>
      </w:r>
    </w:p>
    <w:p>
      <w:pPr>
        <w:keepNext w:val="0"/>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We have made these proxy materials available to you on the internet or, in some cases, have delivered printed copies of these proxy materials to you by mail in connection with the solicitation of proxies by the Board of Directors (the "Board") of Enstar Group Limited (the "Company") for use at the </w:t>
      </w:r>
      <w:r>
        <w:rPr>
          <w:rFonts w:ascii="Arial" w:eastAsia="Arial" w:hAnsi="Arial" w:cs="Arial"/>
          <w:b w:val="0"/>
          <w:i w:val="0"/>
          <w:color w:val="000000"/>
          <w:sz w:val="20"/>
          <w:u w:val="none"/>
        </w:rPr>
        <w:t>2024</w:t>
      </w:r>
      <w:r>
        <w:rPr>
          <w:rFonts w:ascii="Arial" w:eastAsia="Arial" w:hAnsi="Arial" w:cs="Arial"/>
          <w:b w:val="0"/>
          <w:i w:val="0"/>
          <w:sz w:val="20"/>
        </w:rPr>
        <w:t xml:space="preserve"> Annual General Meeting of Shareholders of the Company to be held on </w:t>
      </w:r>
      <w:r>
        <w:rPr>
          <w:rFonts w:ascii="Arial" w:eastAsia="Arial" w:hAnsi="Arial" w:cs="Arial"/>
          <w:b w:val="0"/>
          <w:i w:val="0"/>
          <w:color w:val="000000"/>
          <w:sz w:val="20"/>
          <w:u w:val="none"/>
        </w:rPr>
        <w:t>Thursday, June 6, 2024</w:t>
      </w:r>
      <w:r>
        <w:rPr>
          <w:rFonts w:ascii="Arial" w:eastAsia="Arial" w:hAnsi="Arial" w:cs="Arial"/>
          <w:b w:val="0"/>
          <w:i w:val="0"/>
          <w:sz w:val="20"/>
        </w:rPr>
        <w:t xml:space="preserve"> at 9:00 a.m. Atlantic time. This year’s Annual General Meeting will again be held via the internet and will be a completely virtual meeting hosted by members of our management team in Bermuda. These proxy materials are first being sent or given to shareholders on </w:t>
      </w:r>
      <w:r>
        <w:rPr>
          <w:rFonts w:ascii="Arial" w:eastAsia="Arial" w:hAnsi="Arial" w:cs="Arial"/>
          <w:b w:val="0"/>
          <w:i w:val="0"/>
          <w:color w:val="000000"/>
          <w:sz w:val="20"/>
          <w:u w:val="none"/>
        </w:rPr>
        <w:t>April 26, 2024</w:t>
      </w:r>
      <w:r>
        <w:rPr>
          <w:rFonts w:ascii="Arial" w:eastAsia="Arial" w:hAnsi="Arial" w:cs="Arial"/>
          <w:b w:val="0"/>
          <w:i w:val="0"/>
          <w:sz w:val="20"/>
        </w:rPr>
        <w:t>. You are invited to attend the virtual Annual General Meeting and are requested to vote on the proposals described in this proxy statement.</w:t>
      </w:r>
    </w:p>
    <w:p>
      <w:pPr>
        <w:keepNext w:val="0"/>
        <w:keepLines/>
        <w:pageBreakBefore w:val="0"/>
        <w:widowControl w:val="0"/>
        <w:numPr>
          <w:ilvl w:val="0"/>
          <w:numId w:val="0"/>
        </w:numPr>
        <w:spacing w:before="0" w:after="120" w:line="300" w:lineRule="auto"/>
        <w:ind w:left="0" w:right="0" w:firstLine="0"/>
        <w:jc w:val="both"/>
        <w:outlineLvl w:val="9"/>
        <w:sectPr>
          <w:headerReference w:type="default" r:id="rId368"/>
          <w:footerReference w:type="default" r:id="rId369"/>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144" w:name="Section147"/>
      <w:bookmarkEnd w:id="144"/>
    </w:p>
    <w:p>
      <w:pPr>
        <w:keepNext w:val="0"/>
        <w:keepLines w:val="0"/>
        <w:pageBreakBefore w:val="0"/>
        <w:widowControl/>
        <w:numPr>
          <w:ilvl w:val="0"/>
          <w:numId w:val="0"/>
        </w:numPr>
        <w:spacing w:before="0" w:after="60" w:line="288" w:lineRule="auto"/>
        <w:ind w:left="360" w:right="0" w:hanging="36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2.  Why did I receive a one-page notice in the mail regarding the internet availability of proxy materials instead of a full set of proxy materials?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Pursuant to rules adopted by the Securities and Exchange Commission (the "SEC"), we have elected to provide access to our proxy materials via the internet. Accordingly, we are sending a Notice of Internet Availability of Proxy Materials (the "Notice") to our shareholders. All shareholders will have the ability to access the proxy materials on the website referred to in the Notice or request to receive a printed set of the proxy materials. Instructions on how to access the proxy materials over the internet or to request a printed copy are included in the Notice. In addition, shareholders may request proxy materials in printed form by mail or electronically by email on an ongoing basis.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We believe that providing access to our proxy materials via the internet will expedite shareholders’ receipt of materials, while lowering costs and reducing the environmental impact of our Annual General Meeting because we will print and mail fewer full sets of materials.</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70"/>
          <w:footerReference w:type="default" r:id="rId371"/>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145" w:name="Section148"/>
      <w:bookmarkEnd w:id="145"/>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3.  What is included in these proxy materials?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These "proxy materials" include this proxy statement, our Annual Report to Shareholders for the year ended </w:t>
      </w:r>
      <w:r>
        <w:rPr>
          <w:rFonts w:ascii="Arial" w:eastAsia="Arial" w:hAnsi="Arial" w:cs="Arial"/>
          <w:b w:val="0"/>
          <w:i w:val="0"/>
          <w:color w:val="000000"/>
          <w:sz w:val="20"/>
          <w:u w:val="none"/>
        </w:rPr>
        <w:t>December 31, 2023</w:t>
      </w:r>
      <w:r>
        <w:rPr>
          <w:rFonts w:ascii="Arial" w:eastAsia="Arial" w:hAnsi="Arial" w:cs="Arial"/>
          <w:b w:val="0"/>
          <w:i w:val="0"/>
          <w:sz w:val="20"/>
        </w:rPr>
        <w:t xml:space="preserve"> and, if you received printed copies of the proxy materials by mail, the proxy card. We have included the Annual Report for informational purposes and not as a means of soliciting your proxy.</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72"/>
          <w:footerReference w:type="default" r:id="rId373"/>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146" w:name="Section149"/>
      <w:bookmarkEnd w:id="146"/>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4.  What is "householding"?</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Some banks, brokers and other nominee record holders may be participating in the practice of "householding" proxy statements and annual reports. This means that only one copy of the Notice and, if applicable, the proxy materials may have been sent to multiple shareholders in your household. We will promptly deliver a separate copy of the Notice and, if applicable, the proxy materials to you if you request them by calling or writing to Investor Relations at </w:t>
      </w:r>
      <w:r>
        <w:rPr>
          <w:rFonts w:ascii="Arial" w:eastAsia="Arial" w:hAnsi="Arial" w:cs="Arial"/>
          <w:b w:val="0"/>
          <w:i w:val="0"/>
          <w:color w:val="000000"/>
          <w:sz w:val="20"/>
          <w:u w:val="none"/>
        </w:rPr>
        <w:t>Enstar Group Limited, P.O. Box HM 2267, A.S. Cooper Building, 4th Floor, 26 Reid Street, Hamilton, HM 11, Bermuda</w:t>
      </w:r>
      <w:r>
        <w:rPr>
          <w:rFonts w:ascii="Arial" w:eastAsia="Arial" w:hAnsi="Arial" w:cs="Arial"/>
          <w:b w:val="0"/>
          <w:i w:val="0"/>
          <w:sz w:val="20"/>
        </w:rPr>
        <w:t xml:space="preserve"> (Telephone: (441) 292-3645). If you want to receive separate copies of the Notice and, if applicable, the proxy materials in the future, or if you are receiving multiple copies and would like to receive only one copy for your household, you should contact your bank, broker or other nominee record holder, or you may contact the Company at the above address or phone number.</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74"/>
          <w:footerReference w:type="default" r:id="rId375"/>
          <w:type w:val="continuous"/>
          <w:pgSz w:w="12240" w:h="15840"/>
          <w:pgMar w:top="855" w:right="990" w:bottom="855" w:left="990" w:header="180" w:footer="270"/>
          <w:cols w:space="708"/>
        </w:sectPr>
      </w:pPr>
    </w:p>
    <w:p>
      <w:pPr>
        <w:keepNext/>
        <w:keepLines/>
        <w:pageBreakBefore w:val="0"/>
        <w:widowControl w:val="0"/>
        <w:numPr>
          <w:ilvl w:val="0"/>
          <w:numId w:val="0"/>
        </w:numPr>
        <w:spacing w:before="100" w:after="120" w:line="288" w:lineRule="auto"/>
        <w:ind w:left="0" w:right="0" w:firstLine="0"/>
        <w:jc w:val="both"/>
        <w:outlineLvl w:val="9"/>
        <w:rPr>
          <w:rFonts w:ascii="Times New Roman" w:eastAsia="Times New Roman" w:hAnsi="Times New Roman" w:cs="Times New Roman"/>
          <w:b w:val="0"/>
          <w:i w:val="0"/>
          <w:color w:val="FF0090"/>
          <w:sz w:val="20"/>
          <w:u w:val="none"/>
        </w:rPr>
      </w:pPr>
      <w:bookmarkStart w:id="147" w:name="Section150"/>
      <w:bookmarkEnd w:id="147"/>
    </w:p>
    <w:p>
      <w:pPr>
        <w:keepNext/>
        <w:keepLines w:val="0"/>
        <w:pageBreakBefore w:val="0"/>
        <w:widowControl/>
        <w:numPr>
          <w:ilvl w:val="0"/>
          <w:numId w:val="0"/>
        </w:numPr>
        <w:spacing w:before="0" w:after="60" w:line="288" w:lineRule="auto"/>
        <w:ind w:left="270" w:right="0" w:hanging="27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5. What matters are being voted on at the Annual General Meeting and what are the Board's voting recommendations?</w:t>
      </w:r>
    </w:p>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Shareholders will vote on the following proposals at the Annual General Meeting:</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05"/>
        <w:gridCol w:w="4965"/>
        <w:gridCol w:w="2145"/>
        <w:gridCol w:w="2145"/>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0"/>
        </w:trPr>
        <w:tc>
          <w:tcPr>
            <w:tcW w:w="1005" w:type="dxa"/>
            <w:tcBorders>
              <w:top w:val="nil"/>
              <w:left w:val="nil"/>
              <w:bottom w:val="nil"/>
              <w:right w:val="nil"/>
            </w:tcBorders>
            <w:shd w:val="clear" w:color="auto" w:fill="4495D1"/>
            <w:tcMar>
              <w:top w:w="0" w:type="dxa"/>
              <w:left w:w="53" w:type="dxa"/>
              <w:bottom w:w="0" w:type="dxa"/>
              <w:right w:w="53" w:type="dxa"/>
            </w:tcMar>
            <w:vAlign w:val="center"/>
          </w:tcPr>
          <w:p>
            <w:pPr>
              <w:keepNext/>
              <w:pageBreakBefore w:val="0"/>
              <w:spacing w:before="0" w:after="0" w:line="288" w:lineRule="auto"/>
              <w:ind w:left="180"/>
              <w:jc w:val="left"/>
            </w:pPr>
            <w:r>
              <w:rPr>
                <w:rFonts w:ascii="Arial" w:eastAsia="Arial" w:hAnsi="Arial" w:cs="Arial"/>
                <w:b/>
                <w:i w:val="0"/>
                <w:color w:val="FFFFFF"/>
                <w:sz w:val="16"/>
                <w:u w:val="none"/>
              </w:rPr>
              <w:t xml:space="preserve">Proposal </w:t>
            </w:r>
          </w:p>
        </w:tc>
        <w:tc>
          <w:tcPr>
            <w:tcW w:w="4965" w:type="dxa"/>
            <w:tcBorders>
              <w:top w:val="nil"/>
              <w:left w:val="nil"/>
              <w:bottom w:val="nil"/>
              <w:right w:val="nil"/>
            </w:tcBorders>
            <w:shd w:val="clear" w:color="auto" w:fill="4495D1"/>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i w:val="0"/>
                <w:color w:val="FFFFFF"/>
                <w:sz w:val="16"/>
                <w:u w:val="none"/>
              </w:rPr>
            </w:pPr>
          </w:p>
        </w:tc>
        <w:tc>
          <w:tcPr>
            <w:tcW w:w="2145" w:type="dxa"/>
            <w:tcBorders>
              <w:top w:val="nil"/>
              <w:left w:val="nil"/>
              <w:bottom w:val="nil"/>
              <w:right w:val="nil"/>
            </w:tcBorders>
            <w:shd w:val="clear" w:color="auto" w:fill="4495D1"/>
            <w:tcMar>
              <w:top w:w="0" w:type="dxa"/>
              <w:left w:w="53" w:type="dxa"/>
              <w:bottom w:w="0" w:type="dxa"/>
              <w:right w:w="53" w:type="dxa"/>
            </w:tcMar>
            <w:vAlign w:val="center"/>
          </w:tcPr>
          <w:p>
            <w:pPr>
              <w:keepNext/>
              <w:pageBreakBefore w:val="0"/>
              <w:spacing w:before="0" w:line="288" w:lineRule="auto"/>
              <w:jc w:val="left"/>
            </w:pPr>
            <w:r>
              <w:rPr>
                <w:rFonts w:ascii="Arial" w:eastAsia="Arial" w:hAnsi="Arial" w:cs="Arial"/>
                <w:b/>
                <w:i w:val="0"/>
                <w:color w:val="FFFFFF"/>
                <w:sz w:val="16"/>
                <w:u w:val="none"/>
              </w:rPr>
              <w:t xml:space="preserve">Board of Directors’ </w:t>
            </w:r>
          </w:p>
          <w:p>
            <w:pPr>
              <w:spacing w:after="0" w:line="288" w:lineRule="auto"/>
              <w:jc w:val="left"/>
            </w:pPr>
            <w:r>
              <w:rPr>
                <w:rFonts w:ascii="Arial" w:eastAsia="Arial" w:hAnsi="Arial" w:cs="Arial"/>
                <w:b/>
                <w:i w:val="0"/>
                <w:color w:val="FFFFFF"/>
                <w:sz w:val="16"/>
                <w:u w:val="none"/>
              </w:rPr>
              <w:t>Vote Recommendation</w:t>
            </w:r>
          </w:p>
        </w:tc>
        <w:tc>
          <w:tcPr>
            <w:tcW w:w="2145" w:type="dxa"/>
            <w:tcBorders>
              <w:top w:val="nil"/>
              <w:left w:val="nil"/>
              <w:bottom w:val="nil"/>
              <w:right w:val="nil"/>
            </w:tcBorders>
            <w:shd w:val="clear" w:color="auto" w:fill="4495D1"/>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i w:val="0"/>
                <w:color w:val="FFFFFF"/>
                <w:sz w:val="16"/>
                <w:u w:val="none"/>
              </w:rPr>
              <w:t>Page References</w:t>
            </w:r>
          </w:p>
        </w:tc>
      </w:tr>
      <w:tr>
        <w:tblPrEx>
          <w:tblW w:w="10260" w:type="dxa"/>
          <w:tblInd w:w="0" w:type="dxa"/>
          <w:tblLayout w:type="fixed"/>
          <w:tblCellMar>
            <w:left w:w="108" w:type="dxa"/>
            <w:right w:w="108" w:type="dxa"/>
          </w:tblCellMar>
        </w:tblPrEx>
        <w:trPr>
          <w:cantSplit/>
          <w:trHeight w:hRule="exact" w:val="1275"/>
        </w:trPr>
        <w:tc>
          <w:tcPr>
            <w:tcW w:w="1005" w:type="dxa"/>
            <w:tcBorders>
              <w:top w:val="nil"/>
              <w:left w:val="nil"/>
              <w:bottom w:val="single" w:sz="4" w:space="0" w:color="929292"/>
              <w:right w:val="nil"/>
            </w:tcBorders>
            <w:tcMar>
              <w:top w:w="0" w:type="dxa"/>
              <w:left w:w="53" w:type="dxa"/>
              <w:bottom w:w="0" w:type="dxa"/>
              <w:right w:w="53" w:type="dxa"/>
            </w:tcMar>
            <w:vAlign w:val="center"/>
          </w:tcPr>
          <w:p>
            <w:pPr>
              <w:keepNext/>
              <w:pageBreakBefore w:val="0"/>
              <w:spacing w:before="0" w:after="0" w:line="288" w:lineRule="auto"/>
              <w:jc w:val="center"/>
            </w:pPr>
            <w:r>
              <w:rPr>
                <w:rFonts w:ascii="Arial" w:eastAsia="Arial" w:hAnsi="Arial" w:cs="Arial"/>
                <w:b/>
                <w:i w:val="0"/>
                <w:color w:val="4494D1"/>
                <w:sz w:val="48"/>
                <w:u w:val="none"/>
              </w:rPr>
              <w:t>1</w:t>
            </w:r>
          </w:p>
        </w:tc>
        <w:tc>
          <w:tcPr>
            <w:tcW w:w="4965" w:type="dxa"/>
            <w:tcBorders>
              <w:top w:val="nil"/>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left"/>
              <w:outlineLvl w:val="9"/>
              <w:rPr>
                <w:rFonts w:ascii="Arial" w:eastAsia="Arial" w:hAnsi="Arial" w:cs="Arial"/>
                <w:b/>
                <w:i w:val="0"/>
                <w:sz w:val="16"/>
              </w:rPr>
            </w:pPr>
            <w:r>
              <w:rPr>
                <w:rFonts w:ascii="Arial" w:eastAsia="Arial" w:hAnsi="Arial" w:cs="Arial"/>
                <w:b/>
                <w:i w:val="0"/>
                <w:sz w:val="16"/>
              </w:rPr>
              <w:t xml:space="preserve">Election of twelve directors nominated by our Board to hold office until </w:t>
            </w:r>
            <w:r>
              <w:rPr>
                <w:rFonts w:ascii="Arial" w:eastAsia="Arial" w:hAnsi="Arial" w:cs="Arial"/>
                <w:b/>
                <w:i w:val="0"/>
                <w:color w:val="000000"/>
                <w:sz w:val="16"/>
                <w:u w:val="none"/>
              </w:rPr>
              <w:t>2025</w:t>
            </w:r>
          </w:p>
        </w:tc>
        <w:tc>
          <w:tcPr>
            <w:tcW w:w="2145" w:type="dxa"/>
            <w:tcBorders>
              <w:top w:val="nil"/>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i w:val="0"/>
                <w:color w:val="4495D1"/>
                <w:sz w:val="16"/>
                <w:u w:val="none"/>
              </w:rPr>
            </w:pPr>
            <w:r>
              <w:rPr>
                <w:rFonts w:ascii="Arial" w:eastAsia="Arial" w:hAnsi="Arial" w:cs="Arial"/>
                <w:b/>
                <w:i w:val="0"/>
                <w:color w:val="4495D1"/>
                <w:sz w:val="16"/>
                <w:u w:val="none"/>
              </w:rPr>
              <w:t xml:space="preserve">FOR </w:t>
            </w:r>
            <w:r>
              <w:rPr>
                <w:rFonts w:ascii="Arial" w:eastAsia="Arial" w:hAnsi="Arial" w:cs="Arial"/>
                <w:b w:val="0"/>
                <w:i w:val="0"/>
                <w:sz w:val="16"/>
              </w:rPr>
              <w:t>each director nominee</w:t>
            </w:r>
          </w:p>
        </w:tc>
        <w:tc>
          <w:tcPr>
            <w:tcW w:w="2145" w:type="dxa"/>
            <w:tcBorders>
              <w:top w:val="nil"/>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0" w:line="300" w:lineRule="auto"/>
              <w:ind w:left="0" w:right="0" w:firstLine="0"/>
              <w:jc w:val="left"/>
              <w:outlineLvl w:val="9"/>
              <w:rPr>
                <w:rFonts w:ascii="Arial" w:eastAsia="Arial" w:hAnsi="Arial" w:cs="Arial"/>
                <w:b w:val="0"/>
                <w:i w:val="0"/>
                <w:sz w:val="16"/>
              </w:rPr>
            </w:pPr>
            <w:r>
              <w:rPr>
                <w:rFonts w:ascii="Arial" w:eastAsia="Arial" w:hAnsi="Arial" w:cs="Arial"/>
                <w:b w:val="0"/>
                <w:i w:val="0"/>
                <w:sz w:val="16"/>
              </w:rPr>
              <w:t>Further information beginning on page</w:t>
            </w:r>
            <w:r>
              <w:rPr>
                <w:rFonts w:ascii="Arial" w:eastAsia="Arial" w:hAnsi="Arial" w:cs="Arial"/>
                <w:b w:val="0"/>
                <w:i w:val="0"/>
                <w:sz w:val="16"/>
              </w:rPr>
              <w:t xml:space="preserve"> </w:t>
            </w:r>
            <w:r>
              <w:rPr>
                <w:rFonts w:ascii="Arial" w:eastAsia="Arial" w:hAnsi="Arial" w:cs="Arial"/>
                <w:b w:val="0"/>
                <w:i w:val="0"/>
                <w:color w:val="0E32E1"/>
                <w:sz w:val="16"/>
                <w:u w:val="single"/>
              </w:rPr>
              <w:fldChar w:fldCharType="begin"/>
            </w:r>
            <w:r>
              <w:rPr>
                <w:rFonts w:ascii="Arial" w:eastAsia="Arial" w:hAnsi="Arial" w:cs="Arial"/>
                <w:b w:val="0"/>
                <w:i w:val="0"/>
                <w:color w:val="0E32E1"/>
                <w:sz w:val="16"/>
                <w:u w:val="single"/>
              </w:rPr>
              <w:instrText xml:space="preserve"> PAGEREF </w:instrText>
            </w:r>
            <w:r>
              <w:rPr>
                <w:rFonts w:ascii="Arial" w:eastAsia="Arial" w:hAnsi="Arial" w:cs="Arial"/>
                <w:b w:val="0"/>
                <w:i w:val="0"/>
                <w:color w:val="0E32E1"/>
                <w:sz w:val="16"/>
                <w:u w:val="single"/>
              </w:rPr>
              <w:instrText xml:space="preserve"> </w:instrText>
            </w:r>
            <w:r>
              <w:rPr>
                <w:rFonts w:ascii="Arial" w:eastAsia="Arial" w:hAnsi="Arial" w:cs="Arial"/>
                <w:b w:val="0"/>
                <w:i w:val="0"/>
                <w:color w:val="0E32E1"/>
                <w:sz w:val="16"/>
                <w:u w:val="single"/>
              </w:rPr>
              <w:instrText>Section15</w:instrText>
            </w:r>
            <w:r>
              <w:rPr>
                <w:rFonts w:ascii="Arial" w:eastAsia="Arial" w:hAnsi="Arial" w:cs="Arial"/>
                <w:b w:val="0"/>
                <w:i w:val="0"/>
                <w:color w:val="0E32E1"/>
                <w:sz w:val="16"/>
                <w:u w:val="single"/>
              </w:rPr>
              <w:instrText xml:space="preserve"> \h</w:instrText>
            </w:r>
            <w:r>
              <w:rPr>
                <w:rFonts w:ascii="Arial" w:eastAsia="Arial" w:hAnsi="Arial" w:cs="Arial"/>
                <w:b w:val="0"/>
                <w:i w:val="0"/>
                <w:color w:val="0E32E1"/>
                <w:sz w:val="16"/>
                <w:u w:val="single"/>
              </w:rPr>
              <w:fldChar w:fldCharType="separate"/>
            </w:r>
            <w:r>
              <w:rPr>
                <w:rFonts w:ascii="Arial" w:eastAsia="Arial" w:hAnsi="Arial" w:cs="Arial"/>
                <w:b w:val="0"/>
                <w:i w:val="0"/>
                <w:color w:val="0E32E1"/>
                <w:sz w:val="16"/>
                <w:u w:val="single"/>
              </w:rPr>
              <w:t>2</w:t>
            </w:r>
            <w:r>
              <w:rPr>
                <w:rFonts w:ascii="Arial" w:eastAsia="Arial" w:hAnsi="Arial" w:cs="Arial"/>
                <w:b w:val="0"/>
                <w:i w:val="0"/>
                <w:color w:val="0E32E1"/>
                <w:sz w:val="16"/>
                <w:u w:val="single"/>
              </w:rPr>
              <w:fldChar w:fldCharType="end"/>
            </w:r>
          </w:p>
        </w:tc>
      </w:tr>
      <w:tr>
        <w:tblPrEx>
          <w:tblW w:w="10260" w:type="dxa"/>
          <w:tblInd w:w="0" w:type="dxa"/>
          <w:tblLayout w:type="fixed"/>
          <w:tblCellMar>
            <w:left w:w="108" w:type="dxa"/>
            <w:right w:w="108" w:type="dxa"/>
          </w:tblCellMar>
        </w:tblPrEx>
        <w:trPr>
          <w:cantSplit/>
          <w:trHeight w:hRule="exact" w:val="1275"/>
        </w:trPr>
        <w:tc>
          <w:tcPr>
            <w:tcW w:w="100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88" w:lineRule="auto"/>
              <w:jc w:val="center"/>
            </w:pPr>
            <w:r>
              <w:rPr>
                <w:rFonts w:ascii="Arial" w:eastAsia="Arial" w:hAnsi="Arial" w:cs="Arial"/>
                <w:b/>
                <w:i w:val="0"/>
                <w:color w:val="4494D1"/>
                <w:sz w:val="48"/>
                <w:u w:val="none"/>
              </w:rPr>
              <w:t>2</w:t>
            </w:r>
          </w:p>
        </w:tc>
        <w:tc>
          <w:tcPr>
            <w:tcW w:w="496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spacing w:before="0" w:after="0" w:line="240" w:lineRule="auto"/>
              <w:jc w:val="left"/>
            </w:pPr>
            <w:r>
              <w:rPr>
                <w:rFonts w:ascii="Arial" w:eastAsia="Arial" w:hAnsi="Arial" w:cs="Arial"/>
                <w:b/>
                <w:i w:val="0"/>
                <w:color w:val="000000"/>
                <w:sz w:val="16"/>
                <w:u w:val="none"/>
              </w:rPr>
              <w:t>Advisory vote to approve executive compensation</w:t>
            </w:r>
          </w:p>
        </w:tc>
        <w:tc>
          <w:tcPr>
            <w:tcW w:w="214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i w:val="0"/>
                <w:color w:val="4495D1"/>
                <w:sz w:val="16"/>
                <w:u w:val="none"/>
              </w:rPr>
            </w:pPr>
            <w:r>
              <w:rPr>
                <w:rFonts w:ascii="Arial" w:eastAsia="Arial" w:hAnsi="Arial" w:cs="Arial"/>
                <w:b/>
                <w:i w:val="0"/>
                <w:color w:val="4495D1"/>
                <w:sz w:val="16"/>
                <w:u w:val="none"/>
              </w:rPr>
              <w:t>FOR</w:t>
            </w:r>
            <w:r>
              <w:rPr>
                <w:rFonts w:ascii="Arial" w:eastAsia="Arial" w:hAnsi="Arial" w:cs="Arial"/>
                <w:b w:val="0"/>
                <w:i w:val="0"/>
                <w:sz w:val="16"/>
              </w:rPr>
              <w:t xml:space="preserve"> the proposal</w:t>
            </w:r>
          </w:p>
        </w:tc>
        <w:tc>
          <w:tcPr>
            <w:tcW w:w="2145"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300" w:lineRule="auto"/>
              <w:ind w:left="0" w:right="0" w:firstLine="0"/>
              <w:jc w:val="left"/>
              <w:outlineLvl w:val="9"/>
              <w:rPr>
                <w:rFonts w:ascii="Arial" w:eastAsia="Arial" w:hAnsi="Arial" w:cs="Arial"/>
                <w:b w:val="0"/>
                <w:i w:val="0"/>
                <w:sz w:val="16"/>
              </w:rPr>
            </w:pPr>
            <w:r>
              <w:rPr>
                <w:rFonts w:ascii="Arial" w:eastAsia="Arial" w:hAnsi="Arial" w:cs="Arial"/>
                <w:b w:val="0"/>
                <w:i w:val="0"/>
                <w:sz w:val="16"/>
              </w:rPr>
              <w:t>Further information beginning on page</w:t>
            </w:r>
            <w:r>
              <w:rPr>
                <w:rFonts w:ascii="Arial" w:eastAsia="Arial" w:hAnsi="Arial" w:cs="Arial"/>
                <w:b w:val="0"/>
                <w:i w:val="0"/>
                <w:sz w:val="16"/>
              </w:rPr>
              <w:t xml:space="preserve"> </w:t>
            </w:r>
            <w:r>
              <w:rPr>
                <w:rFonts w:ascii="Arial" w:eastAsia="Arial" w:hAnsi="Arial" w:cs="Arial"/>
                <w:b w:val="0"/>
                <w:i w:val="0"/>
                <w:color w:val="0E32E1"/>
                <w:sz w:val="16"/>
                <w:u w:val="single"/>
              </w:rPr>
              <w:fldChar w:fldCharType="begin"/>
            </w:r>
            <w:r>
              <w:rPr>
                <w:rFonts w:ascii="Arial" w:eastAsia="Arial" w:hAnsi="Arial" w:cs="Arial"/>
                <w:b w:val="0"/>
                <w:i w:val="0"/>
                <w:color w:val="0E32E1"/>
                <w:sz w:val="16"/>
                <w:u w:val="single"/>
              </w:rPr>
              <w:instrText xml:space="preserve"> PAGEREF </w:instrText>
            </w:r>
            <w:r>
              <w:rPr>
                <w:rFonts w:ascii="Arial" w:eastAsia="Arial" w:hAnsi="Arial" w:cs="Arial"/>
                <w:b w:val="0"/>
                <w:i w:val="0"/>
                <w:color w:val="0E32E1"/>
                <w:sz w:val="16"/>
                <w:u w:val="single"/>
              </w:rPr>
              <w:instrText xml:space="preserve"> </w:instrText>
            </w:r>
            <w:r>
              <w:rPr>
                <w:rFonts w:ascii="Arial" w:eastAsia="Arial" w:hAnsi="Arial" w:cs="Arial"/>
                <w:b w:val="0"/>
                <w:i w:val="0"/>
                <w:color w:val="0E32E1"/>
                <w:sz w:val="16"/>
                <w:u w:val="single"/>
              </w:rPr>
              <w:instrText>Section63</w:instrText>
            </w:r>
            <w:r>
              <w:rPr>
                <w:rFonts w:ascii="Arial" w:eastAsia="Arial" w:hAnsi="Arial" w:cs="Arial"/>
                <w:b w:val="0"/>
                <w:i w:val="0"/>
                <w:color w:val="0E32E1"/>
                <w:sz w:val="16"/>
                <w:u w:val="single"/>
              </w:rPr>
              <w:instrText xml:space="preserve"> \h</w:instrText>
            </w:r>
            <w:r>
              <w:rPr>
                <w:rFonts w:ascii="Arial" w:eastAsia="Arial" w:hAnsi="Arial" w:cs="Arial"/>
                <w:b w:val="0"/>
                <w:i w:val="0"/>
                <w:color w:val="0E32E1"/>
                <w:sz w:val="16"/>
                <w:u w:val="single"/>
              </w:rPr>
              <w:fldChar w:fldCharType="separate"/>
            </w:r>
            <w:r>
              <w:rPr>
                <w:rFonts w:ascii="Arial" w:eastAsia="Arial" w:hAnsi="Arial" w:cs="Arial"/>
                <w:b w:val="0"/>
                <w:i w:val="0"/>
                <w:color w:val="0E32E1"/>
                <w:sz w:val="16"/>
                <w:u w:val="single"/>
              </w:rPr>
              <w:t>43</w:t>
            </w:r>
            <w:r>
              <w:rPr>
                <w:rFonts w:ascii="Arial" w:eastAsia="Arial" w:hAnsi="Arial" w:cs="Arial"/>
                <w:b w:val="0"/>
                <w:i w:val="0"/>
                <w:color w:val="0E32E1"/>
                <w:sz w:val="16"/>
                <w:u w:val="single"/>
              </w:rPr>
              <w:fldChar w:fldCharType="end"/>
            </w:r>
          </w:p>
        </w:tc>
      </w:tr>
      <w:tr>
        <w:tblPrEx>
          <w:tblW w:w="10260" w:type="dxa"/>
          <w:tblInd w:w="0" w:type="dxa"/>
          <w:tblLayout w:type="fixed"/>
          <w:tblCellMar>
            <w:left w:w="108" w:type="dxa"/>
            <w:right w:w="108" w:type="dxa"/>
          </w:tblCellMar>
        </w:tblPrEx>
        <w:trPr>
          <w:cantSplit/>
          <w:trHeight w:hRule="exact" w:val="1275"/>
        </w:trPr>
        <w:tc>
          <w:tcPr>
            <w:tcW w:w="1005" w:type="dxa"/>
            <w:tcBorders>
              <w:top w:val="single" w:sz="4" w:space="0" w:color="929292"/>
              <w:left w:val="nil"/>
              <w:bottom w:val="single" w:sz="12" w:space="0" w:color="4494D1"/>
              <w:right w:val="nil"/>
            </w:tcBorders>
            <w:shd w:val="clear" w:color="auto" w:fill="FFFFFF"/>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4D1"/>
                <w:sz w:val="48"/>
                <w:u w:val="none"/>
              </w:rPr>
              <w:t>3</w:t>
            </w:r>
          </w:p>
        </w:tc>
        <w:tc>
          <w:tcPr>
            <w:tcW w:w="4965" w:type="dxa"/>
            <w:tcBorders>
              <w:top w:val="single" w:sz="4" w:space="0" w:color="929292"/>
              <w:left w:val="nil"/>
              <w:bottom w:val="single" w:sz="12" w:space="0" w:color="4494D1"/>
              <w:right w:val="nil"/>
            </w:tcBorders>
            <w:shd w:val="clear" w:color="auto" w:fill="FFFFFF"/>
            <w:tcMar>
              <w:top w:w="0" w:type="dxa"/>
              <w:left w:w="53" w:type="dxa"/>
              <w:bottom w:w="0" w:type="dxa"/>
              <w:right w:w="53" w:type="dxa"/>
            </w:tcMar>
            <w:vAlign w:val="center"/>
          </w:tcPr>
          <w:p>
            <w:pPr>
              <w:pageBreakBefore w:val="0"/>
              <w:numPr>
                <w:ilvl w:val="0"/>
                <w:numId w:val="0"/>
              </w:numPr>
              <w:spacing w:before="0" w:after="0" w:line="240" w:lineRule="auto"/>
              <w:ind w:left="0" w:right="0" w:firstLine="0"/>
              <w:jc w:val="left"/>
              <w:outlineLvl w:val="9"/>
              <w:rPr>
                <w:rFonts w:ascii="Arial" w:eastAsia="Arial" w:hAnsi="Arial" w:cs="Arial"/>
                <w:b/>
                <w:i w:val="0"/>
                <w:sz w:val="16"/>
              </w:rPr>
            </w:pPr>
            <w:r>
              <w:rPr>
                <w:rFonts w:ascii="Arial" w:eastAsia="Arial" w:hAnsi="Arial" w:cs="Arial"/>
                <w:b/>
                <w:i w:val="0"/>
                <w:sz w:val="16"/>
              </w:rPr>
              <w:t>Ratification of the appointment of PricewaterhouseCoopers LLP as our independent registered public accounting firm for</w:t>
            </w:r>
            <w:r>
              <w:rPr>
                <w:rFonts w:ascii="Arial" w:eastAsia="Arial" w:hAnsi="Arial" w:cs="Arial"/>
                <w:b/>
                <w:i w:val="0"/>
                <w:sz w:val="16"/>
              </w:rPr>
              <w:t xml:space="preserve"> </w:t>
            </w:r>
            <w:r>
              <w:rPr>
                <w:rFonts w:ascii="Arial" w:eastAsia="Arial" w:hAnsi="Arial" w:cs="Arial"/>
                <w:b/>
                <w:i w:val="0"/>
                <w:color w:val="000000"/>
                <w:sz w:val="16"/>
                <w:u w:val="none"/>
              </w:rPr>
              <w:t>2024</w:t>
            </w:r>
            <w:r>
              <w:rPr>
                <w:rFonts w:ascii="Arial" w:eastAsia="Arial" w:hAnsi="Arial" w:cs="Arial"/>
                <w:b/>
                <w:i w:val="0"/>
                <w:sz w:val="16"/>
              </w:rPr>
              <w:t xml:space="preserve"> </w:t>
            </w:r>
            <w:r>
              <w:rPr>
                <w:rFonts w:ascii="Arial" w:eastAsia="Arial" w:hAnsi="Arial" w:cs="Arial"/>
                <w:b/>
                <w:i w:val="0"/>
                <w:sz w:val="16"/>
              </w:rPr>
              <w:t>and authorization for the Board, acting through the Audit Committee, to approve the fees for the independent registered public accounting firm</w:t>
            </w:r>
          </w:p>
        </w:tc>
        <w:tc>
          <w:tcPr>
            <w:tcW w:w="2145" w:type="dxa"/>
            <w:tcBorders>
              <w:top w:val="single" w:sz="4" w:space="0" w:color="929292"/>
              <w:left w:val="nil"/>
              <w:bottom w:val="single" w:sz="12" w:space="0" w:color="4494D1"/>
              <w:right w:val="nil"/>
            </w:tcBorders>
            <w:shd w:val="clear" w:color="auto" w:fill="FFFFFF"/>
            <w:tcMar>
              <w:top w:w="0" w:type="dxa"/>
              <w:left w:w="53" w:type="dxa"/>
              <w:bottom w:w="0" w:type="dxa"/>
              <w:right w:w="53" w:type="dxa"/>
            </w:tcMar>
            <w:vAlign w:val="center"/>
          </w:tcPr>
          <w:p>
            <w:pPr>
              <w:pageBreakBefore w:val="0"/>
              <w:numPr>
                <w:ilvl w:val="0"/>
                <w:numId w:val="0"/>
              </w:numPr>
              <w:spacing w:before="0" w:after="0" w:line="288" w:lineRule="auto"/>
              <w:ind w:left="0" w:right="0" w:firstLine="0"/>
              <w:jc w:val="left"/>
              <w:outlineLvl w:val="9"/>
              <w:rPr>
                <w:rFonts w:ascii="Arial" w:eastAsia="Arial" w:hAnsi="Arial" w:cs="Arial"/>
                <w:b/>
                <w:i w:val="0"/>
                <w:color w:val="4495D1"/>
                <w:sz w:val="16"/>
                <w:u w:val="none"/>
              </w:rPr>
            </w:pPr>
            <w:r>
              <w:rPr>
                <w:rFonts w:ascii="Arial" w:eastAsia="Arial" w:hAnsi="Arial" w:cs="Arial"/>
                <w:b/>
                <w:i w:val="0"/>
                <w:color w:val="4495D1"/>
                <w:sz w:val="16"/>
                <w:u w:val="none"/>
              </w:rPr>
              <w:t>FOR</w:t>
            </w:r>
            <w:r>
              <w:rPr>
                <w:rFonts w:ascii="Arial" w:eastAsia="Arial" w:hAnsi="Arial" w:cs="Arial"/>
                <w:b w:val="0"/>
                <w:i w:val="0"/>
                <w:sz w:val="16"/>
              </w:rPr>
              <w:t xml:space="preserve"> the proposal</w:t>
            </w:r>
          </w:p>
        </w:tc>
        <w:tc>
          <w:tcPr>
            <w:tcW w:w="2145" w:type="dxa"/>
            <w:tcBorders>
              <w:top w:val="single" w:sz="4" w:space="0" w:color="929292"/>
              <w:left w:val="nil"/>
              <w:bottom w:val="single" w:sz="12" w:space="0" w:color="4494D1"/>
              <w:right w:val="nil"/>
            </w:tcBorders>
            <w:shd w:val="clear" w:color="auto" w:fill="FFFFFF"/>
            <w:tcMar>
              <w:top w:w="0" w:type="dxa"/>
              <w:left w:w="53" w:type="dxa"/>
              <w:bottom w:w="0" w:type="dxa"/>
              <w:right w:w="53" w:type="dxa"/>
            </w:tcMar>
            <w:vAlign w:val="center"/>
          </w:tcPr>
          <w:p>
            <w:pPr>
              <w:pageBreakBefore w:val="0"/>
              <w:numPr>
                <w:ilvl w:val="0"/>
                <w:numId w:val="0"/>
              </w:numPr>
              <w:spacing w:before="0" w:after="0" w:line="300" w:lineRule="auto"/>
              <w:ind w:left="0" w:right="0" w:firstLine="0"/>
              <w:jc w:val="left"/>
              <w:outlineLvl w:val="9"/>
              <w:rPr>
                <w:rFonts w:ascii="Arial" w:eastAsia="Arial" w:hAnsi="Arial" w:cs="Arial"/>
                <w:b w:val="0"/>
                <w:i w:val="0"/>
                <w:sz w:val="16"/>
              </w:rPr>
            </w:pPr>
            <w:r>
              <w:rPr>
                <w:rFonts w:ascii="Arial" w:eastAsia="Arial" w:hAnsi="Arial" w:cs="Arial"/>
                <w:b w:val="0"/>
                <w:i w:val="0"/>
                <w:sz w:val="16"/>
              </w:rPr>
              <w:t>Further information beginning on page</w:t>
            </w:r>
            <w:r>
              <w:rPr>
                <w:rFonts w:ascii="Arial" w:eastAsia="Arial" w:hAnsi="Arial" w:cs="Arial"/>
                <w:b w:val="0"/>
                <w:i w:val="0"/>
                <w:sz w:val="16"/>
              </w:rPr>
              <w:t xml:space="preserve"> </w:t>
            </w:r>
            <w:r>
              <w:rPr>
                <w:rFonts w:ascii="Arial" w:eastAsia="Arial" w:hAnsi="Arial" w:cs="Arial"/>
                <w:b w:val="0"/>
                <w:i w:val="0"/>
                <w:color w:val="0E32E1"/>
                <w:sz w:val="16"/>
                <w:u w:val="single"/>
              </w:rPr>
              <w:fldChar w:fldCharType="begin"/>
            </w:r>
            <w:r>
              <w:rPr>
                <w:rFonts w:ascii="Arial" w:eastAsia="Arial" w:hAnsi="Arial" w:cs="Arial"/>
                <w:b w:val="0"/>
                <w:i w:val="0"/>
                <w:color w:val="0E32E1"/>
                <w:sz w:val="16"/>
                <w:u w:val="single"/>
              </w:rPr>
              <w:instrText xml:space="preserve"> PAGEREF </w:instrText>
            </w:r>
            <w:r>
              <w:rPr>
                <w:rFonts w:ascii="Arial" w:eastAsia="Arial" w:hAnsi="Arial" w:cs="Arial"/>
                <w:b w:val="0"/>
                <w:i w:val="0"/>
                <w:color w:val="0E32E1"/>
                <w:sz w:val="16"/>
                <w:u w:val="single"/>
              </w:rPr>
              <w:instrText xml:space="preserve"> </w:instrText>
            </w:r>
            <w:r>
              <w:rPr>
                <w:rFonts w:ascii="Arial" w:eastAsia="Arial" w:hAnsi="Arial" w:cs="Arial"/>
                <w:b w:val="0"/>
                <w:i w:val="0"/>
                <w:color w:val="0E32E1"/>
                <w:sz w:val="16"/>
                <w:u w:val="single"/>
              </w:rPr>
              <w:instrText>Section123</w:instrText>
            </w:r>
            <w:r>
              <w:rPr>
                <w:rFonts w:ascii="Arial" w:eastAsia="Arial" w:hAnsi="Arial" w:cs="Arial"/>
                <w:b w:val="0"/>
                <w:i w:val="0"/>
                <w:color w:val="0E32E1"/>
                <w:sz w:val="16"/>
                <w:u w:val="single"/>
              </w:rPr>
              <w:instrText xml:space="preserve"> \h</w:instrText>
            </w:r>
            <w:r>
              <w:rPr>
                <w:rFonts w:ascii="Arial" w:eastAsia="Arial" w:hAnsi="Arial" w:cs="Arial"/>
                <w:b w:val="0"/>
                <w:i w:val="0"/>
                <w:color w:val="0E32E1"/>
                <w:sz w:val="16"/>
                <w:u w:val="single"/>
              </w:rPr>
              <w:fldChar w:fldCharType="separate"/>
            </w:r>
            <w:r>
              <w:rPr>
                <w:rFonts w:ascii="Arial" w:eastAsia="Arial" w:hAnsi="Arial" w:cs="Arial"/>
                <w:b w:val="0"/>
                <w:i w:val="0"/>
                <w:color w:val="0E32E1"/>
                <w:sz w:val="16"/>
                <w:u w:val="single"/>
              </w:rPr>
              <w:t>97</w:t>
            </w:r>
            <w:r>
              <w:rPr>
                <w:rFonts w:ascii="Arial" w:eastAsia="Arial" w:hAnsi="Arial" w:cs="Arial"/>
                <w:b w:val="0"/>
                <w:i w:val="0"/>
                <w:color w:val="0E32E1"/>
                <w:sz w:val="16"/>
                <w:u w:val="single"/>
              </w:rPr>
              <w:fldChar w:fldCharType="end"/>
            </w:r>
          </w:p>
        </w:tc>
      </w:tr>
    </w:tbl>
    <w:p>
      <w:pPr>
        <w:keepNext/>
        <w:keepLines/>
        <w:pageBreakBefore w:val="0"/>
        <w:widowControl w:val="0"/>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
          <w:u w:val="none"/>
        </w:rPr>
      </w:pPr>
    </w:p>
    <w:p>
      <w:pPr>
        <w:keepNext/>
        <w:keepLines/>
        <w:pageBreakBefore w:val="0"/>
        <w:widowControl w:val="0"/>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
          <w:u w:val="none"/>
        </w:rPr>
        <w:sectPr>
          <w:headerReference w:type="default" r:id="rId376"/>
          <w:footerReference w:type="default" r:id="rId377"/>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148" w:name="Section151"/>
      <w:bookmarkEnd w:id="148"/>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6.  What happens if additional matters are presented at the Annual General Meeting?</w:t>
      </w:r>
    </w:p>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We know of no specific matter to be brought before the meeting that is not referred to in this proxy statement. If any other matter properly comes before the meeting, including any shareholder proposal properly made, the proxy holders will vote the proxies in accordance with their best judgment on such matter.</w:t>
      </w:r>
    </w:p>
    <w:p>
      <w:pPr>
        <w:keepNext/>
        <w:keepLines/>
        <w:pageBreakBefore w:val="0"/>
        <w:widowControl w:val="0"/>
        <w:numPr>
          <w:ilvl w:val="0"/>
          <w:numId w:val="0"/>
        </w:numPr>
        <w:spacing w:before="0" w:after="120" w:line="300" w:lineRule="auto"/>
        <w:ind w:left="0" w:right="0" w:firstLine="0"/>
        <w:jc w:val="both"/>
        <w:outlineLvl w:val="9"/>
        <w:sectPr>
          <w:headerReference w:type="default" r:id="rId378"/>
          <w:footerReference w:type="default" r:id="rId379"/>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149" w:name="Section152"/>
      <w:bookmarkEnd w:id="149"/>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7.  How can I get electronic access to the proxy materials?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Notice includes instructions regarding how to (i) view on the internet our proxy materials for the Annual General Meeting and (ii) instruct us to send future proxy materials to you by email. Our proxy materials are also available on our website under "Annual General Meeting Materials" at </w:t>
      </w:r>
      <w:r>
        <w:rPr>
          <w:rFonts w:ascii="Arial" w:eastAsia="Arial" w:hAnsi="Arial" w:cs="Arial"/>
          <w:b w:val="0"/>
          <w:i/>
          <w:color w:val="4495D1"/>
          <w:sz w:val="18"/>
          <w:u w:val="none"/>
        </w:rPr>
        <w:t>https://investor.enstargroup.com/annual-reports.</w:t>
      </w:r>
    </w:p>
    <w:p>
      <w:pPr>
        <w:keepNext w:val="0"/>
        <w:keepLines w:val="0"/>
        <w:pageBreakBefore w:val="0"/>
        <w:widowControl/>
        <w:numPr>
          <w:ilvl w:val="0"/>
          <w:numId w:val="0"/>
        </w:numPr>
        <w:spacing w:before="0" w:after="120" w:line="288" w:lineRule="auto"/>
        <w:ind w:left="0" w:right="0" w:firstLine="0"/>
        <w:jc w:val="both"/>
        <w:outlineLvl w:val="9"/>
        <w:rPr>
          <w:rFonts w:ascii="Arial" w:eastAsia="Arial" w:hAnsi="Arial" w:cs="Arial"/>
          <w:b/>
          <w:i w:val="0"/>
          <w:color w:val="4495D1"/>
          <w:sz w:val="20"/>
          <w:u w:val="none"/>
        </w:rPr>
      </w:pPr>
      <w:r>
        <w:rPr>
          <w:rFonts w:ascii="Arial" w:eastAsia="Arial" w:hAnsi="Arial" w:cs="Arial"/>
          <w:b/>
          <w:i w:val="0"/>
          <w:color w:val="4495D1"/>
          <w:sz w:val="20"/>
          <w:u w:val="none"/>
        </w:rPr>
        <w:t>Choosing to receive future proxy materials by email will save us the cost of printing and mailing documents to you. If you choose to receive future proxy materials by email, you will receive an email message next year with instructions containing a link to those materials and a link to the proxy voting website. Your election to receive proxy materials by email will remain in effect until you terminate it.</w:t>
      </w:r>
    </w:p>
    <w:p>
      <w:pPr>
        <w:keepNext w:val="0"/>
        <w:keepLines w:val="0"/>
        <w:pageBreakBefore w:val="0"/>
        <w:widowControl/>
        <w:numPr>
          <w:ilvl w:val="0"/>
          <w:numId w:val="0"/>
        </w:numPr>
        <w:spacing w:before="0" w:after="120" w:line="288" w:lineRule="auto"/>
        <w:ind w:left="0" w:right="0" w:firstLine="0"/>
        <w:jc w:val="both"/>
        <w:outlineLvl w:val="9"/>
        <w:sectPr>
          <w:headerReference w:type="default" r:id="rId380"/>
          <w:footerReference w:type="default" r:id="rId381"/>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150" w:name="Section153"/>
      <w:bookmarkEnd w:id="150"/>
    </w:p>
    <w:p>
      <w:pPr>
        <w:keepNext/>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8.  Who may vote at the Annual General Meeting?</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Only holders of record of our voting ordinary shares as of the close of business on </w:t>
      </w:r>
      <w:r>
        <w:rPr>
          <w:rFonts w:ascii="Arial" w:eastAsia="Arial" w:hAnsi="Arial" w:cs="Arial"/>
          <w:b w:val="0"/>
          <w:i w:val="0"/>
          <w:color w:val="000000"/>
          <w:sz w:val="20"/>
          <w:u w:val="none"/>
        </w:rPr>
        <w:t>April 8, 2024</w:t>
      </w:r>
      <w:r>
        <w:rPr>
          <w:rFonts w:ascii="Arial" w:eastAsia="Arial" w:hAnsi="Arial" w:cs="Arial"/>
          <w:b w:val="0"/>
          <w:i w:val="0"/>
          <w:sz w:val="20"/>
        </w:rPr>
        <w:t xml:space="preserve"> (the "record date") are entitled to notice of and to attend and vote at the Annual General Meeting. As of the record date, there were </w:t>
      </w:r>
      <w:r>
        <w:rPr>
          <w:rFonts w:ascii="Arial" w:eastAsia="Arial" w:hAnsi="Arial" w:cs="Arial"/>
          <w:b w:val="0"/>
          <w:i w:val="0"/>
          <w:color w:val="000000"/>
          <w:sz w:val="20"/>
          <w:u w:val="none"/>
        </w:rPr>
        <w:t>15,221,164</w:t>
      </w:r>
      <w:r>
        <w:rPr>
          <w:rFonts w:ascii="Arial" w:eastAsia="Arial" w:hAnsi="Arial" w:cs="Arial"/>
          <w:b w:val="0"/>
          <w:i w:val="0"/>
          <w:sz w:val="20"/>
        </w:rPr>
        <w:t xml:space="preserve"> ordinary shares issued and outstanding and entitled to vote at the Annual General Meeting, which number includes </w:t>
      </w:r>
      <w:r>
        <w:rPr>
          <w:rFonts w:ascii="Arial" w:eastAsia="Arial" w:hAnsi="Arial" w:cs="Arial"/>
          <w:b w:val="0"/>
          <w:i w:val="0"/>
          <w:color w:val="000000"/>
          <w:sz w:val="20"/>
          <w:u w:val="none"/>
        </w:rPr>
        <w:t>2,035</w:t>
      </w:r>
      <w:r>
        <w:rPr>
          <w:rFonts w:ascii="Arial" w:eastAsia="Arial" w:hAnsi="Arial" w:cs="Arial"/>
          <w:b w:val="0"/>
          <w:i w:val="0"/>
          <w:sz w:val="20"/>
        </w:rPr>
        <w:t> unvested restricted shares. Except as set forth in our bye-laws, each ordinary share entitles the holder thereof to one vote.</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82"/>
          <w:footerReference w:type="default" r:id="rId383"/>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151" w:name="Section154"/>
      <w:bookmarkEnd w:id="151"/>
    </w:p>
    <w:p>
      <w:pPr>
        <w:keepNext w:val="0"/>
        <w:keepLines w:val="0"/>
        <w:pageBreakBefore w:val="0"/>
        <w:widowControl/>
        <w:numPr>
          <w:ilvl w:val="0"/>
          <w:numId w:val="0"/>
        </w:numPr>
        <w:spacing w:before="0" w:after="60" w:line="288" w:lineRule="auto"/>
        <w:ind w:left="360" w:right="0" w:hanging="36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9.  What is the difference between a shareholder of record and a beneficial owner of shares held in street name?</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color w:val="1D64A3"/>
          <w:sz w:val="18"/>
          <w:u w:val="none"/>
        </w:rPr>
      </w:pPr>
      <w:r>
        <w:rPr>
          <w:rFonts w:ascii="Arial" w:eastAsia="Arial" w:hAnsi="Arial" w:cs="Arial"/>
          <w:b/>
          <w:i w:val="0"/>
          <w:color w:val="4494D1"/>
          <w:sz w:val="20"/>
          <w:u w:val="none"/>
        </w:rPr>
        <w:t>Shareholder of Record:</w:t>
      </w:r>
      <w:r>
        <w:rPr>
          <w:rFonts w:ascii="Arial" w:eastAsia="Arial" w:hAnsi="Arial" w:cs="Arial"/>
          <w:b w:val="0"/>
          <w:i w:val="0"/>
          <w:color w:val="4494D1"/>
          <w:sz w:val="20"/>
          <w:u w:val="none"/>
        </w:rPr>
        <w:t xml:space="preserve"> </w:t>
      </w:r>
      <w:r>
        <w:rPr>
          <w:rFonts w:ascii="Arial" w:eastAsia="Arial" w:hAnsi="Arial" w:cs="Arial"/>
          <w:b w:val="0"/>
          <w:i w:val="0"/>
          <w:sz w:val="20"/>
        </w:rPr>
        <w:t>If your shares are represented by certificates or book entries in your name so that you appear as a shareholder on the records of American Stock Transfer &amp; Trust Company, our stock transfer agent, you are considered the shareholder of record with respect to those shares, and the Notice or, in some cases, the proxy materials, were sent directly to you. If you request printed copies of the proxy materials, you will also receive a proxy card.</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color w:val="1D64A3"/>
          <w:sz w:val="18"/>
          <w:u w:val="none"/>
        </w:rPr>
      </w:pPr>
      <w:r>
        <w:rPr>
          <w:rFonts w:ascii="Arial" w:eastAsia="Arial" w:hAnsi="Arial" w:cs="Arial"/>
          <w:b/>
          <w:i w:val="0"/>
          <w:color w:val="4494D1"/>
          <w:sz w:val="20"/>
          <w:u w:val="none"/>
        </w:rPr>
        <w:t>Beneficial Owner of Shares Held in Street Name:</w:t>
      </w:r>
      <w:r>
        <w:rPr>
          <w:rFonts w:ascii="Arial" w:eastAsia="Arial" w:hAnsi="Arial" w:cs="Arial"/>
          <w:b w:val="0"/>
          <w:i w:val="0"/>
          <w:color w:val="4494D1"/>
          <w:sz w:val="20"/>
          <w:u w:val="none"/>
        </w:rPr>
        <w:t xml:space="preserve"> </w:t>
      </w:r>
      <w:r>
        <w:rPr>
          <w:rFonts w:ascii="Arial" w:eastAsia="Arial" w:hAnsi="Arial" w:cs="Arial"/>
          <w:b w:val="0"/>
          <w:i w:val="0"/>
          <w:sz w:val="20"/>
        </w:rPr>
        <w:t>If your shares are held in an account at a brokerage firm, bank, broker-dealer or other similar institution, then you are the beneficial owner of shares held in street name and the Notice was forwarded to you by that institution. The institution holding your account is considered the shareholder of record for purposes of voting at the Annual General Meeting. As a beneficial owner, you have the right to instruct that institution on how to vote the shares held in your account.</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84"/>
          <w:footerReference w:type="default" r:id="rId385"/>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152" w:name="Section155"/>
      <w:bookmarkEnd w:id="152"/>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10.  What do I do if I received more than one Notice or proxy card?</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If you receive more than one Notice or proxy card because you have multiple accounts, you should provide voting instructions for all accounts referenced to be sure all of your shares are voted.</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86"/>
          <w:footerReference w:type="default" r:id="rId387"/>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153" w:name="Section156"/>
      <w:bookmarkEnd w:id="153"/>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11.  How do I vote?</w:t>
      </w:r>
    </w:p>
    <w:p>
      <w:pPr>
        <w:keepNext w:val="0"/>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We hope that you will be able to attend the virtual Annual General Meeting. Whether or not you expect to attend the Annual General Meeting, we urge you to vote your shares at your earliest convenience by one of the methods described below, so that your shares will be represented. </w:t>
      </w:r>
    </w:p>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Shareholders of record can vote any one of these ways:</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025"/>
        <w:gridCol w:w="195"/>
        <w:gridCol w:w="8040"/>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205"/>
        </w:trPr>
        <w:tc>
          <w:tcPr>
            <w:tcW w:w="2025" w:type="dxa"/>
            <w:tcBorders>
              <w:top w:val="single" w:sz="12" w:space="0" w:color="4494D1"/>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center"/>
              <w:outlineLvl w:val="9"/>
              <w:rPr>
                <w:rFonts w:ascii="Arial" w:eastAsia="Arial" w:hAnsi="Arial" w:cs="Arial"/>
                <w:b/>
                <w:i w:val="0"/>
                <w:color w:val="4494D1"/>
                <w:sz w:val="16"/>
                <w:u w:val="none"/>
              </w:rPr>
            </w:pPr>
            <w:r>
              <w:rPr>
                <w:rFonts w:ascii="Arial" w:eastAsia="Arial" w:hAnsi="Arial" w:cs="Arial"/>
                <w:b/>
                <w:i w:val="0"/>
                <w:color w:val="4494D1"/>
                <w:sz w:val="16"/>
                <w:u w:val="none"/>
              </w:rPr>
              <w:t xml:space="preserve">VIA THE INTERNET </w:t>
            </w:r>
          </w:p>
          <w:p>
            <w:pPr>
              <w:pageBreakBefore w:val="0"/>
              <w:numPr>
                <w:ilvl w:val="0"/>
                <w:numId w:val="0"/>
              </w:numPr>
              <w:spacing w:before="0" w:after="0" w:line="288" w:lineRule="auto"/>
              <w:ind w:left="0" w:right="0" w:firstLine="0"/>
              <w:jc w:val="center"/>
              <w:outlineLvl w:val="9"/>
              <w:rPr>
                <w:rFonts w:ascii="Wingdings" w:eastAsia="Wingdings" w:hAnsi="Wingdings" w:cs="Wingdings"/>
                <w:b w:val="0"/>
                <w:i w:val="0"/>
                <w:color w:val="4494D1"/>
                <w:sz w:val="80"/>
                <w:u w:val="none"/>
              </w:rPr>
            </w:pPr>
            <w:r>
              <w:pict>
                <v:shape id="_x0000_s1258" type="#_x0000_t75" style="width:48.75pt;height:48.75pt;margin-top:0;margin-left:0;mso-position-horizontal:center;position:absolute;z-index:251802624">
                  <v:imagedata r:id="rId14" o:title=""/>
                  <o:lock v:ext="edit" aspectratio="t"/>
                  <w10:wrap type="square"/>
                </v:shape>
              </w:pict>
            </w:r>
          </w:p>
        </w:tc>
        <w:tc>
          <w:tcPr>
            <w:tcW w:w="195" w:type="dxa"/>
            <w:tcBorders>
              <w:top w:val="single" w:sz="12" w:space="0" w:color="4494D1"/>
              <w:left w:val="nil"/>
              <w:bottom w:val="single" w:sz="4" w:space="0" w:color="929292"/>
              <w:right w:val="nil"/>
            </w:tcBorders>
            <w:shd w:val="clear" w:color="auto" w:fill="FFFFFF"/>
            <w:tcMar>
              <w:top w:w="0" w:type="dxa"/>
              <w:left w:w="0" w:type="dxa"/>
              <w:bottom w:w="0" w:type="dxa"/>
              <w:right w:w="0" w:type="dxa"/>
            </w:tcMar>
            <w:vAlign w:val="bottom"/>
          </w:tcPr>
          <w:p>
            <w:pPr>
              <w:keepNext/>
              <w:pageBreakBefore w:val="0"/>
              <w:spacing w:before="0" w:after="0"/>
            </w:pPr>
          </w:p>
        </w:tc>
        <w:tc>
          <w:tcPr>
            <w:tcW w:w="8040" w:type="dxa"/>
            <w:tcBorders>
              <w:top w:val="single" w:sz="12" w:space="0" w:color="4494D1"/>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120" w:line="300" w:lineRule="auto"/>
              <w:ind w:left="90" w:right="0" w:firstLine="0"/>
              <w:jc w:val="both"/>
              <w:outlineLvl w:val="9"/>
              <w:rPr>
                <w:rFonts w:ascii="Arial" w:eastAsia="Arial" w:hAnsi="Arial" w:cs="Arial"/>
                <w:b w:val="0"/>
                <w:i w:val="0"/>
                <w:sz w:val="20"/>
              </w:rPr>
            </w:pPr>
            <w:r>
              <w:rPr>
                <w:rFonts w:ascii="Arial" w:eastAsia="Arial" w:hAnsi="Arial" w:cs="Arial"/>
                <w:b/>
                <w:i w:val="0"/>
                <w:sz w:val="20"/>
              </w:rPr>
              <w:t>Before the Annual General Meeting:</w:t>
            </w:r>
            <w:r>
              <w:rPr>
                <w:rFonts w:ascii="Arial" w:eastAsia="Arial" w:hAnsi="Arial" w:cs="Arial"/>
                <w:b w:val="0"/>
                <w:i w:val="0"/>
                <w:sz w:val="20"/>
              </w:rPr>
              <w:t xml:space="preserve"> You may vote by proxy via the internet by following the instructions provided in the Notice.</w:t>
            </w:r>
          </w:p>
          <w:p>
            <w:pPr>
              <w:pageBreakBefore w:val="0"/>
              <w:numPr>
                <w:ilvl w:val="0"/>
                <w:numId w:val="0"/>
              </w:numPr>
              <w:spacing w:before="0" w:after="0" w:line="288" w:lineRule="auto"/>
              <w:ind w:left="90" w:right="0" w:firstLine="0"/>
              <w:jc w:val="both"/>
              <w:outlineLvl w:val="9"/>
              <w:rPr>
                <w:rFonts w:ascii="Wingdings" w:eastAsia="Wingdings" w:hAnsi="Wingdings" w:cs="Wingdings"/>
                <w:b w:val="0"/>
                <w:i w:val="0"/>
                <w:sz w:val="20"/>
              </w:rPr>
            </w:pPr>
            <w:r>
              <w:rPr>
                <w:rFonts w:ascii="Arial" w:eastAsia="Arial" w:hAnsi="Arial" w:cs="Arial"/>
                <w:b/>
                <w:i w:val="0"/>
                <w:sz w:val="20"/>
              </w:rPr>
              <w:t>At the Annual General Meeting:</w:t>
            </w:r>
            <w:r>
              <w:rPr>
                <w:rFonts w:ascii="Arial" w:eastAsia="Arial" w:hAnsi="Arial" w:cs="Arial"/>
                <w:b w:val="0"/>
                <w:i w:val="0"/>
                <w:sz w:val="20"/>
              </w:rPr>
              <w:t xml:space="preserve"> You may vote your shares electronically during the meeting by visiting</w:t>
            </w:r>
            <w:r>
              <w:rPr>
                <w:rFonts w:ascii="Arial" w:eastAsia="Arial" w:hAnsi="Arial" w:cs="Arial"/>
                <w:b w:val="0"/>
                <w:i w:val="0"/>
                <w:sz w:val="20"/>
              </w:rPr>
              <w:t xml:space="preserve"> </w:t>
            </w:r>
            <w:r>
              <w:rPr>
                <w:rFonts w:ascii="Arial" w:eastAsia="Arial" w:hAnsi="Arial" w:cs="Arial"/>
                <w:b w:val="0"/>
                <w:i/>
                <w:color w:val="4494D1"/>
                <w:sz w:val="20"/>
                <w:u w:val="none"/>
              </w:rPr>
              <w:t>www.virtualshareholdermeeting.com/ESGR</w:t>
            </w:r>
            <w:r>
              <w:rPr>
                <w:rFonts w:ascii="Arial" w:eastAsia="Arial" w:hAnsi="Arial" w:cs="Arial"/>
                <w:b w:val="0"/>
                <w:i/>
                <w:color w:val="4494D1"/>
                <w:sz w:val="20"/>
                <w:u w:val="none"/>
              </w:rPr>
              <w:t>2024</w:t>
            </w:r>
            <w:r>
              <w:rPr>
                <w:rFonts w:ascii="Arial" w:eastAsia="Arial" w:hAnsi="Arial" w:cs="Arial"/>
                <w:b w:val="0"/>
                <w:i w:val="0"/>
                <w:sz w:val="20"/>
              </w:rPr>
              <w:t>. To enter the meeting, holders will need the control number that is printed in the box marked by the arrow on the Notice. We recommend logging in at least 15 minutes before the meeting to ensure you are logged in when the meeting starts.</w:t>
            </w:r>
          </w:p>
        </w:tc>
      </w:tr>
      <w:tr>
        <w:tblPrEx>
          <w:tblW w:w="10260" w:type="dxa"/>
          <w:tblInd w:w="0" w:type="dxa"/>
          <w:tblLayout w:type="fixed"/>
          <w:tblCellMar>
            <w:left w:w="108" w:type="dxa"/>
            <w:right w:w="108" w:type="dxa"/>
          </w:tblCellMar>
        </w:tblPrEx>
        <w:trPr>
          <w:cantSplit/>
          <w:trHeight w:hRule="exact" w:val="1200"/>
        </w:trPr>
        <w:tc>
          <w:tcPr>
            <w:tcW w:w="2025" w:type="dxa"/>
            <w:tcBorders>
              <w:top w:val="single" w:sz="4" w:space="0" w:color="929292"/>
              <w:left w:val="nil"/>
              <w:bottom w:val="single" w:sz="4" w:space="0" w:color="929292"/>
              <w:right w:val="nil"/>
            </w:tcBorders>
            <w:tcMar>
              <w:top w:w="0" w:type="dxa"/>
              <w:left w:w="53" w:type="dxa"/>
              <w:bottom w:w="0" w:type="dxa"/>
              <w:right w:w="53" w:type="dxa"/>
            </w:tcMar>
            <w:vAlign w:val="bottom"/>
          </w:tcPr>
          <w:p>
            <w:pPr>
              <w:keepNext/>
              <w:pageBreakBefore w:val="0"/>
              <w:numPr>
                <w:ilvl w:val="0"/>
                <w:numId w:val="0"/>
              </w:numPr>
              <w:spacing w:before="43" w:after="0" w:line="288" w:lineRule="auto"/>
              <w:ind w:left="0" w:right="0" w:firstLine="0"/>
              <w:jc w:val="center"/>
              <w:outlineLvl w:val="9"/>
              <w:rPr>
                <w:rFonts w:ascii="Arial" w:eastAsia="Arial" w:hAnsi="Arial" w:cs="Arial"/>
                <w:b/>
                <w:i w:val="0"/>
                <w:color w:val="4494D1"/>
                <w:sz w:val="16"/>
                <w:u w:val="none"/>
              </w:rPr>
            </w:pPr>
            <w:r>
              <w:rPr>
                <w:rFonts w:ascii="Arial" w:eastAsia="Arial" w:hAnsi="Arial" w:cs="Arial"/>
                <w:b/>
                <w:i w:val="0"/>
                <w:color w:val="4494D1"/>
                <w:sz w:val="16"/>
                <w:u w:val="none"/>
              </w:rPr>
              <w:t>BY MAIL</w:t>
            </w:r>
          </w:p>
          <w:p>
            <w:pPr>
              <w:pageBreakBefore w:val="0"/>
              <w:numPr>
                <w:ilvl w:val="0"/>
                <w:numId w:val="0"/>
              </w:numPr>
              <w:spacing w:before="0" w:after="30" w:line="288" w:lineRule="auto"/>
              <w:ind w:left="0" w:right="0" w:firstLine="0"/>
              <w:jc w:val="center"/>
              <w:outlineLvl w:val="9"/>
              <w:rPr>
                <w:rFonts w:ascii="Wingdings" w:eastAsia="Wingdings" w:hAnsi="Wingdings" w:cs="Wingdings"/>
                <w:b/>
                <w:i w:val="0"/>
                <w:color w:val="4494D1"/>
                <w:sz w:val="50"/>
                <w:u w:val="none"/>
              </w:rPr>
            </w:pPr>
            <w:r>
              <w:pict>
                <v:shape id="_x0000_s1259" type="#_x0000_t75" style="width:33.75pt;height:33.75pt;margin-top:0;margin-left:0;mso-position-horizontal:center;position:absolute;z-index:251803648">
                  <v:imagedata r:id="rId388" o:title=""/>
                  <o:lock v:ext="edit" aspectratio="t"/>
                  <w10:wrap type="square"/>
                </v:shape>
              </w:pict>
            </w:r>
          </w:p>
        </w:tc>
        <w:tc>
          <w:tcPr>
            <w:tcW w:w="195" w:type="dxa"/>
            <w:tcBorders>
              <w:top w:val="single" w:sz="4" w:space="0" w:color="929292"/>
              <w:left w:val="nil"/>
              <w:bottom w:val="single" w:sz="4" w:space="0" w:color="929292"/>
              <w:right w:val="nil"/>
            </w:tcBorders>
            <w:shd w:val="clear" w:color="auto" w:fill="FFFFFF"/>
            <w:tcMar>
              <w:top w:w="0" w:type="dxa"/>
              <w:left w:w="0" w:type="dxa"/>
              <w:bottom w:w="0" w:type="dxa"/>
              <w:right w:w="0" w:type="dxa"/>
            </w:tcMar>
            <w:vAlign w:val="bottom"/>
          </w:tcPr>
          <w:p>
            <w:pPr>
              <w:keepNext/>
              <w:pageBreakBefore w:val="0"/>
              <w:spacing w:before="0" w:after="0"/>
            </w:pPr>
          </w:p>
        </w:tc>
        <w:tc>
          <w:tcPr>
            <w:tcW w:w="8040" w:type="dxa"/>
            <w:tcBorders>
              <w:top w:val="single" w:sz="4" w:space="0" w:color="929292"/>
              <w:left w:val="nil"/>
              <w:bottom w:val="single" w:sz="4" w:space="0" w:color="929292"/>
              <w:right w:val="nil"/>
            </w:tcBorders>
            <w:shd w:val="clear" w:color="auto" w:fill="FFFFFF"/>
            <w:tcMar>
              <w:top w:w="0" w:type="dxa"/>
              <w:left w:w="53" w:type="dxa"/>
              <w:bottom w:w="0" w:type="dxa"/>
              <w:right w:w="53" w:type="dxa"/>
            </w:tcMar>
            <w:vAlign w:val="center"/>
          </w:tcPr>
          <w:p>
            <w:pPr>
              <w:keepNext/>
              <w:pageBreakBefore w:val="0"/>
              <w:numPr>
                <w:ilvl w:val="0"/>
                <w:numId w:val="0"/>
              </w:numPr>
              <w:spacing w:before="0" w:after="0" w:line="300" w:lineRule="auto"/>
              <w:ind w:left="90" w:right="0" w:firstLine="0"/>
              <w:jc w:val="both"/>
              <w:outlineLvl w:val="9"/>
              <w:rPr>
                <w:rFonts w:ascii="Arial" w:eastAsia="Arial" w:hAnsi="Arial" w:cs="Arial"/>
                <w:b w:val="0"/>
                <w:i w:val="0"/>
                <w:sz w:val="20"/>
              </w:rPr>
            </w:pPr>
            <w:r>
              <w:rPr>
                <w:rFonts w:ascii="Arial" w:eastAsia="Arial" w:hAnsi="Arial" w:cs="Arial"/>
                <w:b w:val="0"/>
                <w:i w:val="0"/>
                <w:sz w:val="20"/>
              </w:rPr>
              <w:t>If you received printed copies of the proxy materials, you may vote by proxy by filling out the proxy card and sending it back in the envelope provided.</w:t>
            </w:r>
          </w:p>
        </w:tc>
      </w:tr>
      <w:tr>
        <w:tblPrEx>
          <w:tblW w:w="10260" w:type="dxa"/>
          <w:tblInd w:w="0" w:type="dxa"/>
          <w:tblLayout w:type="fixed"/>
          <w:tblCellMar>
            <w:left w:w="108" w:type="dxa"/>
            <w:right w:w="108" w:type="dxa"/>
          </w:tblCellMar>
        </w:tblPrEx>
        <w:trPr>
          <w:cantSplit/>
          <w:trHeight w:hRule="exact" w:val="1200"/>
        </w:trPr>
        <w:tc>
          <w:tcPr>
            <w:tcW w:w="2025" w:type="dxa"/>
            <w:tcBorders>
              <w:top w:val="single" w:sz="4" w:space="0" w:color="929292"/>
              <w:left w:val="nil"/>
              <w:bottom w:val="single" w:sz="12" w:space="0" w:color="4494D1"/>
              <w:right w:val="nil"/>
            </w:tcBorders>
            <w:tcMar>
              <w:top w:w="0" w:type="dxa"/>
              <w:left w:w="53" w:type="dxa"/>
              <w:bottom w:w="0" w:type="dxa"/>
              <w:right w:w="53" w:type="dxa"/>
            </w:tcMar>
            <w:vAlign w:val="bottom"/>
          </w:tcPr>
          <w:p>
            <w:pPr>
              <w:pageBreakBefore w:val="0"/>
              <w:numPr>
                <w:ilvl w:val="0"/>
                <w:numId w:val="0"/>
              </w:numPr>
              <w:spacing w:before="43" w:after="0" w:line="288" w:lineRule="auto"/>
              <w:ind w:left="0" w:right="0" w:firstLine="0"/>
              <w:jc w:val="center"/>
              <w:outlineLvl w:val="9"/>
              <w:rPr>
                <w:rFonts w:ascii="Arial" w:eastAsia="Arial" w:hAnsi="Arial" w:cs="Arial"/>
                <w:b/>
                <w:i w:val="0"/>
                <w:color w:val="4494D1"/>
                <w:sz w:val="16"/>
                <w:u w:val="none"/>
              </w:rPr>
            </w:pPr>
            <w:r>
              <w:rPr>
                <w:rFonts w:ascii="Arial" w:eastAsia="Arial" w:hAnsi="Arial" w:cs="Arial"/>
                <w:b/>
                <w:i w:val="0"/>
                <w:color w:val="4494D1"/>
                <w:sz w:val="16"/>
                <w:u w:val="none"/>
              </w:rPr>
              <w:t>BY TELEPHONE</w:t>
            </w:r>
          </w:p>
          <w:p>
            <w:pPr>
              <w:pageBreakBefore w:val="0"/>
              <w:numPr>
                <w:ilvl w:val="0"/>
                <w:numId w:val="0"/>
              </w:numPr>
              <w:spacing w:before="0" w:after="30" w:line="288" w:lineRule="auto"/>
              <w:ind w:left="0" w:right="0" w:firstLine="0"/>
              <w:jc w:val="center"/>
              <w:outlineLvl w:val="9"/>
              <w:rPr>
                <w:rFonts w:ascii="Wingdings" w:eastAsia="Wingdings" w:hAnsi="Wingdings" w:cs="Wingdings"/>
                <w:b w:val="0"/>
                <w:i w:val="0"/>
                <w:color w:val="4494D1"/>
                <w:sz w:val="70"/>
                <w:u w:val="none"/>
              </w:rPr>
            </w:pPr>
            <w:r>
              <w:pict>
                <v:shape id="_x0000_s1260" type="#_x0000_t75" style="width:33.75pt;height:33.75pt;margin-top:0;margin-left:0;mso-position-horizontal:center;position:absolute;z-index:251804672">
                  <v:imagedata r:id="rId389" o:title=""/>
                  <o:lock v:ext="edit" aspectratio="t"/>
                  <w10:wrap type="square"/>
                </v:shape>
              </w:pict>
            </w:r>
          </w:p>
        </w:tc>
        <w:tc>
          <w:tcPr>
            <w:tcW w:w="195" w:type="dxa"/>
            <w:tcBorders>
              <w:top w:val="single" w:sz="4" w:space="0" w:color="929292"/>
              <w:left w:val="nil"/>
              <w:bottom w:val="single" w:sz="12" w:space="0" w:color="4494D1"/>
              <w:right w:val="nil"/>
            </w:tcBorders>
            <w:shd w:val="clear" w:color="auto" w:fill="FFFFFF"/>
            <w:tcMar>
              <w:top w:w="0" w:type="dxa"/>
              <w:left w:w="0" w:type="dxa"/>
              <w:bottom w:w="0" w:type="dxa"/>
              <w:right w:w="0" w:type="dxa"/>
            </w:tcMar>
            <w:vAlign w:val="bottom"/>
          </w:tcPr>
          <w:p>
            <w:pPr>
              <w:pageBreakBefore w:val="0"/>
              <w:spacing w:before="0" w:after="0"/>
            </w:pPr>
          </w:p>
        </w:tc>
        <w:tc>
          <w:tcPr>
            <w:tcW w:w="8040" w:type="dxa"/>
            <w:tcBorders>
              <w:top w:val="single" w:sz="4" w:space="0" w:color="929292"/>
              <w:left w:val="nil"/>
              <w:bottom w:val="single" w:sz="12" w:space="0" w:color="4494D1"/>
              <w:right w:val="nil"/>
            </w:tcBorders>
            <w:shd w:val="clear" w:color="auto" w:fill="FFFFFF"/>
            <w:tcMar>
              <w:top w:w="0" w:type="dxa"/>
              <w:left w:w="53" w:type="dxa"/>
              <w:bottom w:w="0" w:type="dxa"/>
              <w:right w:w="53" w:type="dxa"/>
            </w:tcMar>
            <w:vAlign w:val="center"/>
          </w:tcPr>
          <w:p>
            <w:pPr>
              <w:pageBreakBefore w:val="0"/>
              <w:numPr>
                <w:ilvl w:val="0"/>
                <w:numId w:val="0"/>
              </w:numPr>
              <w:spacing w:before="0" w:after="0" w:line="300" w:lineRule="auto"/>
              <w:ind w:left="90" w:right="0" w:firstLine="0"/>
              <w:jc w:val="both"/>
              <w:outlineLvl w:val="9"/>
              <w:rPr>
                <w:rFonts w:ascii="Arial" w:eastAsia="Arial" w:hAnsi="Arial" w:cs="Arial"/>
                <w:b w:val="0"/>
                <w:i w:val="0"/>
                <w:sz w:val="20"/>
              </w:rPr>
            </w:pPr>
            <w:r>
              <w:rPr>
                <w:rFonts w:ascii="Arial" w:eastAsia="Arial" w:hAnsi="Arial" w:cs="Arial"/>
                <w:b w:val="0"/>
                <w:i w:val="0"/>
                <w:sz w:val="20"/>
              </w:rPr>
              <w:t xml:space="preserve">You may vote by proxy by calling the telephone number found on the internet voting site or on the proxy card, if you received a printed copy </w:t>
            </w:r>
            <w:r>
              <w:rPr>
                <w:rFonts w:ascii="Arial" w:eastAsia="Arial" w:hAnsi="Arial" w:cs="Arial"/>
                <w:b w:val="0"/>
                <w:i w:val="0"/>
                <w:sz w:val="20"/>
              </w:rPr>
              <w:t>of the proxy materials.</w:t>
            </w:r>
          </w:p>
        </w:tc>
      </w:tr>
    </w:tbl>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If you own shares in street name, you will receive instructions from the holder of record that you must follow in order for your shares to be voted. Internet and/or telephone voting also will be offered to shareholders owning shares through most banks and brokers. If you own shares in street name and you wish to attend and/or vote your shares at the virtual Annual General Meeting, you must (i) obtain a legal proxy from the institution that holds your shares, (ii) obtain your control number so that you may access the webcast and (iii) attend the Annual General Meeting, or permit a personal representative with the legal proxy, to vote at the virtual Annual General Meeting. You should contact your bank or brokerage account representative to learn how to obtain a legal proxy.</w:t>
      </w:r>
    </w:p>
    <w:p>
      <w:pPr>
        <w:keepNext w:val="0"/>
        <w:keepLines w:val="0"/>
        <w:pageBreakBefore w:val="0"/>
        <w:widowControl/>
        <w:numPr>
          <w:ilvl w:val="0"/>
          <w:numId w:val="0"/>
        </w:numPr>
        <w:spacing w:before="120" w:after="120" w:line="300" w:lineRule="auto"/>
        <w:ind w:left="0" w:right="0" w:firstLine="0"/>
        <w:jc w:val="both"/>
        <w:outlineLvl w:val="9"/>
        <w:rPr>
          <w:rFonts w:ascii="Arial" w:eastAsia="Arial" w:hAnsi="Arial" w:cs="Arial"/>
          <w:b w:val="0"/>
          <w:i w:val="0"/>
          <w:sz w:val="20"/>
        </w:rPr>
        <w:sectPr>
          <w:headerReference w:type="default" r:id="rId390"/>
          <w:footerReference w:type="default" r:id="rId391"/>
          <w:type w:val="continuous"/>
          <w:pgSz w:w="12240" w:h="15840"/>
          <w:pgMar w:top="855" w:right="990" w:bottom="855" w:left="990" w:header="180" w:footer="270"/>
          <w:cols w:space="708"/>
        </w:sectPr>
      </w:pPr>
    </w:p>
    <w:p>
      <w:pPr>
        <w:keepNext/>
        <w:keepLines w:val="0"/>
        <w:pageBreakBefore w:val="0"/>
        <w:widowControl/>
        <w:numPr>
          <w:ilvl w:val="0"/>
          <w:numId w:val="0"/>
        </w:numPr>
        <w:spacing w:before="100" w:after="60" w:line="288" w:lineRule="auto"/>
        <w:ind w:left="0" w:right="0" w:firstLine="0"/>
        <w:jc w:val="left"/>
        <w:outlineLvl w:val="9"/>
        <w:rPr>
          <w:rFonts w:ascii="Arial" w:eastAsia="Arial" w:hAnsi="Arial" w:cs="Arial"/>
          <w:b/>
          <w:i w:val="0"/>
          <w:color w:val="171449"/>
          <w:sz w:val="24"/>
          <w:u w:val="none"/>
        </w:rPr>
      </w:pPr>
      <w:bookmarkStart w:id="154" w:name="Section157"/>
      <w:bookmarkEnd w:id="154"/>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12.  What is the voting deadline if voting by internet or telephone?</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If you vote by internet (before the Annual General Meeting) or by telephone, you must transmit your vote by 11:59 p.m. Eastern time on </w:t>
      </w:r>
      <w:r>
        <w:rPr>
          <w:rFonts w:ascii="Arial" w:eastAsia="Arial" w:hAnsi="Arial" w:cs="Arial"/>
          <w:b w:val="0"/>
          <w:i w:val="0"/>
          <w:color w:val="000000"/>
          <w:sz w:val="20"/>
          <w:u w:val="none"/>
        </w:rPr>
        <w:t>June 5, 2024</w:t>
      </w:r>
      <w:r>
        <w:rPr>
          <w:rFonts w:ascii="Arial" w:eastAsia="Arial" w:hAnsi="Arial" w:cs="Arial"/>
          <w:b w:val="0"/>
          <w:i w:val="0"/>
          <w:sz w:val="20"/>
        </w:rPr>
        <w:t>.</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92"/>
          <w:footerReference w:type="default" r:id="rId393"/>
          <w:type w:val="continuous"/>
          <w:pgSz w:w="12240" w:h="15840"/>
          <w:pgMar w:top="855" w:right="990" w:bottom="855" w:left="990" w:header="180" w:footer="270"/>
          <w:cols w:space="708"/>
        </w:sectPr>
      </w:pPr>
    </w:p>
    <w:p>
      <w:pPr>
        <w:keepNext/>
        <w:keepLines/>
        <w:pageBreakBefore w:val="0"/>
        <w:widowControl w:val="0"/>
        <w:numPr>
          <w:ilvl w:val="0"/>
          <w:numId w:val="0"/>
        </w:numPr>
        <w:spacing w:before="100" w:after="60" w:line="288" w:lineRule="auto"/>
        <w:ind w:left="0" w:right="0" w:firstLine="0"/>
        <w:jc w:val="left"/>
        <w:outlineLvl w:val="9"/>
        <w:rPr>
          <w:rFonts w:ascii="Arial" w:eastAsia="Arial" w:hAnsi="Arial" w:cs="Arial"/>
          <w:b/>
          <w:i w:val="0"/>
          <w:color w:val="171449"/>
          <w:sz w:val="24"/>
          <w:u w:val="none"/>
        </w:rPr>
      </w:pPr>
      <w:bookmarkStart w:id="155" w:name="Section158"/>
      <w:bookmarkEnd w:id="155"/>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13.  Why a virtual meeting?</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Hosting a virtual meeting enables increased shareholder attendance and participation since shareholders can participate from any location around the world. The virtual meeting will provide shareholders with the same rights as a physical meeting.</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94"/>
          <w:footerReference w:type="default" r:id="rId395"/>
          <w:type w:val="continuous"/>
          <w:pgSz w:w="12240" w:h="15840"/>
          <w:pgMar w:top="855" w:right="990" w:bottom="855" w:left="990" w:header="180" w:footer="270"/>
          <w:cols w:space="708"/>
        </w:sectPr>
      </w:pPr>
    </w:p>
    <w:p>
      <w:pPr>
        <w:keepNext/>
        <w:keepLines/>
        <w:pageBreakBefore w:val="0"/>
        <w:widowControl w:val="0"/>
        <w:numPr>
          <w:ilvl w:val="0"/>
          <w:numId w:val="0"/>
        </w:numPr>
        <w:spacing w:before="100" w:after="60" w:line="288" w:lineRule="auto"/>
        <w:ind w:left="0" w:right="0" w:firstLine="0"/>
        <w:jc w:val="left"/>
        <w:outlineLvl w:val="9"/>
        <w:rPr>
          <w:rFonts w:ascii="Arial" w:eastAsia="Arial" w:hAnsi="Arial" w:cs="Arial"/>
          <w:b/>
          <w:i w:val="0"/>
          <w:color w:val="171449"/>
          <w:sz w:val="24"/>
          <w:u w:val="none"/>
        </w:rPr>
      </w:pPr>
      <w:bookmarkStart w:id="156" w:name="Section159"/>
      <w:bookmarkEnd w:id="156"/>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14.  How can I attend and participate in the virtual Annual General Meeting?</w:t>
      </w:r>
    </w:p>
    <w:p>
      <w:pPr>
        <w:keepNext w:val="0"/>
        <w:keepLines w:val="0"/>
        <w:pageBreakBefore w:val="0"/>
        <w:widowControl/>
        <w:numPr>
          <w:ilvl w:val="0"/>
          <w:numId w:val="0"/>
        </w:numPr>
        <w:spacing w:before="0" w:after="120" w:line="300" w:lineRule="auto"/>
        <w:ind w:left="0" w:right="0" w:firstLine="0"/>
        <w:jc w:val="both"/>
        <w:outlineLvl w:val="9"/>
        <w:rPr>
          <w:rFonts w:ascii="Wingdings" w:eastAsia="Wingdings" w:hAnsi="Wingdings" w:cs="Wingdings"/>
          <w:b w:val="0"/>
          <w:i w:val="0"/>
          <w:sz w:val="20"/>
        </w:rPr>
      </w:pPr>
      <w:r>
        <w:rPr>
          <w:rFonts w:ascii="Arial" w:eastAsia="Arial" w:hAnsi="Arial" w:cs="Arial"/>
          <w:b w:val="0"/>
          <w:i w:val="0"/>
          <w:sz w:val="20"/>
        </w:rPr>
        <w:t xml:space="preserve">You may attend the virtual Annual General Meeting if you were an Enstar shareholder of record as of the close of business on </w:t>
      </w:r>
      <w:r>
        <w:rPr>
          <w:rFonts w:ascii="Arial" w:eastAsia="Arial" w:hAnsi="Arial" w:cs="Arial"/>
          <w:b w:val="0"/>
          <w:i w:val="0"/>
          <w:color w:val="000000"/>
          <w:sz w:val="20"/>
          <w:u w:val="none"/>
        </w:rPr>
        <w:t>April 8, 2024</w:t>
      </w:r>
      <w:r>
        <w:rPr>
          <w:rFonts w:ascii="Arial" w:eastAsia="Arial" w:hAnsi="Arial" w:cs="Arial"/>
          <w:b w:val="0"/>
          <w:i w:val="0"/>
          <w:sz w:val="20"/>
        </w:rPr>
        <w:t xml:space="preserve"> or you hold a valid proxy for the Annual General Meeting. You may attend the meeting by accessing the webcast of the Annual General Meeting, where you will be able to listen to the meeting live, submit questions, and vote online. To do so, you will need to visit</w:t>
      </w:r>
      <w:r>
        <w:rPr>
          <w:rFonts w:ascii="Arial" w:eastAsia="Arial" w:hAnsi="Arial" w:cs="Arial"/>
          <w:b w:val="0"/>
          <w:i/>
          <w:color w:val="4495D1"/>
          <w:sz w:val="18"/>
          <w:u w:val="none"/>
        </w:rPr>
        <w:t xml:space="preserve"> </w:t>
      </w:r>
      <w:r>
        <w:rPr>
          <w:rFonts w:ascii="Arial" w:eastAsia="Arial" w:hAnsi="Arial" w:cs="Arial"/>
          <w:b w:val="0"/>
          <w:i/>
          <w:color w:val="4494D1"/>
          <w:sz w:val="20"/>
          <w:u w:val="none"/>
        </w:rPr>
        <w:t>www.virtualshareholdermeeting.com/ESGR</w:t>
      </w:r>
      <w:r>
        <w:rPr>
          <w:rFonts w:ascii="Arial" w:eastAsia="Arial" w:hAnsi="Arial" w:cs="Arial"/>
          <w:b w:val="0"/>
          <w:i/>
          <w:color w:val="4494D1"/>
          <w:sz w:val="20"/>
          <w:u w:val="none"/>
        </w:rPr>
        <w:t>2024</w:t>
      </w:r>
      <w:r>
        <w:rPr>
          <w:rFonts w:ascii="Arial" w:eastAsia="Arial" w:hAnsi="Arial" w:cs="Arial"/>
          <w:b w:val="0"/>
          <w:i w:val="0"/>
          <w:sz w:val="20"/>
        </w:rPr>
        <w:t xml:space="preserve"> and use your control number provided in the proxy materials to gain access to the website. If your shares are held in street name, you should follow the directions set forth above in the “How do I vote?” section. If you do not have your control number, you will not be able to join the Annual General Meeting, vote at the Annual General Meeting, or ask questions or access the list of shareholders as of the record date at the Annual General Meeting. If you attend the virtual Annual General Meeting by participating in the webcast, you will also be able to cast your vote, or revoke a previous vote, during the Annual General Meeting. </w:t>
      </w:r>
      <w:r>
        <w:rPr>
          <w:rFonts w:ascii="Arial" w:eastAsia="Arial" w:hAnsi="Arial" w:cs="Arial"/>
          <w:b w:val="0"/>
          <w:i/>
          <w:sz w:val="20"/>
        </w:rPr>
        <w:t>The meeting webcast will begin promptly at 9:00 a.m. Atlantic time (8:00 a.m. Eastern time). We encourage you to access the meeting prior to the start time.</w:t>
      </w:r>
      <w:r>
        <w:rPr>
          <w:rFonts w:ascii="Arial" w:eastAsia="Arial" w:hAnsi="Arial" w:cs="Arial"/>
          <w:b w:val="0"/>
          <w:i w:val="0"/>
          <w:sz w:val="20"/>
        </w:rPr>
        <w:t xml:space="preserve"> Online check-in will begin at 8:45 a.m. Atlantic time (7:45 a.m. Eastern time), and you should allow ample time for the check-in procedures.</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96"/>
          <w:footerReference w:type="default" r:id="rId397"/>
          <w:type w:val="continuous"/>
          <w:pgSz w:w="12240" w:h="15840"/>
          <w:pgMar w:top="855" w:right="990" w:bottom="855" w:left="990" w:header="180" w:footer="270"/>
          <w:cols w:space="708"/>
        </w:sectPr>
      </w:pPr>
    </w:p>
    <w:p>
      <w:pPr>
        <w:keepNext/>
        <w:keepLines/>
        <w:pageBreakBefore w:val="0"/>
        <w:widowControl w:val="0"/>
        <w:numPr>
          <w:ilvl w:val="0"/>
          <w:numId w:val="0"/>
        </w:numPr>
        <w:spacing w:before="100" w:after="60" w:line="288" w:lineRule="auto"/>
        <w:ind w:left="0" w:right="0" w:firstLine="0"/>
        <w:jc w:val="left"/>
        <w:outlineLvl w:val="9"/>
        <w:rPr>
          <w:rFonts w:ascii="Arial" w:eastAsia="Arial" w:hAnsi="Arial" w:cs="Arial"/>
          <w:b/>
          <w:i w:val="0"/>
          <w:color w:val="171449"/>
          <w:sz w:val="24"/>
          <w:u w:val="none"/>
        </w:rPr>
      </w:pPr>
      <w:bookmarkStart w:id="157" w:name="Section160"/>
      <w:bookmarkEnd w:id="157"/>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15.  Can I ask questions at the Annual General Meeting?</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Yes, shareholders of record as of the record date will be able to ask questions by joining the virtual Annual General Meeting and typing their question in the box in the Annual General Meeting portal. To help ensure that we have a productive and efficient meeting, and in fairness to all those in attendance, shareholders will also find posted our rules of conduct for the Annual General Meeting when logging in prior to the start of the meeting. In accordance with the rules of conduct, we ask that shareholders limit their remarks to one brief question or comment that is relevant to the Annual General Meeting or our business and that such remarks are respectful of fellow shareholders and meeting participants. Questions may be grouped by topic by management with a representative question read aloud and answered. In addition, questions may be deemed to be out of order if they are, among other things, irrelevant to our business, repetitious of statements already made, or in furtherance of the speaker’s own personal, political or business interests. Questions will be addressed in the Q&amp;A portion of the Annual General Meeting.</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398"/>
          <w:footerReference w:type="default" r:id="rId399"/>
          <w:type w:val="continuous"/>
          <w:pgSz w:w="12240" w:h="15840"/>
          <w:pgMar w:top="855" w:right="990" w:bottom="855" w:left="990" w:header="180" w:footer="270"/>
          <w:cols w:space="708"/>
        </w:sectPr>
      </w:pPr>
    </w:p>
    <w:p>
      <w:pPr>
        <w:keepNext/>
        <w:keepLines/>
        <w:pageBreakBefore w:val="0"/>
        <w:widowControl w:val="0"/>
        <w:numPr>
          <w:ilvl w:val="0"/>
          <w:numId w:val="0"/>
        </w:numPr>
        <w:spacing w:before="100" w:after="60" w:line="288" w:lineRule="auto"/>
        <w:ind w:left="0" w:right="0" w:firstLine="0"/>
        <w:jc w:val="left"/>
        <w:outlineLvl w:val="9"/>
        <w:rPr>
          <w:rFonts w:ascii="Arial" w:eastAsia="Arial" w:hAnsi="Arial" w:cs="Arial"/>
          <w:b/>
          <w:i w:val="0"/>
          <w:color w:val="171449"/>
          <w:sz w:val="24"/>
          <w:u w:val="none"/>
        </w:rPr>
      </w:pPr>
      <w:bookmarkStart w:id="158" w:name="Section161"/>
      <w:bookmarkEnd w:id="158"/>
    </w:p>
    <w:p>
      <w:pPr>
        <w:keepNext w:val="0"/>
        <w:keepLines w:val="0"/>
        <w:pageBreakBefore w:val="0"/>
        <w:widowControl/>
        <w:numPr>
          <w:ilvl w:val="0"/>
          <w:numId w:val="0"/>
        </w:numPr>
        <w:spacing w:before="0" w:after="60" w:line="288" w:lineRule="auto"/>
        <w:ind w:left="450" w:right="0" w:hanging="45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16.  What if I need technical assistance accessing or participating in the Annual General Meeting?</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If you encounter any difficulties accessing the Annual General Meeting during the check-in or meeting time, please call the technical support number that will be posted on the Annual General Meeting login page.</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400"/>
          <w:footerReference w:type="default" r:id="rId401"/>
          <w:type w:val="continuous"/>
          <w:pgSz w:w="12240" w:h="15840"/>
          <w:pgMar w:top="855" w:right="990" w:bottom="855" w:left="990" w:header="180" w:footer="270"/>
          <w:cols w:space="708"/>
        </w:sectPr>
      </w:pPr>
    </w:p>
    <w:p>
      <w:pPr>
        <w:keepNext/>
        <w:keepLines/>
        <w:pageBreakBefore w:val="0"/>
        <w:widowControl w:val="0"/>
        <w:numPr>
          <w:ilvl w:val="0"/>
          <w:numId w:val="0"/>
        </w:numPr>
        <w:spacing w:before="100" w:after="60" w:line="288" w:lineRule="auto"/>
        <w:ind w:left="0" w:right="0" w:firstLine="0"/>
        <w:jc w:val="left"/>
        <w:outlineLvl w:val="9"/>
        <w:rPr>
          <w:rFonts w:ascii="Arial" w:eastAsia="Arial" w:hAnsi="Arial" w:cs="Arial"/>
          <w:b/>
          <w:i w:val="0"/>
          <w:color w:val="171449"/>
          <w:sz w:val="24"/>
          <w:u w:val="none"/>
        </w:rPr>
      </w:pPr>
      <w:bookmarkStart w:id="159" w:name="Section162"/>
      <w:bookmarkEnd w:id="159"/>
    </w:p>
    <w:p>
      <w:pPr>
        <w:keepNext/>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17.  What is the quorum requirement for the Annual General Meeting?</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Two or more shareholders present in person or by proxy and entitled to vote at least a majority of the shares entitled to vote at the meeting constitute a quorum for the transaction of business at the meeting. Abstentions and broker non-votes will be included in determining the presence of a quorum at the meeting. A broker non-vote occurs when a broker, bank or other nominee does not have discretionary voting power for a particular proposal and has not received voting instructions from the beneficial owner for that proposal and, as a result, the institution that holds the shares is prohibited from voting those shares. Shares that are properly voted on the internet or by telephone or for which proxy cards are properly executed and returned, but lacking voting directions, will be counted toward the presence of a quorum. Virtual attendance at the Annual General Meeting also constitutes presence in person for purposes of a quorum.</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402"/>
          <w:footerReference w:type="default" r:id="rId403"/>
          <w:type w:val="continuous"/>
          <w:pgSz w:w="12240" w:h="15840"/>
          <w:pgMar w:top="855" w:right="990" w:bottom="855" w:left="990" w:header="180" w:footer="270"/>
          <w:cols w:space="708"/>
        </w:sectPr>
      </w:pPr>
    </w:p>
    <w:p>
      <w:pPr>
        <w:keepNext w:val="0"/>
        <w:keepLines w:val="0"/>
        <w:pageBreakBefore w:val="0"/>
        <w:widowControl/>
        <w:numPr>
          <w:ilvl w:val="0"/>
          <w:numId w:val="0"/>
        </w:numPr>
        <w:spacing w:before="100" w:after="60" w:line="288" w:lineRule="auto"/>
        <w:ind w:left="0" w:right="0" w:firstLine="0"/>
        <w:jc w:val="left"/>
        <w:outlineLvl w:val="9"/>
        <w:rPr>
          <w:rFonts w:ascii="Arial" w:eastAsia="Arial" w:hAnsi="Arial" w:cs="Arial"/>
          <w:b/>
          <w:i w:val="0"/>
          <w:color w:val="171449"/>
          <w:sz w:val="24"/>
          <w:u w:val="none"/>
        </w:rPr>
      </w:pPr>
      <w:bookmarkStart w:id="160" w:name="Section163"/>
      <w:bookmarkEnd w:id="160"/>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18.  How are proxies voted?</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Shares that are properly voted on the internet or by telephone or for which proxy cards are properly executed and returned will be voted at the Annual General Meeting in accordance with the directions given or, in the absence of directions, in accordance with the Board’s recommendations as set forth in "What are the Board’s voting recommendations?" above. If any other business is brought before the meeting, proxies will be voted, to the extent permitted by applicable law, in accordance with the judgment of the persons voting the proxies.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manner in which your shares may be voted depends on how your shares are held. If you own shares of record, you may vote by proxy, meaning you authorize individuals named on the proxy to vote your shares. If you do not vote by proxy or in person at the Annual General Meeting, your shares will not be voted. If you own shares in street name, you may instruct the institution holding your shares on how to vote your shares. If you do not provide voting instructions, the institution may nevertheless vote your shares on your behalf with respect to the ratification of the appointment of PricewaterhouseCoopers LLP as the Company’s independent registered public accounting firm for </w:t>
      </w:r>
      <w:r>
        <w:rPr>
          <w:rFonts w:ascii="Arial" w:eastAsia="Arial" w:hAnsi="Arial" w:cs="Arial"/>
          <w:b w:val="0"/>
          <w:i w:val="0"/>
          <w:color w:val="000000"/>
          <w:sz w:val="20"/>
          <w:u w:val="none"/>
        </w:rPr>
        <w:t>2024</w:t>
      </w:r>
      <w:r>
        <w:rPr>
          <w:rFonts w:ascii="Arial" w:eastAsia="Arial" w:hAnsi="Arial" w:cs="Arial"/>
          <w:b w:val="0"/>
          <w:i w:val="0"/>
          <w:sz w:val="20"/>
        </w:rPr>
        <w:t>, but not on any other matters being considered at the meeting.</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404"/>
          <w:footerReference w:type="default" r:id="rId405"/>
          <w:type w:val="continuous"/>
          <w:pgSz w:w="12240" w:h="15840"/>
          <w:pgMar w:top="855" w:right="990" w:bottom="855" w:left="990" w:header="180" w:footer="270"/>
          <w:cols w:space="708"/>
        </w:sectPr>
      </w:pPr>
    </w:p>
    <w:p>
      <w:pPr>
        <w:keepNext w:val="0"/>
        <w:keepLines/>
        <w:pageBreakBefore w:val="0"/>
        <w:widowControl w:val="0"/>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161" w:name="Section164"/>
      <w:bookmarkEnd w:id="161"/>
    </w:p>
    <w:p>
      <w:pPr>
        <w:keepNext w:val="0"/>
        <w:keepLines w:val="0"/>
        <w:pageBreakBefore w:val="0"/>
        <w:widowControl/>
        <w:numPr>
          <w:ilvl w:val="0"/>
          <w:numId w:val="0"/>
        </w:numPr>
        <w:spacing w:before="0" w:after="0" w:line="288" w:lineRule="auto"/>
        <w:ind w:left="0" w:right="0" w:firstLine="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19.  What are the voting requirements to approve each of the proposals?</w:t>
      </w: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05"/>
        <w:gridCol w:w="3555"/>
        <w:gridCol w:w="1785"/>
        <w:gridCol w:w="1305"/>
        <w:gridCol w:w="1305"/>
        <w:gridCol w:w="1305"/>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195"/>
          <w:jc w:val="left"/>
        </w:trPr>
        <w:tc>
          <w:tcPr>
            <w:tcW w:w="10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55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78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0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jc w:val="left"/>
          <w:tblInd w:w="0" w:type="dxa"/>
          <w:tblLayout w:type="fixed"/>
          <w:tblCellMar>
            <w:left w:w="108" w:type="dxa"/>
            <w:right w:w="108" w:type="dxa"/>
          </w:tblCellMar>
        </w:tblPrEx>
        <w:trPr>
          <w:cantSplit/>
          <w:trHeight w:hRule="exact" w:val="915"/>
          <w:jc w:val="left"/>
        </w:trPr>
        <w:tc>
          <w:tcPr>
            <w:tcW w:w="4560" w:type="dxa"/>
            <w:gridSpan w:val="2"/>
            <w:tcBorders>
              <w:top w:val="nil"/>
              <w:left w:val="nil"/>
              <w:bottom w:val="nil"/>
              <w:right w:val="nil"/>
            </w:tcBorders>
            <w:shd w:val="clear" w:color="auto" w:fill="4495D1"/>
            <w:tcMar>
              <w:top w:w="0" w:type="dxa"/>
              <w:left w:w="53" w:type="dxa"/>
              <w:bottom w:w="0" w:type="dxa"/>
              <w:right w:w="53" w:type="dxa"/>
            </w:tcMar>
            <w:vAlign w:val="center"/>
          </w:tcPr>
          <w:p>
            <w:pPr>
              <w:keepNext/>
              <w:pageBreakBefore w:val="0"/>
              <w:spacing w:before="0" w:after="0" w:line="288" w:lineRule="auto"/>
              <w:ind w:left="180" w:firstLine="810"/>
              <w:jc w:val="left"/>
            </w:pPr>
            <w:r>
              <w:rPr>
                <w:rFonts w:ascii="Arial" w:eastAsia="Arial" w:hAnsi="Arial" w:cs="Arial"/>
                <w:b/>
                <w:i w:val="0"/>
                <w:color w:val="FFFFFF"/>
                <w:sz w:val="16"/>
                <w:u w:val="none"/>
              </w:rPr>
              <w:t xml:space="preserve">Proposal </w:t>
            </w:r>
          </w:p>
        </w:tc>
        <w:tc>
          <w:tcPr>
            <w:tcW w:w="1785" w:type="dxa"/>
            <w:tcBorders>
              <w:top w:val="nil"/>
              <w:left w:val="nil"/>
              <w:bottom w:val="nil"/>
              <w:right w:val="nil"/>
            </w:tcBorders>
            <w:shd w:val="clear" w:color="auto" w:fill="4495D1"/>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i w:val="0"/>
                <w:color w:val="FFFFFF"/>
                <w:sz w:val="16"/>
                <w:u w:val="none"/>
              </w:rPr>
              <w:t>Voting Requirements</w:t>
            </w:r>
          </w:p>
        </w:tc>
        <w:tc>
          <w:tcPr>
            <w:tcW w:w="1305" w:type="dxa"/>
            <w:tcBorders>
              <w:top w:val="nil"/>
              <w:left w:val="nil"/>
              <w:bottom w:val="nil"/>
              <w:right w:val="nil"/>
            </w:tcBorders>
            <w:shd w:val="clear" w:color="auto" w:fill="4495D1"/>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i w:val="0"/>
                <w:color w:val="FFFFFF"/>
                <w:sz w:val="16"/>
                <w:u w:val="none"/>
              </w:rPr>
              <w:t>Effect of Abstentions</w:t>
            </w:r>
          </w:p>
        </w:tc>
        <w:tc>
          <w:tcPr>
            <w:tcW w:w="1305" w:type="dxa"/>
            <w:tcBorders>
              <w:top w:val="nil"/>
              <w:left w:val="nil"/>
              <w:bottom w:val="nil"/>
              <w:right w:val="nil"/>
            </w:tcBorders>
            <w:shd w:val="clear" w:color="auto" w:fill="4495D1"/>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i w:val="0"/>
                <w:color w:val="FFFFFF"/>
                <w:sz w:val="16"/>
                <w:u w:val="none"/>
              </w:rPr>
              <w:t>Broker Discretionary Voting Allowed?</w:t>
            </w:r>
          </w:p>
        </w:tc>
        <w:tc>
          <w:tcPr>
            <w:tcW w:w="1305" w:type="dxa"/>
            <w:tcBorders>
              <w:top w:val="nil"/>
              <w:left w:val="nil"/>
              <w:bottom w:val="nil"/>
              <w:right w:val="nil"/>
            </w:tcBorders>
            <w:shd w:val="clear" w:color="auto" w:fill="4495D1"/>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i w:val="0"/>
                <w:color w:val="FFFFFF"/>
                <w:sz w:val="16"/>
                <w:u w:val="none"/>
              </w:rPr>
              <w:t>Effect of Broker Non-Votes</w:t>
            </w:r>
          </w:p>
        </w:tc>
      </w:tr>
      <w:tr>
        <w:tblPrEx>
          <w:tblW w:w="10260" w:type="dxa"/>
          <w:jc w:val="left"/>
          <w:tblInd w:w="0" w:type="dxa"/>
          <w:tblLayout w:type="fixed"/>
          <w:tblCellMar>
            <w:left w:w="108" w:type="dxa"/>
            <w:right w:w="108" w:type="dxa"/>
          </w:tblCellMar>
        </w:tblPrEx>
        <w:trPr>
          <w:cantSplit/>
          <w:trHeight w:hRule="exact" w:val="1035"/>
          <w:jc w:val="left"/>
        </w:trPr>
        <w:tc>
          <w:tcPr>
            <w:tcW w:w="1005" w:type="dxa"/>
            <w:tcBorders>
              <w:top w:val="nil"/>
              <w:left w:val="nil"/>
              <w:bottom w:val="single" w:sz="4" w:space="0" w:color="929292"/>
              <w:right w:val="nil"/>
            </w:tcBorders>
            <w:tcMar>
              <w:top w:w="0" w:type="dxa"/>
              <w:left w:w="53" w:type="dxa"/>
              <w:bottom w:w="0" w:type="dxa"/>
              <w:right w:w="53" w:type="dxa"/>
            </w:tcMar>
            <w:vAlign w:val="center"/>
          </w:tcPr>
          <w:p>
            <w:pPr>
              <w:keepNext/>
              <w:pageBreakBefore w:val="0"/>
              <w:spacing w:before="0" w:after="0" w:line="288" w:lineRule="auto"/>
              <w:jc w:val="center"/>
            </w:pPr>
            <w:r>
              <w:rPr>
                <w:rFonts w:ascii="Arial" w:eastAsia="Arial" w:hAnsi="Arial" w:cs="Arial"/>
                <w:b/>
                <w:i w:val="0"/>
                <w:color w:val="4494D1"/>
                <w:sz w:val="48"/>
                <w:u w:val="none"/>
              </w:rPr>
              <w:t>1</w:t>
            </w:r>
          </w:p>
        </w:tc>
        <w:tc>
          <w:tcPr>
            <w:tcW w:w="3555" w:type="dxa"/>
            <w:tcBorders>
              <w:top w:val="single" w:sz="4" w:space="0" w:color="929292"/>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i w:val="0"/>
                <w:sz w:val="16"/>
              </w:rPr>
            </w:pPr>
            <w:r>
              <w:rPr>
                <w:rFonts w:ascii="Arial" w:eastAsia="Arial" w:hAnsi="Arial" w:cs="Arial"/>
                <w:b/>
                <w:i w:val="0"/>
                <w:sz w:val="16"/>
              </w:rPr>
              <w:t xml:space="preserve">Election of twelve directors nominated by our Board to hold office until </w:t>
            </w:r>
            <w:r>
              <w:rPr>
                <w:rFonts w:ascii="Arial" w:eastAsia="Arial" w:hAnsi="Arial" w:cs="Arial"/>
                <w:b/>
                <w:i w:val="0"/>
                <w:color w:val="000000"/>
                <w:sz w:val="16"/>
                <w:u w:val="none"/>
              </w:rPr>
              <w:t>2025</w:t>
            </w:r>
          </w:p>
        </w:tc>
        <w:tc>
          <w:tcPr>
            <w:tcW w:w="1785" w:type="dxa"/>
            <w:tcBorders>
              <w:top w:val="nil"/>
              <w:left w:val="nil"/>
              <w:bottom w:val="single" w:sz="4" w:space="0" w:color="929292"/>
              <w:right w:val="nil"/>
            </w:tcBorders>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16"/>
                <w:u w:val="none"/>
              </w:rPr>
              <w:t>Affirmative Vote of Majority of Votes Cast</w:t>
            </w:r>
          </w:p>
        </w:tc>
        <w:tc>
          <w:tcPr>
            <w:tcW w:w="1305" w:type="dxa"/>
            <w:tcBorders>
              <w:top w:val="nil"/>
              <w:left w:val="nil"/>
              <w:bottom w:val="single" w:sz="4" w:space="0" w:color="929292"/>
              <w:right w:val="nil"/>
            </w:tcBorders>
            <w:tcMar>
              <w:top w:w="0" w:type="dxa"/>
              <w:left w:w="53" w:type="dxa"/>
              <w:bottom w:w="0" w:type="dxa"/>
              <w:right w:w="53" w:type="dxa"/>
            </w:tcMar>
            <w:vAlign w:val="center"/>
          </w:tcPr>
          <w:p>
            <w:pPr>
              <w:keepNext/>
              <w:pageBreakBefore w:val="0"/>
              <w:spacing w:before="0" w:after="0" w:line="300" w:lineRule="auto"/>
              <w:jc w:val="left"/>
            </w:pPr>
            <w:r>
              <w:rPr>
                <w:rFonts w:ascii="Arial" w:eastAsia="Arial" w:hAnsi="Arial" w:cs="Arial"/>
                <w:b w:val="0"/>
                <w:i w:val="0"/>
                <w:color w:val="000000"/>
                <w:sz w:val="16"/>
                <w:u w:val="none"/>
              </w:rPr>
              <w:t>No effect on outcome</w:t>
            </w:r>
          </w:p>
        </w:tc>
        <w:tc>
          <w:tcPr>
            <w:tcW w:w="1305" w:type="dxa"/>
            <w:tcBorders>
              <w:top w:val="nil"/>
              <w:left w:val="nil"/>
              <w:bottom w:val="single" w:sz="4" w:space="0" w:color="929292"/>
              <w:right w:val="nil"/>
            </w:tcBorders>
            <w:tcMar>
              <w:top w:w="0" w:type="dxa"/>
              <w:left w:w="53" w:type="dxa"/>
              <w:bottom w:w="0" w:type="dxa"/>
              <w:right w:w="53" w:type="dxa"/>
            </w:tcMar>
            <w:vAlign w:val="center"/>
          </w:tcPr>
          <w:p>
            <w:pPr>
              <w:keepNext/>
              <w:pageBreakBefore w:val="0"/>
              <w:spacing w:before="0" w:after="0" w:line="300" w:lineRule="auto"/>
              <w:jc w:val="left"/>
            </w:pPr>
            <w:r>
              <w:rPr>
                <w:rFonts w:ascii="Arial" w:eastAsia="Arial" w:hAnsi="Arial" w:cs="Arial"/>
                <w:b w:val="0"/>
                <w:i w:val="0"/>
                <w:color w:val="000000"/>
                <w:sz w:val="16"/>
                <w:u w:val="none"/>
              </w:rPr>
              <w:t>No</w:t>
            </w:r>
          </w:p>
        </w:tc>
        <w:tc>
          <w:tcPr>
            <w:tcW w:w="1305" w:type="dxa"/>
            <w:tcBorders>
              <w:top w:val="nil"/>
              <w:left w:val="nil"/>
              <w:bottom w:val="single" w:sz="4" w:space="0" w:color="929292"/>
              <w:right w:val="nil"/>
            </w:tcBorders>
            <w:tcMar>
              <w:top w:w="0" w:type="dxa"/>
              <w:left w:w="53" w:type="dxa"/>
              <w:bottom w:w="0" w:type="dxa"/>
              <w:right w:w="53" w:type="dxa"/>
            </w:tcMar>
            <w:vAlign w:val="center"/>
          </w:tcPr>
          <w:p>
            <w:pPr>
              <w:keepNext/>
              <w:pageBreakBefore w:val="0"/>
              <w:spacing w:before="0" w:after="0" w:line="300" w:lineRule="auto"/>
              <w:jc w:val="left"/>
            </w:pPr>
            <w:r>
              <w:rPr>
                <w:rFonts w:ascii="Arial" w:eastAsia="Arial" w:hAnsi="Arial" w:cs="Arial"/>
                <w:b w:val="0"/>
                <w:i w:val="0"/>
                <w:color w:val="000000"/>
                <w:sz w:val="16"/>
                <w:u w:val="none"/>
              </w:rPr>
              <w:t>No effect on outcome</w:t>
            </w:r>
          </w:p>
        </w:tc>
      </w:tr>
      <w:tr>
        <w:tblPrEx>
          <w:tblW w:w="10260" w:type="dxa"/>
          <w:jc w:val="left"/>
          <w:tblInd w:w="0" w:type="dxa"/>
          <w:tblLayout w:type="fixed"/>
          <w:tblCellMar>
            <w:left w:w="108" w:type="dxa"/>
            <w:right w:w="108" w:type="dxa"/>
          </w:tblCellMar>
        </w:tblPrEx>
        <w:trPr>
          <w:cantSplit/>
          <w:trHeight w:hRule="exact" w:val="975"/>
          <w:jc w:val="left"/>
        </w:trPr>
        <w:tc>
          <w:tcPr>
            <w:tcW w:w="1005" w:type="dxa"/>
            <w:tcBorders>
              <w:top w:val="single" w:sz="4" w:space="0" w:color="929292"/>
              <w:left w:val="nil"/>
              <w:bottom w:val="single" w:sz="4" w:space="0" w:color="929292"/>
              <w:right w:val="nil"/>
            </w:tcBorders>
            <w:tcMar>
              <w:top w:w="0" w:type="dxa"/>
              <w:left w:w="53" w:type="dxa"/>
              <w:bottom w:w="0" w:type="dxa"/>
              <w:right w:w="53" w:type="dxa"/>
            </w:tcMar>
            <w:vAlign w:val="center"/>
          </w:tcPr>
          <w:p>
            <w:pPr>
              <w:keepNext/>
              <w:pageBreakBefore w:val="0"/>
              <w:spacing w:before="0" w:after="0" w:line="288" w:lineRule="auto"/>
              <w:jc w:val="center"/>
            </w:pPr>
            <w:r>
              <w:rPr>
                <w:rFonts w:ascii="Arial" w:eastAsia="Arial" w:hAnsi="Arial" w:cs="Arial"/>
                <w:b/>
                <w:i w:val="0"/>
                <w:color w:val="4494D1"/>
                <w:sz w:val="48"/>
                <w:u w:val="none"/>
              </w:rPr>
              <w:t>2</w:t>
            </w:r>
          </w:p>
        </w:tc>
        <w:tc>
          <w:tcPr>
            <w:tcW w:w="3555" w:type="dxa"/>
            <w:tcBorders>
              <w:top w:val="single" w:sz="4" w:space="0" w:color="929292"/>
              <w:left w:val="nil"/>
              <w:bottom w:val="single" w:sz="4" w:space="0" w:color="929292"/>
              <w:right w:val="nil"/>
            </w:tcBorders>
            <w:tcMar>
              <w:top w:w="0" w:type="dxa"/>
              <w:left w:w="53" w:type="dxa"/>
              <w:bottom w:w="0" w:type="dxa"/>
              <w:right w:w="53" w:type="dxa"/>
            </w:tcMar>
            <w:vAlign w:val="center"/>
          </w:tcPr>
          <w:p>
            <w:pPr>
              <w:keepNext/>
              <w:pageBreakBefore w:val="0"/>
              <w:numPr>
                <w:ilvl w:val="0"/>
                <w:numId w:val="0"/>
              </w:numPr>
              <w:spacing w:before="0" w:after="0" w:line="288" w:lineRule="auto"/>
              <w:ind w:left="0" w:right="0" w:firstLine="0"/>
              <w:jc w:val="left"/>
              <w:outlineLvl w:val="9"/>
              <w:rPr>
                <w:rFonts w:ascii="Arial" w:eastAsia="Arial" w:hAnsi="Arial" w:cs="Arial"/>
                <w:b/>
                <w:i w:val="0"/>
                <w:sz w:val="16"/>
              </w:rPr>
            </w:pPr>
            <w:r>
              <w:rPr>
                <w:rFonts w:ascii="Arial" w:eastAsia="Arial" w:hAnsi="Arial" w:cs="Arial"/>
                <w:b/>
                <w:i w:val="0"/>
                <w:sz w:val="16"/>
              </w:rPr>
              <w:t>Advisory vote to approve executive compensation</w:t>
            </w:r>
          </w:p>
        </w:tc>
        <w:tc>
          <w:tcPr>
            <w:tcW w:w="1785" w:type="dxa"/>
            <w:tcBorders>
              <w:top w:val="single" w:sz="4" w:space="0" w:color="929292"/>
              <w:left w:val="nil"/>
              <w:bottom w:val="single" w:sz="4" w:space="0" w:color="929292"/>
              <w:right w:val="nil"/>
            </w:tcBorders>
            <w:tcMar>
              <w:top w:w="0" w:type="dxa"/>
              <w:left w:w="53" w:type="dxa"/>
              <w:bottom w:w="0" w:type="dxa"/>
              <w:right w:w="53" w:type="dxa"/>
            </w:tcMar>
            <w:vAlign w:val="center"/>
          </w:tcPr>
          <w:p>
            <w:pPr>
              <w:keepNext/>
              <w:pageBreakBefore w:val="0"/>
              <w:spacing w:before="0" w:after="0" w:line="288" w:lineRule="auto"/>
              <w:jc w:val="left"/>
            </w:pPr>
            <w:r>
              <w:rPr>
                <w:rFonts w:ascii="Arial" w:eastAsia="Arial" w:hAnsi="Arial" w:cs="Arial"/>
                <w:b w:val="0"/>
                <w:i w:val="0"/>
                <w:color w:val="000000"/>
                <w:sz w:val="16"/>
                <w:u w:val="none"/>
              </w:rPr>
              <w:t>Affirmative Vote of Majority of Votes Cast (to be approved on an advisory basis)</w:t>
            </w:r>
          </w:p>
        </w:tc>
        <w:tc>
          <w:tcPr>
            <w:tcW w:w="1305" w:type="dxa"/>
            <w:tcBorders>
              <w:top w:val="single" w:sz="4" w:space="0" w:color="929292"/>
              <w:left w:val="nil"/>
              <w:bottom w:val="single" w:sz="4" w:space="0" w:color="929292"/>
              <w:right w:val="nil"/>
            </w:tcBorders>
            <w:tcMar>
              <w:top w:w="0" w:type="dxa"/>
              <w:left w:w="53" w:type="dxa"/>
              <w:bottom w:w="0" w:type="dxa"/>
              <w:right w:w="53" w:type="dxa"/>
            </w:tcMar>
            <w:vAlign w:val="center"/>
          </w:tcPr>
          <w:p>
            <w:pPr>
              <w:keepNext/>
              <w:pageBreakBefore w:val="0"/>
              <w:spacing w:before="0" w:after="0" w:line="300" w:lineRule="auto"/>
              <w:jc w:val="left"/>
            </w:pPr>
            <w:r>
              <w:rPr>
                <w:rFonts w:ascii="Arial" w:eastAsia="Arial" w:hAnsi="Arial" w:cs="Arial"/>
                <w:b w:val="0"/>
                <w:i w:val="0"/>
                <w:color w:val="000000"/>
                <w:sz w:val="16"/>
                <w:u w:val="none"/>
              </w:rPr>
              <w:t>No effect on outcome</w:t>
            </w:r>
          </w:p>
        </w:tc>
        <w:tc>
          <w:tcPr>
            <w:tcW w:w="1305" w:type="dxa"/>
            <w:tcBorders>
              <w:top w:val="single" w:sz="4" w:space="0" w:color="929292"/>
              <w:left w:val="nil"/>
              <w:bottom w:val="single" w:sz="4" w:space="0" w:color="929292"/>
              <w:right w:val="nil"/>
            </w:tcBorders>
            <w:tcMar>
              <w:top w:w="0" w:type="dxa"/>
              <w:left w:w="53" w:type="dxa"/>
              <w:bottom w:w="0" w:type="dxa"/>
              <w:right w:w="53" w:type="dxa"/>
            </w:tcMar>
            <w:vAlign w:val="center"/>
          </w:tcPr>
          <w:p>
            <w:pPr>
              <w:keepNext/>
              <w:pageBreakBefore w:val="0"/>
              <w:spacing w:before="0" w:after="0" w:line="300" w:lineRule="auto"/>
              <w:jc w:val="left"/>
            </w:pPr>
            <w:r>
              <w:rPr>
                <w:rFonts w:ascii="Arial" w:eastAsia="Arial" w:hAnsi="Arial" w:cs="Arial"/>
                <w:b w:val="0"/>
                <w:i w:val="0"/>
                <w:color w:val="000000"/>
                <w:sz w:val="16"/>
                <w:u w:val="none"/>
              </w:rPr>
              <w:t>No</w:t>
            </w:r>
          </w:p>
        </w:tc>
        <w:tc>
          <w:tcPr>
            <w:tcW w:w="1305" w:type="dxa"/>
            <w:tcBorders>
              <w:top w:val="single" w:sz="4" w:space="0" w:color="929292"/>
              <w:left w:val="nil"/>
              <w:bottom w:val="single" w:sz="4" w:space="0" w:color="929292"/>
              <w:right w:val="nil"/>
            </w:tcBorders>
            <w:tcMar>
              <w:top w:w="0" w:type="dxa"/>
              <w:left w:w="53" w:type="dxa"/>
              <w:bottom w:w="0" w:type="dxa"/>
              <w:right w:w="53" w:type="dxa"/>
            </w:tcMar>
            <w:vAlign w:val="center"/>
          </w:tcPr>
          <w:p>
            <w:pPr>
              <w:keepNext/>
              <w:pageBreakBefore w:val="0"/>
              <w:spacing w:before="0" w:after="0" w:line="300" w:lineRule="auto"/>
              <w:jc w:val="left"/>
            </w:pPr>
            <w:r>
              <w:rPr>
                <w:rFonts w:ascii="Arial" w:eastAsia="Arial" w:hAnsi="Arial" w:cs="Arial"/>
                <w:b w:val="0"/>
                <w:i w:val="0"/>
                <w:color w:val="000000"/>
                <w:sz w:val="16"/>
                <w:u w:val="none"/>
              </w:rPr>
              <w:t>No effect on outcome</w:t>
            </w:r>
          </w:p>
        </w:tc>
      </w:tr>
      <w:tr>
        <w:tblPrEx>
          <w:tblW w:w="10260" w:type="dxa"/>
          <w:jc w:val="left"/>
          <w:tblInd w:w="0" w:type="dxa"/>
          <w:tblLayout w:type="fixed"/>
          <w:tblCellMar>
            <w:left w:w="108" w:type="dxa"/>
            <w:right w:w="108" w:type="dxa"/>
          </w:tblCellMar>
        </w:tblPrEx>
        <w:trPr>
          <w:cantSplit/>
          <w:trHeight w:hRule="exact" w:val="1515"/>
          <w:jc w:val="left"/>
        </w:trPr>
        <w:tc>
          <w:tcPr>
            <w:tcW w:w="1005" w:type="dxa"/>
            <w:tcBorders>
              <w:top w:val="single" w:sz="4" w:space="0" w:color="929292"/>
              <w:left w:val="nil"/>
              <w:bottom w:val="single" w:sz="12" w:space="0" w:color="4494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4D1"/>
                <w:sz w:val="48"/>
                <w:u w:val="none"/>
              </w:rPr>
              <w:t>3</w:t>
            </w:r>
          </w:p>
        </w:tc>
        <w:tc>
          <w:tcPr>
            <w:tcW w:w="3555" w:type="dxa"/>
            <w:tcBorders>
              <w:top w:val="single" w:sz="4" w:space="0" w:color="929292"/>
              <w:left w:val="nil"/>
              <w:bottom w:val="single" w:sz="12" w:space="0" w:color="4494D1"/>
              <w:right w:val="nil"/>
            </w:tcBorders>
            <w:tcMar>
              <w:top w:w="0" w:type="dxa"/>
              <w:left w:w="53" w:type="dxa"/>
              <w:bottom w:w="0" w:type="dxa"/>
              <w:right w:w="53" w:type="dxa"/>
            </w:tcMar>
            <w:vAlign w:val="center"/>
          </w:tcPr>
          <w:p>
            <w:pPr>
              <w:pageBreakBefore w:val="0"/>
              <w:numPr>
                <w:ilvl w:val="0"/>
                <w:numId w:val="0"/>
              </w:numPr>
              <w:spacing w:before="0" w:after="0" w:line="288" w:lineRule="auto"/>
              <w:ind w:left="0" w:right="90" w:firstLine="0"/>
              <w:jc w:val="left"/>
              <w:outlineLvl w:val="9"/>
              <w:rPr>
                <w:rFonts w:ascii="Arial" w:eastAsia="Arial" w:hAnsi="Arial" w:cs="Arial"/>
                <w:b/>
                <w:i w:val="0"/>
                <w:sz w:val="16"/>
              </w:rPr>
            </w:pPr>
            <w:r>
              <w:rPr>
                <w:rFonts w:ascii="Arial" w:eastAsia="Arial" w:hAnsi="Arial" w:cs="Arial"/>
                <w:b/>
                <w:i w:val="0"/>
                <w:sz w:val="16"/>
              </w:rPr>
              <w:t xml:space="preserve">Ratification of the appointment of PricewaterhouseCoopers LLP as our independent registered public accounting firm for </w:t>
            </w:r>
            <w:r>
              <w:rPr>
                <w:rFonts w:ascii="Arial" w:eastAsia="Arial" w:hAnsi="Arial" w:cs="Arial"/>
                <w:b/>
                <w:i w:val="0"/>
                <w:color w:val="000000"/>
                <w:sz w:val="16"/>
                <w:u w:val="none"/>
              </w:rPr>
              <w:t>2024</w:t>
            </w:r>
            <w:r>
              <w:rPr>
                <w:rFonts w:ascii="Arial" w:eastAsia="Arial" w:hAnsi="Arial" w:cs="Arial"/>
                <w:b/>
                <w:i w:val="0"/>
                <w:sz w:val="16"/>
              </w:rPr>
              <w:t xml:space="preserve"> and authorization for the Board, acting through the Audit Committee, to approve the fees for the independent registered public accounting firm</w:t>
            </w:r>
          </w:p>
        </w:tc>
        <w:tc>
          <w:tcPr>
            <w:tcW w:w="1785" w:type="dxa"/>
            <w:tcBorders>
              <w:top w:val="single" w:sz="4" w:space="0" w:color="929292"/>
              <w:left w:val="nil"/>
              <w:bottom w:val="single" w:sz="12" w:space="0" w:color="4494D1"/>
              <w:right w:val="nil"/>
            </w:tcBorders>
            <w:tcMar>
              <w:top w:w="0" w:type="dxa"/>
              <w:left w:w="53" w:type="dxa"/>
              <w:bottom w:w="0" w:type="dxa"/>
              <w:right w:w="53" w:type="dxa"/>
            </w:tcMar>
            <w:vAlign w:val="center"/>
          </w:tcPr>
          <w:p>
            <w:pPr>
              <w:pageBreakBefore w:val="0"/>
              <w:spacing w:before="0" w:after="0" w:line="288" w:lineRule="auto"/>
              <w:jc w:val="left"/>
            </w:pPr>
            <w:r>
              <w:rPr>
                <w:rFonts w:ascii="Arial" w:eastAsia="Arial" w:hAnsi="Arial" w:cs="Arial"/>
                <w:b w:val="0"/>
                <w:i w:val="0"/>
                <w:color w:val="000000"/>
                <w:sz w:val="16"/>
                <w:u w:val="none"/>
              </w:rPr>
              <w:t>Affirmative Vote of Majority of Votes Cast</w:t>
            </w:r>
          </w:p>
        </w:tc>
        <w:tc>
          <w:tcPr>
            <w:tcW w:w="1305" w:type="dxa"/>
            <w:tcBorders>
              <w:top w:val="single" w:sz="4" w:space="0" w:color="929292"/>
              <w:left w:val="nil"/>
              <w:bottom w:val="single" w:sz="12" w:space="0" w:color="4494D1"/>
              <w:right w:val="nil"/>
            </w:tcBorders>
            <w:tcMar>
              <w:top w:w="0" w:type="dxa"/>
              <w:left w:w="53" w:type="dxa"/>
              <w:bottom w:w="0" w:type="dxa"/>
              <w:right w:w="53" w:type="dxa"/>
            </w:tcMar>
            <w:vAlign w:val="center"/>
          </w:tcPr>
          <w:p>
            <w:pPr>
              <w:pageBreakBefore w:val="0"/>
              <w:spacing w:before="0" w:after="0" w:line="300" w:lineRule="auto"/>
              <w:jc w:val="left"/>
            </w:pPr>
            <w:r>
              <w:rPr>
                <w:rFonts w:ascii="Arial" w:eastAsia="Arial" w:hAnsi="Arial" w:cs="Arial"/>
                <w:b w:val="0"/>
                <w:i w:val="0"/>
                <w:color w:val="000000"/>
                <w:sz w:val="16"/>
                <w:u w:val="none"/>
              </w:rPr>
              <w:t>No effect on outcome</w:t>
            </w:r>
          </w:p>
        </w:tc>
        <w:tc>
          <w:tcPr>
            <w:tcW w:w="1305" w:type="dxa"/>
            <w:tcBorders>
              <w:top w:val="single" w:sz="4" w:space="0" w:color="929292"/>
              <w:left w:val="nil"/>
              <w:bottom w:val="single" w:sz="12" w:space="0" w:color="4494D1"/>
              <w:right w:val="nil"/>
            </w:tcBorders>
            <w:tcMar>
              <w:top w:w="0" w:type="dxa"/>
              <w:left w:w="53" w:type="dxa"/>
              <w:bottom w:w="0" w:type="dxa"/>
              <w:right w:w="53" w:type="dxa"/>
            </w:tcMar>
            <w:vAlign w:val="center"/>
          </w:tcPr>
          <w:p>
            <w:pPr>
              <w:pageBreakBefore w:val="0"/>
              <w:spacing w:before="0" w:after="0" w:line="300" w:lineRule="auto"/>
              <w:jc w:val="left"/>
            </w:pPr>
            <w:r>
              <w:rPr>
                <w:rFonts w:ascii="Arial" w:eastAsia="Arial" w:hAnsi="Arial" w:cs="Arial"/>
                <w:b w:val="0"/>
                <w:i w:val="0"/>
                <w:color w:val="000000"/>
                <w:sz w:val="16"/>
                <w:u w:val="none"/>
              </w:rPr>
              <w:t>Yes</w:t>
            </w:r>
          </w:p>
        </w:tc>
        <w:tc>
          <w:tcPr>
            <w:tcW w:w="1305" w:type="dxa"/>
            <w:tcBorders>
              <w:top w:val="single" w:sz="4" w:space="0" w:color="929292"/>
              <w:left w:val="nil"/>
              <w:bottom w:val="single" w:sz="12" w:space="0" w:color="4494D1"/>
              <w:right w:val="nil"/>
            </w:tcBorders>
            <w:tcMar>
              <w:top w:w="0" w:type="dxa"/>
              <w:left w:w="53" w:type="dxa"/>
              <w:bottom w:w="0" w:type="dxa"/>
              <w:right w:w="53" w:type="dxa"/>
            </w:tcMar>
            <w:vAlign w:val="center"/>
          </w:tcPr>
          <w:p>
            <w:pPr>
              <w:pageBreakBefore w:val="0"/>
              <w:spacing w:before="0" w:after="0" w:line="300" w:lineRule="auto"/>
              <w:jc w:val="left"/>
            </w:pPr>
            <w:r>
              <w:rPr>
                <w:rFonts w:ascii="Arial" w:eastAsia="Arial" w:hAnsi="Arial" w:cs="Arial"/>
                <w:b w:val="0"/>
                <w:i w:val="0"/>
                <w:color w:val="000000"/>
                <w:sz w:val="16"/>
                <w:u w:val="none"/>
              </w:rPr>
              <w:t>Not applicable</w:t>
            </w:r>
          </w:p>
        </w:tc>
      </w:tr>
    </w:tbl>
    <w:p>
      <w:pPr>
        <w:keepNext w:val="0"/>
        <w:keepLines w:val="0"/>
        <w:pageBreakBefore w:val="0"/>
        <w:widowControl/>
        <w:numPr>
          <w:ilvl w:val="0"/>
          <w:numId w:val="0"/>
        </w:numPr>
        <w:spacing w:before="6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Each of the proposals to be voted on at the meeting is adopted by a majority of votes cast (as indicated in the table above), which means that a proposal must receive more votes "for" than votes "against" to be adopted. For the director election in Proposal 1, each nominee must receive more votes "for" than votes "against" to have a seat on the Board. Abstentions and broker non-votes are not considered votes for the purposes of any of the above listed proposals, and therefore have no effect on the election of the director nominees or the adoption of any of the other proposals.</w:t>
      </w:r>
    </w:p>
    <w:p>
      <w:pPr>
        <w:keepNext w:val="0"/>
        <w:keepLines w:val="0"/>
        <w:pageBreakBefore w:val="0"/>
        <w:widowControl/>
        <w:numPr>
          <w:ilvl w:val="0"/>
          <w:numId w:val="0"/>
        </w:numPr>
        <w:spacing w:before="60" w:after="120" w:line="300" w:lineRule="auto"/>
        <w:ind w:left="0" w:right="0" w:firstLine="0"/>
        <w:jc w:val="both"/>
        <w:outlineLvl w:val="9"/>
        <w:rPr>
          <w:rFonts w:ascii="Arial" w:eastAsia="Arial" w:hAnsi="Arial" w:cs="Arial"/>
          <w:b w:val="0"/>
          <w:i w:val="0"/>
          <w:sz w:val="20"/>
        </w:rPr>
        <w:sectPr>
          <w:headerReference w:type="default" r:id="rId406"/>
          <w:footerReference w:type="default" r:id="rId407"/>
          <w:type w:val="continuous"/>
          <w:pgSz w:w="12240" w:h="15840"/>
          <w:pgMar w:top="855" w:right="990" w:bottom="855" w:left="990" w:header="180" w:footer="270"/>
          <w:cols w:space="708"/>
        </w:sectPr>
      </w:pPr>
    </w:p>
    <w:p>
      <w:pPr>
        <w:keepNext/>
        <w:keepLines/>
        <w:pageBreakBefore w:val="0"/>
        <w:widowControl w:val="0"/>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162" w:name="Section165"/>
      <w:bookmarkEnd w:id="162"/>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20.  Can I change my vote after I have voted?</w:t>
      </w:r>
    </w:p>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You may revoke your proxy and change your vote at any time before the final vote at the Annual General Meeting. You may vote again on a later date (before the Annual General Meeting) via the internet or by telephone (in which case only your latest internet or telephone proxy submitted prior to 11:59 p.m. Eastern time on </w:t>
      </w:r>
      <w:r>
        <w:rPr>
          <w:rFonts w:ascii="Arial" w:eastAsia="Arial" w:hAnsi="Arial" w:cs="Arial"/>
          <w:b w:val="0"/>
          <w:i w:val="0"/>
          <w:color w:val="000000"/>
          <w:sz w:val="20"/>
          <w:u w:val="none"/>
        </w:rPr>
        <w:t>June 5, 2024</w:t>
      </w:r>
      <w:r>
        <w:rPr>
          <w:rFonts w:ascii="Arial" w:eastAsia="Arial" w:hAnsi="Arial" w:cs="Arial"/>
          <w:b w:val="0"/>
          <w:i w:val="0"/>
          <w:sz w:val="20"/>
        </w:rPr>
        <w:t xml:space="preserve"> will be counted), by filling out and returning a new proxy card bearing a later date, or by attending the Annual General Meeting and voting during the webcast. However, your attendance at the Annual General Meeting will not automatically revoke your proxy unless you vote again at the Annual General Meeting or specifically request that your prior proxy be revoked by delivering a written notice of revocation prior to the Annual General Meeting to our Corporate Secretary at the mailing address of our principal executive office: </w:t>
      </w:r>
      <w:r>
        <w:rPr>
          <w:rFonts w:ascii="Arial" w:eastAsia="Arial" w:hAnsi="Arial" w:cs="Arial"/>
          <w:b w:val="0"/>
          <w:i w:val="0"/>
          <w:color w:val="000000"/>
          <w:sz w:val="20"/>
          <w:u w:val="none"/>
        </w:rPr>
        <w:t>Enstar Group Limited, P.O. Box HM 2267, A.S. Cooper Building, 4th Floor, 26 Reid Street, Hamilton, HM 11, Bermuda</w:t>
      </w:r>
      <w:r>
        <w:rPr>
          <w:rFonts w:ascii="Arial" w:eastAsia="Arial" w:hAnsi="Arial" w:cs="Arial"/>
          <w:b w:val="0"/>
          <w:i w:val="0"/>
          <w:sz w:val="20"/>
        </w:rPr>
        <w:t>.</w:t>
      </w:r>
    </w:p>
    <w:p>
      <w:pPr>
        <w:keepNext/>
        <w:keepLines/>
        <w:pageBreakBefore w:val="0"/>
        <w:widowControl w:val="0"/>
        <w:numPr>
          <w:ilvl w:val="0"/>
          <w:numId w:val="0"/>
        </w:numPr>
        <w:spacing w:before="0" w:after="120" w:line="300" w:lineRule="auto"/>
        <w:ind w:left="0" w:right="0" w:firstLine="0"/>
        <w:jc w:val="both"/>
        <w:outlineLvl w:val="9"/>
        <w:sectPr>
          <w:headerReference w:type="default" r:id="rId408"/>
          <w:footerReference w:type="default" r:id="rId409"/>
          <w:type w:val="continuous"/>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163" w:name="Section166"/>
      <w:bookmarkEnd w:id="163"/>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21.  Who is paying for the cost of this proxy solicitation?</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We will bear the cost of preparing and soliciting proxies, including the reasonable charges and expenses of brokerage firms or other nominees for forwarding proxy materials to the beneficial owners of our ordinary shares. In addition to solicitation by mail, certain of our directors, officers and employees may solicit proxies personally or by telephone or other electronic means without extra compensation, other than reimbursement for actual expenses incurred in connection with the solicitation.</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410"/>
          <w:footerReference w:type="default" r:id="rId411"/>
          <w:type w:val="continuous"/>
          <w:pgSz w:w="12240" w:h="15840"/>
          <w:pgMar w:top="855" w:right="990" w:bottom="855" w:left="990" w:header="180" w:footer="270"/>
          <w:cols w:space="708"/>
        </w:sectPr>
      </w:pPr>
    </w:p>
    <w:p>
      <w:pPr>
        <w:keepNext/>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color w:val="171449"/>
          <w:sz w:val="24"/>
          <w:u w:val="none"/>
        </w:rPr>
      </w:pPr>
      <w:bookmarkStart w:id="164" w:name="Section167"/>
      <w:bookmarkEnd w:id="164"/>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22.  Where can I receive more information about the Company?</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We file reports and other information with the SEC. This information is available on the Company’s website at </w:t>
      </w:r>
      <w:r>
        <w:rPr>
          <w:rFonts w:ascii="Arial" w:eastAsia="Arial" w:hAnsi="Arial" w:cs="Arial"/>
          <w:b w:val="0"/>
          <w:i/>
          <w:color w:val="4495D1"/>
          <w:sz w:val="18"/>
          <w:u w:val="none"/>
        </w:rPr>
        <w:t>https://investor.enstargroup.com/sec-filings</w:t>
      </w:r>
      <w:r>
        <w:rPr>
          <w:rFonts w:ascii="Arial" w:eastAsia="Arial" w:hAnsi="Arial" w:cs="Arial"/>
          <w:b w:val="0"/>
          <w:i w:val="0"/>
          <w:sz w:val="20"/>
        </w:rPr>
        <w:t xml:space="preserve"> and at the internet site maintained by the SEC at </w:t>
      </w:r>
      <w:r>
        <w:rPr>
          <w:rFonts w:ascii="Arial" w:eastAsia="Arial" w:hAnsi="Arial" w:cs="Arial"/>
          <w:b w:val="0"/>
          <w:i/>
          <w:color w:val="4495D1"/>
          <w:sz w:val="18"/>
          <w:u w:val="none"/>
        </w:rPr>
        <w:t>https://www.sec.gov</w:t>
      </w:r>
      <w:r>
        <w:rPr>
          <w:rFonts w:ascii="Arial" w:eastAsia="Arial" w:hAnsi="Arial" w:cs="Arial"/>
          <w:b w:val="0"/>
          <w:i w:val="0"/>
          <w:sz w:val="20"/>
        </w:rPr>
        <w:t xml:space="preserve">. You may also contact the SEC at 1-800-SEC-0330. The charters of our Audit; Human Resources and Compensation; Nominating and Governance; Risk; Investment; and Executive Committees, as well as the Company’s Corporate Governance Guidelines, Code of Conduct, Insider Trading Policy, Share Ownership Guidelines, and Board of Directors Diversity Policy are available on the corporate governance page of our website at </w:t>
      </w:r>
      <w:r>
        <w:rPr>
          <w:rFonts w:ascii="Arial" w:eastAsia="Arial" w:hAnsi="Arial" w:cs="Arial"/>
          <w:b w:val="0"/>
          <w:i/>
          <w:color w:val="4495D1"/>
          <w:sz w:val="18"/>
          <w:u w:val="none"/>
        </w:rPr>
        <w:t>https://www.enstargroup.com/corporate-governance</w:t>
      </w:r>
      <w:r>
        <w:rPr>
          <w:rFonts w:ascii="Arial" w:eastAsia="Arial" w:hAnsi="Arial" w:cs="Arial"/>
          <w:b w:val="0"/>
          <w:i w:val="0"/>
          <w:sz w:val="20"/>
        </w:rPr>
        <w:t>.</w:t>
      </w:r>
    </w:p>
    <w:p>
      <w:pPr>
        <w:keepNext w:val="0"/>
        <w:keepLines w:val="0"/>
        <w:pageBreakBefore w:val="0"/>
        <w:widowControl/>
        <w:numPr>
          <w:ilvl w:val="0"/>
          <w:numId w:val="0"/>
        </w:numPr>
        <w:spacing w:before="0" w:after="100" w:line="288" w:lineRule="auto"/>
        <w:ind w:left="0" w:right="0" w:firstLine="0"/>
        <w:jc w:val="both"/>
        <w:outlineLvl w:val="9"/>
        <w:rPr>
          <w:rFonts w:ascii="Arial" w:eastAsia="Arial" w:hAnsi="Arial" w:cs="Arial"/>
          <w:b/>
          <w:i w:val="0"/>
          <w:color w:val="4495D1"/>
          <w:sz w:val="20"/>
          <w:u w:val="none"/>
        </w:rPr>
      </w:pPr>
      <w:r>
        <w:rPr>
          <w:rFonts w:ascii="Arial" w:eastAsia="Arial" w:hAnsi="Arial" w:cs="Arial"/>
          <w:b/>
          <w:i w:val="0"/>
          <w:color w:val="4495D1"/>
          <w:sz w:val="20"/>
          <w:u w:val="none"/>
        </w:rPr>
        <w:t>We will furnish, without charge to any shareholder, a copy of any exhibit to our Annual Report on Form 10-K for the year ended December 31, 202</w:t>
      </w:r>
      <w:r>
        <w:rPr>
          <w:rFonts w:ascii="Arial" w:eastAsia="Arial" w:hAnsi="Arial" w:cs="Arial"/>
          <w:b/>
          <w:i w:val="0"/>
          <w:color w:val="4495D1"/>
          <w:sz w:val="20"/>
          <w:u w:val="none"/>
        </w:rPr>
        <w:t>3</w:t>
      </w:r>
      <w:r>
        <w:rPr>
          <w:rFonts w:ascii="Arial" w:eastAsia="Arial" w:hAnsi="Arial" w:cs="Arial"/>
          <w:b/>
          <w:i w:val="0"/>
          <w:color w:val="4495D1"/>
          <w:sz w:val="20"/>
          <w:u w:val="none"/>
        </w:rPr>
        <w:t xml:space="preserve"> upon written request to Investo</w:t>
      </w:r>
      <w:r>
        <w:rPr>
          <w:rFonts w:ascii="Arial" w:eastAsia="Arial" w:hAnsi="Arial" w:cs="Arial"/>
          <w:b/>
          <w:i w:val="0"/>
          <w:color w:val="4495D1"/>
          <w:sz w:val="20"/>
          <w:u w:val="none"/>
        </w:rPr>
        <w:t xml:space="preserve">r Relations, c/o </w:t>
      </w:r>
      <w:r>
        <w:rPr>
          <w:rFonts w:ascii="Arial" w:eastAsia="Arial" w:hAnsi="Arial" w:cs="Arial"/>
          <w:b/>
          <w:i w:val="0"/>
          <w:color w:val="4495D1"/>
          <w:sz w:val="20"/>
          <w:u w:val="none"/>
        </w:rPr>
        <w:t>Enstar Group Limited, P.O. Box HM 2267, A.S. Cooper Building, 4th Floor, 26 Reid Street, Hamilton, HM 11, Bermuda</w:t>
      </w:r>
      <w:r>
        <w:rPr>
          <w:rFonts w:ascii="Arial" w:eastAsia="Arial" w:hAnsi="Arial" w:cs="Arial"/>
          <w:b/>
          <w:i w:val="0"/>
          <w:color w:val="4495D1"/>
          <w:sz w:val="20"/>
          <w:u w:val="none"/>
        </w:rPr>
        <w:t>.</w:t>
      </w:r>
    </w:p>
    <w:p>
      <w:pPr>
        <w:keepNext w:val="0"/>
        <w:keepLines w:val="0"/>
        <w:pageBreakBefore w:val="0"/>
        <w:widowControl/>
        <w:numPr>
          <w:ilvl w:val="0"/>
          <w:numId w:val="0"/>
        </w:numPr>
        <w:spacing w:before="0" w:after="0" w:line="288" w:lineRule="auto"/>
        <w:ind w:left="0" w:right="0" w:firstLine="0"/>
        <w:jc w:val="both"/>
        <w:outlineLvl w:val="9"/>
        <w:sectPr>
          <w:headerReference w:type="default" r:id="rId412"/>
          <w:footerReference w:type="default" r:id="rId413"/>
          <w:type w:val="continuous"/>
          <w:pgSz w:w="12240" w:h="15840"/>
          <w:pgMar w:top="855" w:right="990" w:bottom="855" w:left="990" w:header="180" w:footer="270"/>
          <w:cols w:space="708"/>
        </w:sectPr>
      </w:pPr>
    </w:p>
    <w:p>
      <w:pPr>
        <w:keepNext/>
        <w:keepLines/>
        <w:pageBreakBefore w:val="0"/>
        <w:widowControl w:val="0"/>
        <w:numPr>
          <w:ilvl w:val="0"/>
          <w:numId w:val="0"/>
        </w:numPr>
        <w:spacing w:before="100" w:after="60" w:line="288" w:lineRule="auto"/>
        <w:ind w:left="0" w:right="0" w:firstLine="0"/>
        <w:jc w:val="left"/>
        <w:outlineLvl w:val="9"/>
        <w:rPr>
          <w:rFonts w:ascii="Arial" w:eastAsia="Arial" w:hAnsi="Arial" w:cs="Arial"/>
          <w:b/>
          <w:i w:val="0"/>
          <w:color w:val="171449"/>
          <w:sz w:val="24"/>
          <w:u w:val="none"/>
        </w:rPr>
      </w:pPr>
      <w:bookmarkStart w:id="165" w:name="Section168"/>
      <w:bookmarkEnd w:id="165"/>
    </w:p>
    <w:p>
      <w:pPr>
        <w:keepNext w:val="0"/>
        <w:keepLines w:val="0"/>
        <w:pageBreakBefore w:val="0"/>
        <w:widowControl/>
        <w:numPr>
          <w:ilvl w:val="0"/>
          <w:numId w:val="0"/>
        </w:numPr>
        <w:spacing w:before="0" w:after="60" w:line="288" w:lineRule="auto"/>
        <w:ind w:left="0" w:right="0" w:firstLine="0"/>
        <w:jc w:val="left"/>
        <w:outlineLvl w:val="1"/>
        <w:rPr>
          <w:rFonts w:ascii="Arial" w:eastAsia="Arial" w:hAnsi="Arial" w:cs="Arial"/>
          <w:b/>
          <w:i w:val="0"/>
          <w:color w:val="171449"/>
          <w:sz w:val="24"/>
          <w:u w:val="none"/>
        </w:rPr>
      </w:pPr>
      <w:r>
        <w:rPr>
          <w:rFonts w:ascii="Arial" w:eastAsia="Arial" w:hAnsi="Arial" w:cs="Arial"/>
          <w:b/>
          <w:i w:val="0"/>
          <w:color w:val="171449"/>
          <w:sz w:val="24"/>
          <w:u w:val="none"/>
        </w:rPr>
        <w:t>23.  How do I submit a shareholder proposal for the</w:t>
      </w:r>
      <w:r>
        <w:rPr>
          <w:rFonts w:ascii="Arial" w:eastAsia="Arial" w:hAnsi="Arial" w:cs="Arial"/>
          <w:b/>
          <w:i w:val="0"/>
          <w:color w:val="171449"/>
          <w:sz w:val="24"/>
          <w:u w:val="none"/>
        </w:rPr>
        <w:t xml:space="preserve"> </w:t>
      </w:r>
      <w:r>
        <w:rPr>
          <w:rFonts w:ascii="Arial" w:eastAsia="Arial" w:hAnsi="Arial" w:cs="Arial"/>
          <w:b/>
          <w:i w:val="0"/>
          <w:color w:val="171449"/>
          <w:sz w:val="24"/>
          <w:u w:val="none"/>
        </w:rPr>
        <w:t>2025</w:t>
      </w:r>
      <w:r>
        <w:rPr>
          <w:rFonts w:ascii="Arial" w:eastAsia="Arial" w:hAnsi="Arial" w:cs="Arial"/>
          <w:b/>
          <w:i w:val="0"/>
          <w:color w:val="171449"/>
          <w:sz w:val="24"/>
          <w:u w:val="none"/>
        </w:rPr>
        <w:t xml:space="preserve"> Annual General Meeting?</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Shareholder proposals intended for inclusion in the proxy statement for the </w:t>
      </w:r>
      <w:r>
        <w:rPr>
          <w:rFonts w:ascii="Arial" w:eastAsia="Arial" w:hAnsi="Arial" w:cs="Arial"/>
          <w:b w:val="0"/>
          <w:i w:val="0"/>
          <w:color w:val="000000"/>
          <w:sz w:val="20"/>
          <w:u w:val="none"/>
        </w:rPr>
        <w:t>2025</w:t>
      </w:r>
      <w:r>
        <w:rPr>
          <w:rFonts w:ascii="Arial" w:eastAsia="Arial" w:hAnsi="Arial" w:cs="Arial"/>
          <w:b w:val="0"/>
          <w:i w:val="0"/>
          <w:sz w:val="20"/>
        </w:rPr>
        <w:t xml:space="preserve"> annual general meeting of shareholders pursuant to Rule 14a-8 under the Exchange Act should be sent to our Corporate Se</w:t>
      </w:r>
      <w:r>
        <w:rPr>
          <w:rFonts w:ascii="Arial" w:eastAsia="Arial" w:hAnsi="Arial" w:cs="Arial"/>
          <w:b w:val="0"/>
          <w:i w:val="0"/>
          <w:sz w:val="20"/>
        </w:rPr>
        <w:t xml:space="preserve">cretary at </w:t>
      </w:r>
      <w:r>
        <w:rPr>
          <w:rFonts w:ascii="Arial" w:eastAsia="Arial" w:hAnsi="Arial" w:cs="Arial"/>
          <w:b w:val="0"/>
          <w:i w:val="0"/>
          <w:color w:val="000000"/>
          <w:sz w:val="20"/>
          <w:u w:val="none"/>
        </w:rPr>
        <w:t>Enstar Group Limited, P.O. Box HM 2267, A.S. Cooper Building, 4th Floor, 26 Reid Street, Hamilton, HM 11, Bermuda</w:t>
      </w:r>
      <w:r>
        <w:rPr>
          <w:rFonts w:ascii="Arial" w:eastAsia="Arial" w:hAnsi="Arial" w:cs="Arial"/>
          <w:b w:val="0"/>
          <w:i w:val="0"/>
          <w:sz w:val="20"/>
        </w:rPr>
        <w:t xml:space="preserve"> </w:t>
      </w:r>
      <w:r>
        <w:rPr>
          <w:rFonts w:ascii="Arial" w:eastAsia="Arial" w:hAnsi="Arial" w:cs="Arial"/>
          <w:b w:val="0"/>
          <w:i w:val="0"/>
          <w:sz w:val="20"/>
        </w:rPr>
        <w:t xml:space="preserve">and must be received by </w:t>
      </w:r>
      <w:r>
        <w:rPr>
          <w:rFonts w:ascii="Arial" w:eastAsia="Arial" w:hAnsi="Arial" w:cs="Arial"/>
          <w:b w:val="0"/>
          <w:i w:val="0"/>
          <w:color w:val="000000"/>
          <w:sz w:val="20"/>
          <w:u w:val="none"/>
        </w:rPr>
        <w:t>December 27, 2024</w:t>
      </w:r>
      <w:r>
        <w:rPr>
          <w:rFonts w:ascii="Arial" w:eastAsia="Arial" w:hAnsi="Arial" w:cs="Arial"/>
          <w:b w:val="0"/>
          <w:i w:val="0"/>
          <w:sz w:val="20"/>
        </w:rPr>
        <w:t xml:space="preserve"> and otherwise comply with the requirements of Rule 14a-8 in order to be considered for inclusion in the </w:t>
      </w:r>
      <w:r>
        <w:rPr>
          <w:rFonts w:ascii="Arial" w:eastAsia="Arial" w:hAnsi="Arial" w:cs="Arial"/>
          <w:b w:val="0"/>
          <w:i w:val="0"/>
          <w:color w:val="000000"/>
          <w:sz w:val="20"/>
          <w:u w:val="none"/>
        </w:rPr>
        <w:t>2025</w:t>
      </w:r>
      <w:r>
        <w:rPr>
          <w:rFonts w:ascii="Arial" w:eastAsia="Arial" w:hAnsi="Arial" w:cs="Arial"/>
          <w:b w:val="0"/>
          <w:i w:val="0"/>
          <w:sz w:val="20"/>
        </w:rPr>
        <w:t xml:space="preserve"> proxy materials. If the date of next year’s annual general meeting is moved more than 30 days before or after the anniversary date of this year’s annual general meeting, the deadline for inclusion of proposals in our proxy materials is instead a reasonable time before we begin to print and mail our proxy materials. If the </w:t>
      </w:r>
      <w:r>
        <w:rPr>
          <w:rFonts w:ascii="Arial" w:eastAsia="Arial" w:hAnsi="Arial" w:cs="Arial"/>
          <w:b w:val="0"/>
          <w:i w:val="0"/>
          <w:color w:val="000000"/>
          <w:sz w:val="20"/>
          <w:u w:val="none"/>
        </w:rPr>
        <w:t>December 27, 2024</w:t>
      </w:r>
      <w:r>
        <w:rPr>
          <w:rFonts w:ascii="Arial" w:eastAsia="Arial" w:hAnsi="Arial" w:cs="Arial"/>
          <w:b w:val="0"/>
          <w:i w:val="0"/>
          <w:sz w:val="20"/>
        </w:rPr>
        <w:t xml:space="preserve"> deadline is missed, a shareholder proposal may still be submitted for consideration at the </w:t>
      </w:r>
      <w:r>
        <w:rPr>
          <w:rFonts w:ascii="Arial" w:eastAsia="Arial" w:hAnsi="Arial" w:cs="Arial"/>
          <w:b w:val="0"/>
          <w:i w:val="0"/>
          <w:color w:val="000000"/>
          <w:sz w:val="20"/>
          <w:u w:val="none"/>
        </w:rPr>
        <w:t>2025</w:t>
      </w:r>
      <w:r>
        <w:rPr>
          <w:rFonts w:ascii="Arial" w:eastAsia="Arial" w:hAnsi="Arial" w:cs="Arial"/>
          <w:b w:val="0"/>
          <w:i w:val="0"/>
          <w:sz w:val="20"/>
        </w:rPr>
        <w:t xml:space="preserve"> annual general meeting of shareholders if it is received no later than </w:t>
      </w:r>
      <w:r>
        <w:rPr>
          <w:rFonts w:ascii="Arial" w:eastAsia="Arial" w:hAnsi="Arial" w:cs="Arial"/>
          <w:b w:val="0"/>
          <w:i w:val="0"/>
          <w:color w:val="000000"/>
          <w:sz w:val="20"/>
          <w:u w:val="none"/>
        </w:rPr>
        <w:t>March 12, 2025</w:t>
      </w:r>
      <w:r>
        <w:rPr>
          <w:rFonts w:ascii="Arial" w:eastAsia="Arial" w:hAnsi="Arial" w:cs="Arial"/>
          <w:b w:val="0"/>
          <w:i w:val="0"/>
          <w:sz w:val="20"/>
        </w:rPr>
        <w:t xml:space="preserve">, although it will not be included in the proxy statement. If a shareholder’s proposal is not timely received, then the proxies designated by our Board for the </w:t>
      </w:r>
      <w:r>
        <w:rPr>
          <w:rFonts w:ascii="Arial" w:eastAsia="Arial" w:hAnsi="Arial" w:cs="Arial"/>
          <w:b w:val="0"/>
          <w:i w:val="0"/>
          <w:color w:val="000000"/>
          <w:sz w:val="20"/>
          <w:u w:val="none"/>
        </w:rPr>
        <w:t>2025</w:t>
      </w:r>
      <w:r>
        <w:rPr>
          <w:rFonts w:ascii="Arial" w:eastAsia="Arial" w:hAnsi="Arial" w:cs="Arial"/>
          <w:b w:val="0"/>
          <w:i w:val="0"/>
          <w:sz w:val="20"/>
        </w:rPr>
        <w:t xml:space="preserve"> annual general meeting of shareholders may vote in their discretion on any such proposal the ordinary shares for which they have been appointed proxies without mention of such matter in the proxy materials for such meeting.</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In addition to satisfying the foregoing requirements, to comply with the universal proxy rules, shareholders who intend to solicit proxies in support of director nominees other than the Company’s director nominees must provide notice that sets forth the information required by Rule 14a-19 under the Exchange Act no later than </w:t>
      </w:r>
      <w:r>
        <w:rPr>
          <w:rFonts w:ascii="Arial" w:eastAsia="Arial" w:hAnsi="Arial" w:cs="Arial"/>
          <w:b w:val="0"/>
          <w:i w:val="0"/>
          <w:color w:val="000000"/>
          <w:sz w:val="20"/>
          <w:u w:val="none"/>
        </w:rPr>
        <w:t xml:space="preserve">April </w:t>
      </w:r>
      <w:r>
        <w:rPr>
          <w:rFonts w:ascii="Arial" w:eastAsia="Arial" w:hAnsi="Arial" w:cs="Arial"/>
          <w:b w:val="0"/>
          <w:i w:val="0"/>
          <w:color w:val="000000"/>
          <w:sz w:val="20"/>
          <w:u w:val="none"/>
        </w:rPr>
        <w:t>7</w:t>
      </w:r>
      <w:r>
        <w:rPr>
          <w:rFonts w:ascii="Arial" w:eastAsia="Arial" w:hAnsi="Arial" w:cs="Arial"/>
          <w:b w:val="0"/>
          <w:i w:val="0"/>
          <w:color w:val="000000"/>
          <w:sz w:val="20"/>
          <w:u w:val="none"/>
        </w:rPr>
        <w:t xml:space="preserve">, </w:t>
      </w:r>
      <w:r>
        <w:rPr>
          <w:rFonts w:ascii="Arial" w:eastAsia="Arial" w:hAnsi="Arial" w:cs="Arial"/>
          <w:b w:val="0"/>
          <w:i w:val="0"/>
          <w:color w:val="000000"/>
          <w:sz w:val="20"/>
          <w:u w:val="none"/>
        </w:rPr>
        <w:t>2025</w:t>
      </w:r>
      <w:r>
        <w:rPr>
          <w:rFonts w:ascii="Arial" w:eastAsia="Arial" w:hAnsi="Arial" w:cs="Arial"/>
          <w:b w:val="0"/>
          <w:i w:val="0"/>
          <w:sz w:val="20"/>
        </w:rPr>
        <w:t>.</w:t>
      </w:r>
    </w:p>
    <w:p>
      <w:pPr>
        <w:keepNext w:val="0"/>
        <w:keepLines w:val="0"/>
        <w:pageBreakBefore w:val="0"/>
        <w:widowControl/>
        <w:numPr>
          <w:ilvl w:val="0"/>
          <w:numId w:val="0"/>
        </w:numPr>
        <w:spacing w:before="0" w:after="120" w:line="300" w:lineRule="auto"/>
        <w:ind w:left="0" w:right="0" w:firstLine="0"/>
        <w:jc w:val="both"/>
        <w:outlineLvl w:val="9"/>
        <w:sectPr>
          <w:headerReference w:type="default" r:id="rId414"/>
          <w:footerReference w:type="default" r:id="rId415"/>
          <w:type w:val="continuous"/>
          <w:pgSz w:w="12240" w:h="15840"/>
          <w:pgMar w:top="855" w:right="990" w:bottom="855" w:left="990" w:header="180" w:footer="270"/>
          <w:cols w:space="708"/>
        </w:sectPr>
      </w:pPr>
    </w:p>
    <w:p>
      <w:pPr>
        <w:keepNext w:val="0"/>
        <w:keepLines w:val="0"/>
        <w:pageBreakBefore w:val="0"/>
        <w:widowControl/>
        <w:numPr>
          <w:ilvl w:val="0"/>
          <w:numId w:val="0"/>
        </w:numPr>
        <w:spacing w:before="0" w:after="60" w:line="288" w:lineRule="auto"/>
        <w:ind w:left="0" w:right="0" w:firstLine="0"/>
        <w:jc w:val="center"/>
        <w:outlineLvl w:val="0"/>
        <w:rPr>
          <w:rFonts w:ascii="Arial" w:eastAsia="Arial" w:hAnsi="Arial" w:cs="Arial"/>
          <w:b/>
          <w:i w:val="0"/>
          <w:color w:val="171449"/>
          <w:sz w:val="24"/>
          <w:u w:val="none"/>
        </w:rPr>
      </w:pPr>
      <w:bookmarkStart w:id="166" w:name="Section169"/>
      <w:bookmarkEnd w:id="166"/>
      <w:r>
        <w:rPr>
          <w:rFonts w:ascii="Arial" w:eastAsia="Arial" w:hAnsi="Arial" w:cs="Arial"/>
          <w:b/>
          <w:i w:val="0"/>
          <w:color w:val="171449"/>
          <w:sz w:val="24"/>
          <w:u w:val="none"/>
        </w:rPr>
        <w:t>Appendix A</w:t>
      </w:r>
    </w:p>
    <w:p>
      <w:pPr>
        <w:keepNext w:val="0"/>
        <w:keepLines w:val="0"/>
        <w:pageBreakBefore w:val="0"/>
        <w:widowControl/>
        <w:numPr>
          <w:ilvl w:val="0"/>
          <w:numId w:val="0"/>
        </w:numPr>
        <w:spacing w:before="0" w:after="60" w:line="288" w:lineRule="auto"/>
        <w:ind w:left="0" w:right="0" w:firstLine="0"/>
        <w:jc w:val="center"/>
        <w:outlineLvl w:val="9"/>
        <w:rPr>
          <w:rFonts w:ascii="Arial" w:eastAsia="Arial" w:hAnsi="Arial" w:cs="Arial"/>
          <w:b/>
          <w:i w:val="0"/>
          <w:color w:val="171449"/>
          <w:sz w:val="24"/>
          <w:u w:val="none"/>
        </w:rPr>
      </w:pPr>
    </w:p>
    <w:p>
      <w:pPr>
        <w:keepNext/>
        <w:keepLines/>
        <w:pageBreakBefore w:val="0"/>
        <w:widowControl w:val="0"/>
        <w:numPr>
          <w:ilvl w:val="0"/>
          <w:numId w:val="0"/>
        </w:numPr>
        <w:spacing w:before="0" w:after="60" w:line="288" w:lineRule="auto"/>
        <w:ind w:left="0" w:right="0" w:firstLine="0"/>
        <w:jc w:val="left"/>
        <w:outlineLvl w:val="9"/>
        <w:rPr>
          <w:rFonts w:ascii="Arial" w:eastAsia="Arial" w:hAnsi="Arial" w:cs="Arial"/>
          <w:b/>
          <w:i w:val="0"/>
          <w:color w:val="171449"/>
          <w:sz w:val="24"/>
          <w:u w:val="none"/>
        </w:rPr>
      </w:pPr>
      <w:r>
        <w:rPr>
          <w:rFonts w:ascii="Arial" w:eastAsia="Arial" w:hAnsi="Arial" w:cs="Arial"/>
          <w:b/>
          <w:i w:val="0"/>
          <w:color w:val="171449"/>
          <w:sz w:val="24"/>
          <w:u w:val="none"/>
        </w:rPr>
        <w:t>Non-GAAP Financial Measures</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60"/>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trPr>
        <w:tc>
          <w:tcPr>
            <w:tcW w:w="10260" w:type="dxa"/>
            <w:tcBorders>
              <w:top w:val="single" w:sz="8" w:space="0" w:color="1867A5"/>
              <w:left w:val="nil"/>
              <w:bottom w:val="nil"/>
              <w:right w:val="nil"/>
            </w:tcBorders>
            <w:tcMar>
              <w:top w:w="0" w:type="dxa"/>
              <w:left w:w="0" w:type="dxa"/>
              <w:bottom w:w="0" w:type="dxa"/>
              <w:right w:w="0" w:type="dxa"/>
            </w:tcMar>
            <w:vAlign w:val="bottom"/>
          </w:tcPr>
          <w:p>
            <w:pPr>
              <w:pageBreakBefore w:val="0"/>
              <w:spacing w:before="0" w:after="0"/>
            </w:pPr>
          </w:p>
        </w:tc>
      </w:tr>
    </w:tbl>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i w:val="0"/>
          <w:sz w:val="20"/>
        </w:rPr>
      </w:pPr>
      <w:r>
        <w:rPr>
          <w:rFonts w:ascii="Arial" w:eastAsia="Arial" w:hAnsi="Arial" w:cs="Arial"/>
          <w:b w:val="0"/>
          <w:i w:val="0"/>
          <w:sz w:val="20"/>
        </w:rPr>
        <w:t>In addition to our key financial measures presented in accordance with GAAP, we present other non-GAAP financial measures that we use to manage our business, compare our performance against prior periods and against our peers, and as performance measures in our incentive compensation program.</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These non-GAAP financial measures provide an additional view of our operational performance over the long-term and provide the opportunity to analyze our results in a way that is more aligned with the manner in which our management measures our underlying performance.</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 presentation of these non-GAAP financial measures, which may be defined and calculated differently by other companies, is used to enhance the understanding of certain aspects of our financial performance. It is not meant to be considered in isolation, superior to, or as a substitute for the directly comparable financial measures prepared in accordance with GAAP.</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Some of the adjustments reflected in our non-GAAP measures are recurring items, such as the exclusion of adjustments to net realized and unrealized (gains)/losses on fixed maturities recognized in our statements of operations, the fair value of certain of our loss reserve liabilities for which we have elected the fair value option, and the amortization of fair value adjustments.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Management makes these adjustments in assessing our performance so that the changes in fair value due to interest rate movements, which are applied to some but not all of our assets and liabilities as a result of preexisting accounting elections, do not impair comparability across reporting periods.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It is important for the readers of our periodic filings to understand that these items will recur from period to period.</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However, we exclude these items for the purpose of presenting a comparable view across reporting periods of the impact of our underlying claims management and investments without the effect of interest rate fluctuations on assets that we anticipate to hold to maturity and non-cash changes to the fair value of our reserves.</w:t>
      </w: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Similarly, our non-GAAP measures reflect the exclusion of certain items that we deem to be nonrecurring, unusual or infrequent when the nature of the charge or gain is such that it is not reasonably likely that such item may recur within two years, nor was there a similar charge or gain in the preceding two years. This includes adjustments related to bargain purchase gains on acquisitions of businesses, net gains or losses on sales of subsidiaries, net assets of held for sale or disposed subsidiaries classified as discontinued operations, and other items that we separately disclose.</w:t>
      </w:r>
    </w:p>
    <w:p>
      <w:pPr>
        <w:keepNext/>
        <w:keepLines/>
        <w:pageBreakBefore w:val="0"/>
        <w:widowControl w:val="0"/>
        <w:numPr>
          <w:ilvl w:val="0"/>
          <w:numId w:val="0"/>
        </w:numPr>
        <w:spacing w:before="0" w:after="120" w:line="300" w:lineRule="auto"/>
        <w:ind w:left="0" w:right="0" w:firstLine="0"/>
        <w:jc w:val="both"/>
        <w:outlineLvl w:val="9"/>
        <w:rPr>
          <w:rFonts w:ascii="Arial" w:eastAsia="Arial" w:hAnsi="Arial" w:cs="Arial"/>
          <w:b w:val="0"/>
          <w:i w:val="0"/>
          <w:sz w:val="20"/>
        </w:rPr>
      </w:pPr>
    </w:p>
    <w:p>
      <w:pPr>
        <w:keepNext/>
        <w:keepLines/>
        <w:pageBreakBefore/>
        <w:widowControl w:val="0"/>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 following table presents more information on each non-GAAP measure. The results and GAAP reconciliations for these measures are set forth further below.</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9"/>
        <w:gridCol w:w="80"/>
        <w:gridCol w:w="4079"/>
        <w:gridCol w:w="80"/>
        <w:gridCol w:w="4392"/>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65"/>
        </w:trPr>
        <w:tc>
          <w:tcPr>
            <w:tcW w:w="1635"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53" w:after="30" w:line="240" w:lineRule="auto"/>
              <w:jc w:val="center"/>
            </w:pPr>
            <w:r>
              <w:rPr>
                <w:rFonts w:ascii="Arial" w:eastAsia="Arial" w:hAnsi="Arial" w:cs="Arial"/>
                <w:b/>
                <w:i w:val="0"/>
                <w:color w:val="000000"/>
                <w:sz w:val="17"/>
                <w:u w:val="none"/>
              </w:rPr>
              <w:t>Non-GAAP Measure</w:t>
            </w:r>
          </w:p>
        </w:tc>
        <w:tc>
          <w:tcPr>
            <w:tcW w:w="60" w:type="dxa"/>
            <w:tcBorders>
              <w:top w:val="nil"/>
              <w:left w:val="nil"/>
              <w:bottom w:val="nil"/>
              <w:right w:val="nil"/>
            </w:tcBorders>
            <w:tcMar>
              <w:top w:w="0" w:type="dxa"/>
              <w:left w:w="30" w:type="dxa"/>
              <w:bottom w:w="0" w:type="dxa"/>
              <w:right w:w="30" w:type="dxa"/>
            </w:tcMar>
            <w:vAlign w:val="bottom"/>
          </w:tcPr>
          <w:p>
            <w:pPr>
              <w:pageBreakBefore w:val="0"/>
              <w:spacing w:before="53" w:after="30" w:line="240" w:lineRule="auto"/>
              <w:jc w:val="center"/>
            </w:pPr>
          </w:p>
        </w:tc>
        <w:tc>
          <w:tcPr>
            <w:tcW w:w="4095"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53" w:after="30" w:line="240" w:lineRule="auto"/>
              <w:jc w:val="left"/>
            </w:pPr>
            <w:r>
              <w:rPr>
                <w:rFonts w:ascii="Arial" w:eastAsia="Arial" w:hAnsi="Arial" w:cs="Arial"/>
                <w:b/>
                <w:i w:val="0"/>
                <w:color w:val="000000"/>
                <w:sz w:val="17"/>
                <w:u w:val="none"/>
              </w:rPr>
              <w:t>Definition</w:t>
            </w:r>
          </w:p>
        </w:tc>
        <w:tc>
          <w:tcPr>
            <w:tcW w:w="60" w:type="dxa"/>
            <w:tcBorders>
              <w:top w:val="nil"/>
              <w:left w:val="nil"/>
              <w:bottom w:val="nil"/>
              <w:right w:val="nil"/>
            </w:tcBorders>
            <w:tcMar>
              <w:top w:w="0" w:type="dxa"/>
              <w:left w:w="30" w:type="dxa"/>
              <w:bottom w:w="0" w:type="dxa"/>
              <w:right w:w="30" w:type="dxa"/>
            </w:tcMar>
            <w:vAlign w:val="bottom"/>
          </w:tcPr>
          <w:p>
            <w:pPr>
              <w:pageBreakBefore w:val="0"/>
              <w:spacing w:before="53" w:after="30" w:line="240" w:lineRule="auto"/>
              <w:jc w:val="left"/>
            </w:pPr>
          </w:p>
        </w:tc>
        <w:tc>
          <w:tcPr>
            <w:tcW w:w="4410" w:type="dxa"/>
            <w:tcBorders>
              <w:top w:val="nil"/>
              <w:left w:val="nil"/>
              <w:bottom w:val="single" w:sz="8" w:space="0" w:color="000000"/>
              <w:right w:val="nil"/>
            </w:tcBorders>
            <w:tcMar>
              <w:top w:w="0" w:type="dxa"/>
              <w:left w:w="53" w:type="dxa"/>
              <w:bottom w:w="0" w:type="dxa"/>
              <w:right w:w="53" w:type="dxa"/>
            </w:tcMar>
            <w:vAlign w:val="bottom"/>
          </w:tcPr>
          <w:p>
            <w:pPr>
              <w:pageBreakBefore w:val="0"/>
              <w:spacing w:before="53" w:after="30" w:line="240" w:lineRule="auto"/>
              <w:jc w:val="left"/>
            </w:pPr>
            <w:r>
              <w:rPr>
                <w:rFonts w:ascii="Arial" w:eastAsia="Arial" w:hAnsi="Arial" w:cs="Arial"/>
                <w:b/>
                <w:i w:val="0"/>
                <w:color w:val="000000"/>
                <w:sz w:val="17"/>
                <w:u w:val="none"/>
              </w:rPr>
              <w:t>Purpose of Non-GAAP Measure over GAAP Measure</w:t>
            </w:r>
          </w:p>
        </w:tc>
      </w:tr>
      <w:tr>
        <w:tblPrEx>
          <w:tblW w:w="10260" w:type="dxa"/>
          <w:tblInd w:w="0" w:type="dxa"/>
          <w:tblLayout w:type="fixed"/>
          <w:tblCellMar>
            <w:left w:w="108" w:type="dxa"/>
            <w:right w:w="108" w:type="dxa"/>
          </w:tblCellMar>
        </w:tblPrEx>
        <w:trPr>
          <w:cantSplit/>
          <w:trHeight w:hRule="exact" w:val="1695"/>
        </w:trPr>
        <w:tc>
          <w:tcPr>
            <w:tcW w:w="1635" w:type="dxa"/>
            <w:tcBorders>
              <w:top w:val="single" w:sz="8" w:space="0" w:color="000000"/>
              <w:left w:val="nil"/>
              <w:bottom w:val="single" w:sz="8" w:space="0" w:color="000000"/>
              <w:right w:val="nil"/>
            </w:tcBorders>
            <w:tcMar>
              <w:top w:w="0" w:type="dxa"/>
              <w:left w:w="53" w:type="dxa"/>
              <w:bottom w:w="0" w:type="dxa"/>
              <w:right w:w="53" w:type="dxa"/>
            </w:tcMar>
            <w:vAlign w:val="top"/>
          </w:tcPr>
          <w:p>
            <w:pPr>
              <w:pageBreakBefore w:val="0"/>
              <w:spacing w:before="33" w:after="30" w:line="288" w:lineRule="auto"/>
              <w:jc w:val="left"/>
            </w:pPr>
            <w:r>
              <w:rPr>
                <w:rFonts w:ascii="Arial" w:eastAsia="Arial" w:hAnsi="Arial" w:cs="Arial"/>
                <w:b/>
                <w:i w:val="0"/>
                <w:color w:val="4495D1"/>
                <w:sz w:val="17"/>
                <w:u w:val="none"/>
              </w:rPr>
              <w:t>Fully diluted book value per ordinary share</w:t>
            </w:r>
          </w:p>
        </w:tc>
        <w:tc>
          <w:tcPr>
            <w:tcW w:w="60" w:type="dxa"/>
            <w:tcBorders>
              <w:top w:val="nil"/>
              <w:left w:val="nil"/>
              <w:bottom w:val="single" w:sz="8" w:space="0" w:color="000000"/>
              <w:right w:val="nil"/>
            </w:tcBorders>
            <w:tcMar>
              <w:top w:w="0" w:type="dxa"/>
              <w:left w:w="30" w:type="dxa"/>
              <w:bottom w:w="0" w:type="dxa"/>
              <w:right w:w="30" w:type="dxa"/>
            </w:tcMar>
            <w:vAlign w:val="top"/>
          </w:tcPr>
          <w:p>
            <w:pPr>
              <w:pageBreakBefore w:val="0"/>
              <w:spacing w:before="33" w:after="30" w:line="240" w:lineRule="auto"/>
              <w:jc w:val="left"/>
            </w:pPr>
          </w:p>
        </w:tc>
        <w:tc>
          <w:tcPr>
            <w:tcW w:w="4095" w:type="dxa"/>
            <w:tcBorders>
              <w:top w:val="single" w:sz="8" w:space="0" w:color="000000"/>
              <w:left w:val="nil"/>
              <w:bottom w:val="single" w:sz="8" w:space="0" w:color="000000"/>
              <w:right w:val="nil"/>
            </w:tcBorders>
            <w:tcMar>
              <w:top w:w="0" w:type="dxa"/>
              <w:left w:w="53" w:type="dxa"/>
              <w:bottom w:w="0" w:type="dxa"/>
              <w:right w:w="53" w:type="dxa"/>
            </w:tcMar>
            <w:vAlign w:val="top"/>
          </w:tcPr>
          <w:p>
            <w:pPr>
              <w:pageBreakBefore w:val="0"/>
              <w:numPr>
                <w:ilvl w:val="0"/>
                <w:numId w:val="0"/>
              </w:numPr>
              <w:spacing w:before="33" w:after="0" w:line="240" w:lineRule="auto"/>
              <w:ind w:left="0" w:right="0" w:firstLine="0"/>
              <w:jc w:val="left"/>
              <w:outlineLvl w:val="9"/>
              <w:rPr>
                <w:rFonts w:ascii="Arial" w:eastAsia="Arial" w:hAnsi="Arial" w:cs="Arial"/>
                <w:b w:val="0"/>
                <w:i w:val="0"/>
                <w:sz w:val="17"/>
              </w:rPr>
            </w:pPr>
            <w:r>
              <w:rPr>
                <w:rFonts w:ascii="Arial" w:eastAsia="Arial" w:hAnsi="Arial" w:cs="Arial"/>
                <w:b w:val="0"/>
                <w:i w:val="0"/>
                <w:sz w:val="17"/>
              </w:rPr>
              <w:t>Total Enstar ordinary shareholders' equity</w:t>
            </w:r>
          </w:p>
          <w:p>
            <w:pPr>
              <w:pageBreakBefore w:val="0"/>
              <w:numPr>
                <w:ilvl w:val="0"/>
                <w:numId w:val="0"/>
              </w:numPr>
              <w:spacing w:before="0" w:after="0" w:line="240" w:lineRule="auto"/>
              <w:ind w:left="0" w:right="0" w:firstLine="0"/>
              <w:jc w:val="left"/>
              <w:outlineLvl w:val="9"/>
              <w:rPr>
                <w:rFonts w:ascii="Arial" w:eastAsia="Arial" w:hAnsi="Arial" w:cs="Arial"/>
                <w:b w:val="0"/>
                <w:i w:val="0"/>
                <w:sz w:val="17"/>
              </w:rPr>
            </w:pPr>
          </w:p>
          <w:p>
            <w:pPr>
              <w:pageBreakBefore w:val="0"/>
              <w:numPr>
                <w:ilvl w:val="0"/>
                <w:numId w:val="0"/>
              </w:numPr>
              <w:spacing w:before="0" w:after="0" w:line="240" w:lineRule="auto"/>
              <w:ind w:left="0" w:right="0" w:firstLine="0"/>
              <w:jc w:val="left"/>
              <w:outlineLvl w:val="9"/>
              <w:rPr>
                <w:rFonts w:ascii="Arial" w:eastAsia="Arial" w:hAnsi="Arial" w:cs="Arial"/>
                <w:b w:val="0"/>
                <w:i w:val="0"/>
                <w:sz w:val="17"/>
              </w:rPr>
            </w:pPr>
            <w:r>
              <w:rPr>
                <w:rFonts w:ascii="Arial" w:eastAsia="Arial" w:hAnsi="Arial" w:cs="Arial"/>
                <w:b w:val="0"/>
                <w:i w:val="0"/>
                <w:sz w:val="17"/>
              </w:rPr>
              <w:t>Divided by</w:t>
            </w:r>
          </w:p>
          <w:p>
            <w:pPr>
              <w:pageBreakBefore w:val="0"/>
              <w:numPr>
                <w:ilvl w:val="0"/>
                <w:numId w:val="0"/>
              </w:numPr>
              <w:spacing w:before="0" w:after="0" w:line="240" w:lineRule="auto"/>
              <w:ind w:left="0" w:right="0" w:firstLine="0"/>
              <w:jc w:val="left"/>
              <w:outlineLvl w:val="9"/>
              <w:rPr>
                <w:rFonts w:ascii="Arial" w:eastAsia="Arial" w:hAnsi="Arial" w:cs="Arial"/>
                <w:b w:val="0"/>
                <w:i w:val="0"/>
                <w:sz w:val="17"/>
              </w:rPr>
            </w:pPr>
          </w:p>
          <w:p>
            <w:pPr>
              <w:pageBreakBefore w:val="0"/>
              <w:numPr>
                <w:ilvl w:val="0"/>
                <w:numId w:val="0"/>
              </w:numPr>
              <w:spacing w:before="0" w:after="0" w:line="240" w:lineRule="auto"/>
              <w:ind w:left="0" w:right="0" w:firstLine="0"/>
              <w:jc w:val="left"/>
              <w:outlineLvl w:val="9"/>
              <w:rPr>
                <w:rFonts w:ascii="Arial" w:eastAsia="Arial" w:hAnsi="Arial" w:cs="Arial"/>
                <w:b w:val="0"/>
                <w:i w:val="0"/>
                <w:sz w:val="17"/>
              </w:rPr>
            </w:pPr>
            <w:r>
              <w:rPr>
                <w:rFonts w:ascii="Arial" w:eastAsia="Arial" w:hAnsi="Arial" w:cs="Arial"/>
                <w:b w:val="0"/>
                <w:i w:val="0"/>
                <w:sz w:val="17"/>
              </w:rPr>
              <w:t>Number of ordinary shares outstanding, adjusted for:</w:t>
            </w:r>
          </w:p>
          <w:p>
            <w:pPr>
              <w:pageBreakBefore w:val="0"/>
              <w:numPr>
                <w:ilvl w:val="0"/>
                <w:numId w:val="0"/>
              </w:numPr>
              <w:spacing w:before="0" w:after="30" w:line="240" w:lineRule="auto"/>
              <w:ind w:left="0" w:right="0" w:firstLine="0"/>
              <w:jc w:val="left"/>
              <w:outlineLvl w:val="9"/>
              <w:rPr>
                <w:rFonts w:ascii="Arial" w:eastAsia="Arial" w:hAnsi="Arial" w:cs="Arial"/>
                <w:b w:val="0"/>
                <w:i w:val="0"/>
                <w:sz w:val="17"/>
              </w:rPr>
            </w:pPr>
            <w:r>
              <w:rPr>
                <w:rFonts w:ascii="Arial" w:eastAsia="Arial" w:hAnsi="Arial" w:cs="Arial"/>
                <w:b w:val="0"/>
                <w:i w:val="0"/>
                <w:sz w:val="17"/>
              </w:rPr>
              <w:t>-</w:t>
            </w:r>
            <w:r>
              <w:rPr>
                <w:rFonts w:ascii="Arial" w:eastAsia="Arial" w:hAnsi="Arial" w:cs="Arial"/>
                <w:b w:val="0"/>
                <w:i/>
                <w:sz w:val="17"/>
              </w:rPr>
              <w:t>the ultimate effect of any dilutive securities on the number of ordinary shares outstanding</w:t>
            </w:r>
          </w:p>
        </w:tc>
        <w:tc>
          <w:tcPr>
            <w:tcW w:w="60" w:type="dxa"/>
            <w:tcBorders>
              <w:top w:val="nil"/>
              <w:left w:val="nil"/>
              <w:bottom w:val="single" w:sz="8" w:space="0" w:color="000000"/>
              <w:right w:val="nil"/>
            </w:tcBorders>
            <w:tcMar>
              <w:top w:w="0" w:type="dxa"/>
              <w:left w:w="30" w:type="dxa"/>
              <w:bottom w:w="0" w:type="dxa"/>
              <w:right w:w="30" w:type="dxa"/>
            </w:tcMar>
            <w:vAlign w:val="top"/>
          </w:tcPr>
          <w:p>
            <w:pPr>
              <w:pageBreakBefore w:val="0"/>
              <w:spacing w:before="33" w:after="30" w:line="240" w:lineRule="auto"/>
              <w:jc w:val="left"/>
            </w:pPr>
          </w:p>
        </w:tc>
        <w:tc>
          <w:tcPr>
            <w:tcW w:w="4410" w:type="dxa"/>
            <w:tcBorders>
              <w:top w:val="single" w:sz="8" w:space="0" w:color="000000"/>
              <w:left w:val="nil"/>
              <w:bottom w:val="single" w:sz="8" w:space="0" w:color="000000"/>
              <w:right w:val="nil"/>
            </w:tcBorders>
            <w:tcMar>
              <w:top w:w="0" w:type="dxa"/>
              <w:left w:w="53" w:type="dxa"/>
              <w:bottom w:w="0" w:type="dxa"/>
              <w:right w:w="53" w:type="dxa"/>
            </w:tcMar>
            <w:vAlign w:val="top"/>
          </w:tcPr>
          <w:p>
            <w:pPr>
              <w:pageBreakBefore w:val="0"/>
              <w:numPr>
                <w:ilvl w:val="0"/>
                <w:numId w:val="0"/>
              </w:numPr>
              <w:spacing w:before="33" w:after="0" w:line="240" w:lineRule="auto"/>
              <w:ind w:left="0" w:right="0" w:firstLine="0"/>
              <w:jc w:val="left"/>
              <w:outlineLvl w:val="9"/>
              <w:rPr>
                <w:rFonts w:ascii="Arial" w:eastAsia="Arial" w:hAnsi="Arial" w:cs="Arial"/>
                <w:b w:val="0"/>
                <w:i w:val="0"/>
                <w:sz w:val="17"/>
              </w:rPr>
            </w:pPr>
            <w:r>
              <w:rPr>
                <w:rFonts w:ascii="Arial" w:eastAsia="Arial" w:hAnsi="Arial" w:cs="Arial"/>
                <w:b w:val="0"/>
                <w:i w:val="0"/>
                <w:sz w:val="17"/>
              </w:rPr>
              <w:t xml:space="preserve">Increases the number of ordinary shares to reflect the exercise of equity awards granted but not yet vested as, over the long term, this presents both management and investors with a more economically accurate measure of the realizable value of shareholder returns by factoring in the impact of share dilution. </w:t>
            </w:r>
          </w:p>
          <w:p>
            <w:pPr>
              <w:pageBreakBefore w:val="0"/>
              <w:numPr>
                <w:ilvl w:val="0"/>
                <w:numId w:val="0"/>
              </w:numPr>
              <w:spacing w:before="0" w:after="0" w:line="240" w:lineRule="auto"/>
              <w:ind w:left="0" w:right="0" w:firstLine="0"/>
              <w:jc w:val="left"/>
              <w:outlineLvl w:val="9"/>
              <w:rPr>
                <w:rFonts w:ascii="Arial" w:eastAsia="Arial" w:hAnsi="Arial" w:cs="Arial"/>
                <w:b w:val="0"/>
                <w:i w:val="0"/>
                <w:sz w:val="17"/>
              </w:rPr>
            </w:pPr>
          </w:p>
          <w:p>
            <w:pPr>
              <w:pageBreakBefore w:val="0"/>
              <w:numPr>
                <w:ilvl w:val="0"/>
                <w:numId w:val="0"/>
              </w:numPr>
              <w:spacing w:before="0" w:after="30" w:line="240" w:lineRule="auto"/>
              <w:ind w:left="0" w:right="0" w:firstLine="0"/>
              <w:jc w:val="left"/>
              <w:outlineLvl w:val="9"/>
              <w:rPr>
                <w:rFonts w:ascii="Arial" w:eastAsia="Arial" w:hAnsi="Arial" w:cs="Arial"/>
                <w:b w:val="0"/>
                <w:i w:val="0"/>
                <w:sz w:val="17"/>
              </w:rPr>
            </w:pPr>
            <w:r>
              <w:rPr>
                <w:rFonts w:ascii="Arial" w:eastAsia="Arial" w:hAnsi="Arial" w:cs="Arial"/>
                <w:b w:val="0"/>
                <w:i w:val="0"/>
                <w:sz w:val="17"/>
              </w:rPr>
              <w:t xml:space="preserve">We use this non-GAAP measure in our incentive compensation program. </w:t>
            </w:r>
          </w:p>
        </w:tc>
      </w:tr>
      <w:tr>
        <w:tblPrEx>
          <w:tblW w:w="10260" w:type="dxa"/>
          <w:tblInd w:w="0" w:type="dxa"/>
          <w:tblLayout w:type="fixed"/>
          <w:tblCellMar>
            <w:left w:w="108" w:type="dxa"/>
            <w:right w:w="108" w:type="dxa"/>
          </w:tblCellMar>
        </w:tblPrEx>
        <w:trPr>
          <w:cantSplit/>
          <w:trHeight w:hRule="exact" w:val="2025"/>
        </w:trPr>
        <w:tc>
          <w:tcPr>
            <w:tcW w:w="1635" w:type="dxa"/>
            <w:tcBorders>
              <w:top w:val="single" w:sz="8" w:space="0" w:color="000000"/>
              <w:left w:val="nil"/>
              <w:bottom w:val="nil"/>
              <w:right w:val="nil"/>
            </w:tcBorders>
            <w:tcMar>
              <w:top w:w="0" w:type="dxa"/>
              <w:left w:w="53" w:type="dxa"/>
              <w:bottom w:w="0" w:type="dxa"/>
              <w:right w:w="53" w:type="dxa"/>
            </w:tcMar>
            <w:vAlign w:val="top"/>
          </w:tcPr>
          <w:p>
            <w:pPr>
              <w:keepNext/>
              <w:pageBreakBefore w:val="0"/>
              <w:spacing w:before="33" w:after="30" w:line="288" w:lineRule="auto"/>
              <w:jc w:val="left"/>
            </w:pPr>
            <w:r>
              <w:rPr>
                <w:rFonts w:ascii="Arial" w:eastAsia="Arial" w:hAnsi="Arial" w:cs="Arial"/>
                <w:b/>
                <w:i w:val="0"/>
                <w:color w:val="4495D1"/>
                <w:sz w:val="17"/>
                <w:u w:val="none"/>
              </w:rPr>
              <w:t>Adjusted return on equity (%)</w:t>
            </w:r>
          </w:p>
        </w:tc>
        <w:tc>
          <w:tcPr>
            <w:tcW w:w="60" w:type="dxa"/>
            <w:tcBorders>
              <w:top w:val="single" w:sz="8" w:space="0" w:color="000000"/>
              <w:left w:val="nil"/>
              <w:bottom w:val="nil"/>
              <w:right w:val="nil"/>
            </w:tcBorders>
            <w:tcMar>
              <w:top w:w="0" w:type="dxa"/>
              <w:left w:w="30" w:type="dxa"/>
              <w:bottom w:w="0" w:type="dxa"/>
              <w:right w:w="30" w:type="dxa"/>
            </w:tcMar>
            <w:vAlign w:val="top"/>
          </w:tcPr>
          <w:p>
            <w:pPr>
              <w:keepNext/>
              <w:pageBreakBefore w:val="0"/>
              <w:spacing w:before="33" w:after="30" w:line="240" w:lineRule="auto"/>
              <w:jc w:val="left"/>
            </w:pPr>
          </w:p>
        </w:tc>
        <w:tc>
          <w:tcPr>
            <w:tcW w:w="4095" w:type="dxa"/>
            <w:tcBorders>
              <w:top w:val="single" w:sz="8" w:space="0" w:color="000000"/>
              <w:left w:val="nil"/>
              <w:bottom w:val="nil"/>
              <w:right w:val="nil"/>
            </w:tcBorders>
            <w:tcMar>
              <w:top w:w="0" w:type="dxa"/>
              <w:left w:w="53" w:type="dxa"/>
              <w:bottom w:w="0" w:type="dxa"/>
              <w:right w:w="53" w:type="dxa"/>
            </w:tcMar>
            <w:vAlign w:val="top"/>
          </w:tcPr>
          <w:p>
            <w:pPr>
              <w:keepNext/>
              <w:pageBreakBefore w:val="0"/>
              <w:spacing w:before="33" w:after="30" w:line="240" w:lineRule="auto"/>
              <w:jc w:val="left"/>
            </w:pPr>
            <w:r>
              <w:rPr>
                <w:rFonts w:ascii="Arial" w:eastAsia="Arial" w:hAnsi="Arial" w:cs="Arial"/>
                <w:b w:val="0"/>
                <w:i w:val="0"/>
                <w:color w:val="000000"/>
                <w:sz w:val="17"/>
                <w:u w:val="none"/>
              </w:rPr>
              <w:t>Adjusted operating income (loss) attributable to Enstar ordinary shareholders divided by adjusted opening Enstar ordinary shareholders’ equity</w:t>
            </w:r>
          </w:p>
        </w:tc>
        <w:tc>
          <w:tcPr>
            <w:tcW w:w="60" w:type="dxa"/>
            <w:tcBorders>
              <w:top w:val="single" w:sz="8" w:space="0" w:color="000000"/>
              <w:left w:val="nil"/>
              <w:bottom w:val="nil"/>
              <w:right w:val="nil"/>
            </w:tcBorders>
            <w:tcMar>
              <w:top w:w="0" w:type="dxa"/>
              <w:left w:w="30" w:type="dxa"/>
              <w:bottom w:w="0" w:type="dxa"/>
              <w:right w:w="30" w:type="dxa"/>
            </w:tcMar>
            <w:vAlign w:val="top"/>
          </w:tcPr>
          <w:p>
            <w:pPr>
              <w:keepNext/>
              <w:pageBreakBefore w:val="0"/>
              <w:spacing w:before="33" w:after="30" w:line="240" w:lineRule="auto"/>
              <w:jc w:val="left"/>
            </w:pPr>
          </w:p>
        </w:tc>
        <w:tc>
          <w:tcPr>
            <w:tcW w:w="4410" w:type="dxa"/>
            <w:vMerge w:val="restart"/>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33" w:after="0" w:line="240" w:lineRule="auto"/>
              <w:ind w:left="0" w:right="0" w:firstLine="0"/>
              <w:jc w:val="left"/>
              <w:outlineLvl w:val="9"/>
              <w:rPr>
                <w:rFonts w:ascii="Arial" w:eastAsia="Arial" w:hAnsi="Arial" w:cs="Arial"/>
                <w:b w:val="0"/>
                <w:i w:val="0"/>
                <w:sz w:val="17"/>
              </w:rPr>
            </w:pPr>
            <w:r>
              <w:rPr>
                <w:rFonts w:ascii="Arial" w:eastAsia="Arial" w:hAnsi="Arial" w:cs="Arial"/>
                <w:b w:val="0"/>
                <w:i w:val="0"/>
                <w:sz w:val="17"/>
              </w:rPr>
              <w:t xml:space="preserve">Calculating the operating income (loss) as a percentage of our adjusted opening Enstar ordinary shareholders' equity provides a more consistent measure of the performance of our business by enabling comparison between the financial periods presented. </w:t>
            </w:r>
          </w:p>
          <w:p>
            <w:pPr>
              <w:pageBreakBefore w:val="0"/>
              <w:numPr>
                <w:ilvl w:val="0"/>
                <w:numId w:val="0"/>
              </w:numPr>
              <w:spacing w:before="0" w:after="0" w:line="240" w:lineRule="auto"/>
              <w:ind w:left="0" w:right="0" w:firstLine="0"/>
              <w:jc w:val="left"/>
              <w:outlineLvl w:val="9"/>
              <w:rPr>
                <w:rFonts w:ascii="Arial" w:eastAsia="Arial" w:hAnsi="Arial" w:cs="Arial"/>
                <w:b w:val="0"/>
                <w:i w:val="0"/>
                <w:sz w:val="17"/>
              </w:rPr>
            </w:pPr>
          </w:p>
          <w:p>
            <w:pPr>
              <w:pageBreakBefore w:val="0"/>
              <w:numPr>
                <w:ilvl w:val="0"/>
                <w:numId w:val="0"/>
              </w:numPr>
              <w:spacing w:before="0" w:after="0" w:line="240" w:lineRule="auto"/>
              <w:ind w:left="0" w:right="0" w:firstLine="0"/>
              <w:jc w:val="left"/>
              <w:outlineLvl w:val="9"/>
              <w:rPr>
                <w:rFonts w:ascii="Arial" w:eastAsia="Arial" w:hAnsi="Arial" w:cs="Arial"/>
                <w:b w:val="0"/>
                <w:i w:val="0"/>
                <w:sz w:val="17"/>
              </w:rPr>
            </w:pPr>
            <w:r>
              <w:rPr>
                <w:rFonts w:ascii="Arial" w:eastAsia="Arial" w:hAnsi="Arial" w:cs="Arial"/>
                <w:b w:val="0"/>
                <w:i w:val="0"/>
                <w:sz w:val="17"/>
              </w:rPr>
              <w:t>We eliminate the impact of net realized and unrealized (gains) losses on fixed maturities and funds-held directly managed and the change in fair value of insurance contracts for which we have elected the fair value option, as: </w:t>
            </w:r>
          </w:p>
          <w:p>
            <w:pPr>
              <w:pageBreakBefore w:val="0"/>
              <w:numPr>
                <w:ilvl w:val="0"/>
                <w:numId w:val="343"/>
              </w:numPr>
              <w:spacing w:before="0" w:after="0" w:line="240" w:lineRule="auto"/>
              <w:ind w:left="360" w:right="0" w:hanging="360"/>
              <w:jc w:val="left"/>
              <w:outlineLvl w:val="9"/>
              <w:rPr>
                <w:rFonts w:ascii="Arial" w:eastAsia="Arial" w:hAnsi="Arial" w:cs="Arial"/>
                <w:b w:val="0"/>
                <w:i w:val="0"/>
                <w:sz w:val="17"/>
              </w:rPr>
            </w:pPr>
            <w:r>
              <w:rPr>
                <w:rFonts w:ascii="Arial" w:eastAsia="Arial" w:hAnsi="Arial" w:cs="Arial"/>
                <w:b w:val="0"/>
                <w:i w:val="0"/>
                <w:sz w:val="17"/>
              </w:rPr>
              <w:t>we typically hold most of our fixed maturities until the earlier of maturity or the time that they are used to fund any settlement of related liabilities which are generally recorded at cost; and </w:t>
            </w:r>
          </w:p>
          <w:p>
            <w:pPr>
              <w:pageBreakBefore w:val="0"/>
              <w:numPr>
                <w:ilvl w:val="0"/>
                <w:numId w:val="344"/>
              </w:numPr>
              <w:spacing w:before="0" w:after="0" w:line="240" w:lineRule="auto"/>
              <w:ind w:left="360" w:right="0" w:hanging="360"/>
              <w:jc w:val="left"/>
              <w:outlineLvl w:val="9"/>
              <w:rPr>
                <w:rFonts w:ascii="Arial" w:eastAsia="Arial" w:hAnsi="Arial" w:cs="Arial"/>
                <w:b w:val="0"/>
                <w:i w:val="0"/>
                <w:sz w:val="17"/>
              </w:rPr>
            </w:pPr>
            <w:r>
              <w:rPr>
                <w:rFonts w:ascii="Arial" w:eastAsia="Arial" w:hAnsi="Arial" w:cs="Arial"/>
                <w:b w:val="0"/>
                <w:i w:val="0"/>
                <w:sz w:val="17"/>
              </w:rPr>
              <w:t>removing the fair value option improves comparability since there are limited acquisition years for which we elected the fair value option.  </w:t>
            </w:r>
          </w:p>
          <w:p>
            <w:pPr>
              <w:pageBreakBefore w:val="0"/>
              <w:numPr>
                <w:ilvl w:val="0"/>
                <w:numId w:val="0"/>
              </w:numPr>
              <w:spacing w:before="0" w:after="0" w:line="240" w:lineRule="auto"/>
              <w:ind w:left="0" w:right="0" w:firstLine="0"/>
              <w:jc w:val="left"/>
              <w:outlineLvl w:val="9"/>
              <w:rPr>
                <w:rFonts w:ascii="Arial" w:eastAsia="Arial" w:hAnsi="Arial" w:cs="Arial"/>
                <w:b w:val="0"/>
                <w:i w:val="0"/>
                <w:sz w:val="17"/>
              </w:rPr>
            </w:pPr>
          </w:p>
          <w:p>
            <w:pPr>
              <w:pageBreakBefore w:val="0"/>
              <w:numPr>
                <w:ilvl w:val="0"/>
                <w:numId w:val="0"/>
              </w:numPr>
              <w:spacing w:before="0" w:after="0" w:line="240" w:lineRule="auto"/>
              <w:ind w:left="0" w:right="0" w:firstLine="0"/>
              <w:jc w:val="left"/>
              <w:outlineLvl w:val="9"/>
              <w:rPr>
                <w:rFonts w:ascii="Arial" w:eastAsia="Arial" w:hAnsi="Arial" w:cs="Arial"/>
                <w:b w:val="0"/>
                <w:i w:val="0"/>
                <w:sz w:val="17"/>
              </w:rPr>
            </w:pPr>
            <w:r>
              <w:rPr>
                <w:rFonts w:ascii="Arial" w:eastAsia="Arial" w:hAnsi="Arial" w:cs="Arial"/>
                <w:b w:val="0"/>
                <w:i w:val="0"/>
                <w:sz w:val="17"/>
              </w:rPr>
              <w:t>Therefore, we believe that excluding their impact on our earnings improves comparability of our core operational performance across periods.    </w:t>
            </w:r>
          </w:p>
          <w:p>
            <w:pPr>
              <w:pageBreakBefore w:val="0"/>
              <w:numPr>
                <w:ilvl w:val="0"/>
                <w:numId w:val="0"/>
              </w:numPr>
              <w:spacing w:before="0" w:after="0" w:line="240" w:lineRule="auto"/>
              <w:ind w:left="0" w:right="0" w:firstLine="0"/>
              <w:jc w:val="left"/>
              <w:outlineLvl w:val="9"/>
              <w:rPr>
                <w:rFonts w:ascii="Arial" w:eastAsia="Arial" w:hAnsi="Arial" w:cs="Arial"/>
                <w:b w:val="0"/>
                <w:i w:val="0"/>
                <w:sz w:val="17"/>
              </w:rPr>
            </w:pPr>
          </w:p>
          <w:p>
            <w:pPr>
              <w:pageBreakBefore w:val="0"/>
              <w:numPr>
                <w:ilvl w:val="0"/>
                <w:numId w:val="0"/>
              </w:numPr>
              <w:spacing w:before="0" w:after="0" w:line="240" w:lineRule="auto"/>
              <w:ind w:left="0" w:right="0" w:firstLine="0"/>
              <w:jc w:val="left"/>
              <w:outlineLvl w:val="9"/>
              <w:rPr>
                <w:rFonts w:ascii="Arial" w:eastAsia="Arial" w:hAnsi="Arial" w:cs="Arial"/>
                <w:b w:val="0"/>
                <w:i w:val="0"/>
                <w:sz w:val="17"/>
              </w:rPr>
            </w:pPr>
            <w:r>
              <w:rPr>
                <w:rFonts w:ascii="Arial" w:eastAsia="Arial" w:hAnsi="Arial" w:cs="Arial"/>
                <w:b w:val="0"/>
                <w:i w:val="0"/>
                <w:sz w:val="17"/>
              </w:rPr>
              <w:t>We include fair value adjustments as non-GAAP adjustments to the adjusted operating income (loss) attributable to Enstar ordinary shareholders as they are non-cash charges that are not reflective of the impact of our claims management strategies on our loss portfolios. </w:t>
            </w:r>
          </w:p>
          <w:p>
            <w:pPr>
              <w:pageBreakBefore w:val="0"/>
              <w:numPr>
                <w:ilvl w:val="0"/>
                <w:numId w:val="0"/>
              </w:numPr>
              <w:spacing w:before="0" w:after="0" w:line="240" w:lineRule="auto"/>
              <w:ind w:left="0" w:right="0" w:firstLine="0"/>
              <w:jc w:val="left"/>
              <w:outlineLvl w:val="9"/>
              <w:rPr>
                <w:rFonts w:ascii="Arial" w:eastAsia="Arial" w:hAnsi="Arial" w:cs="Arial"/>
                <w:b w:val="0"/>
                <w:i w:val="0"/>
                <w:sz w:val="17"/>
              </w:rPr>
            </w:pPr>
          </w:p>
          <w:p>
            <w:pPr>
              <w:pageBreakBefore w:val="0"/>
              <w:numPr>
                <w:ilvl w:val="0"/>
                <w:numId w:val="0"/>
              </w:numPr>
              <w:spacing w:before="0" w:after="0" w:line="240" w:lineRule="auto"/>
              <w:ind w:left="0" w:right="0" w:firstLine="0"/>
              <w:jc w:val="left"/>
              <w:outlineLvl w:val="9"/>
              <w:rPr>
                <w:rFonts w:ascii="Arial" w:eastAsia="Arial" w:hAnsi="Arial" w:cs="Arial"/>
                <w:b w:val="0"/>
                <w:i w:val="0"/>
                <w:sz w:val="17"/>
              </w:rPr>
            </w:pPr>
            <w:r>
              <w:rPr>
                <w:rFonts w:ascii="Arial" w:eastAsia="Arial" w:hAnsi="Arial" w:cs="Arial"/>
                <w:b w:val="0"/>
                <w:i w:val="0"/>
                <w:sz w:val="17"/>
              </w:rPr>
              <w:t>We eliminate the net gain (loss) on the purchase and sales of subsidiaries and net income from discontinued operations, as these items are not indicative of our ongoing operations.   </w:t>
            </w:r>
          </w:p>
          <w:p>
            <w:pPr>
              <w:pageBreakBefore w:val="0"/>
              <w:numPr>
                <w:ilvl w:val="0"/>
                <w:numId w:val="0"/>
              </w:numPr>
              <w:spacing w:before="0" w:after="0" w:line="240" w:lineRule="auto"/>
              <w:ind w:left="0" w:right="0" w:firstLine="0"/>
              <w:jc w:val="left"/>
              <w:outlineLvl w:val="9"/>
              <w:rPr>
                <w:rFonts w:ascii="Arial" w:eastAsia="Arial" w:hAnsi="Arial" w:cs="Arial"/>
                <w:b w:val="0"/>
                <w:i w:val="0"/>
                <w:sz w:val="17"/>
              </w:rPr>
            </w:pPr>
          </w:p>
          <w:p>
            <w:pPr>
              <w:pageBreakBefore w:val="0"/>
              <w:numPr>
                <w:ilvl w:val="0"/>
                <w:numId w:val="0"/>
              </w:numPr>
              <w:spacing w:before="0" w:after="0" w:line="240" w:lineRule="auto"/>
              <w:ind w:left="0" w:right="0" w:firstLine="0"/>
              <w:jc w:val="left"/>
              <w:outlineLvl w:val="9"/>
              <w:rPr>
                <w:rFonts w:ascii="Arial" w:eastAsia="Arial" w:hAnsi="Arial" w:cs="Arial"/>
                <w:b w:val="0"/>
                <w:i w:val="0"/>
                <w:sz w:val="17"/>
              </w:rPr>
            </w:pPr>
            <w:r>
              <w:rPr>
                <w:rFonts w:ascii="Arial" w:eastAsia="Arial" w:hAnsi="Arial" w:cs="Arial"/>
                <w:b w:val="0"/>
                <w:i w:val="0"/>
                <w:sz w:val="17"/>
              </w:rPr>
              <w:t>We use this non-GAAP measure in our incentive compensation program.</w:t>
            </w:r>
          </w:p>
          <w:p>
            <w:pPr>
              <w:pageBreakBefore w:val="0"/>
              <w:numPr>
                <w:ilvl w:val="0"/>
                <w:numId w:val="0"/>
              </w:numPr>
              <w:spacing w:before="0" w:after="30" w:line="240" w:lineRule="auto"/>
              <w:ind w:left="-360" w:right="0" w:firstLine="0"/>
              <w:jc w:val="left"/>
              <w:outlineLvl w:val="9"/>
              <w:rPr>
                <w:rFonts w:ascii="Arial" w:eastAsia="Arial" w:hAnsi="Arial" w:cs="Arial"/>
                <w:b w:val="0"/>
                <w:i w:val="0"/>
                <w:sz w:val="17"/>
              </w:rPr>
            </w:pPr>
          </w:p>
        </w:tc>
      </w:tr>
      <w:tr>
        <w:tblPrEx>
          <w:tblW w:w="10260" w:type="dxa"/>
          <w:tblInd w:w="0" w:type="dxa"/>
          <w:tblLayout w:type="fixed"/>
          <w:tblCellMar>
            <w:left w:w="108" w:type="dxa"/>
            <w:right w:w="108" w:type="dxa"/>
          </w:tblCellMar>
        </w:tblPrEx>
        <w:trPr>
          <w:cantSplit/>
          <w:trHeight w:hRule="exact" w:val="2475"/>
        </w:trPr>
        <w:tc>
          <w:tcPr>
            <w:tcW w:w="163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0" w:line="240" w:lineRule="auto"/>
              <w:ind w:left="0" w:right="0" w:firstLine="0"/>
              <w:jc w:val="left"/>
              <w:outlineLvl w:val="9"/>
              <w:rPr>
                <w:rFonts w:ascii="Arial" w:eastAsia="Arial" w:hAnsi="Arial" w:cs="Arial"/>
                <w:b/>
                <w:i w:val="0"/>
                <w:sz w:val="17"/>
              </w:rPr>
            </w:pPr>
            <w:r>
              <w:rPr>
                <w:rFonts w:ascii="Arial" w:eastAsia="Arial" w:hAnsi="Arial" w:cs="Arial"/>
                <w:b/>
                <w:i w:val="0"/>
                <w:sz w:val="17"/>
              </w:rPr>
              <w:t>Adjusted operating income (loss) attributable to Enstar ordinary shareholders</w:t>
            </w:r>
          </w:p>
          <w:p>
            <w:pPr>
              <w:pageBreakBefore w:val="0"/>
              <w:numPr>
                <w:ilvl w:val="0"/>
                <w:numId w:val="0"/>
              </w:numPr>
              <w:spacing w:before="0" w:after="30" w:line="240" w:lineRule="auto"/>
              <w:ind w:left="0" w:right="0" w:firstLine="0"/>
              <w:jc w:val="left"/>
              <w:outlineLvl w:val="9"/>
              <w:rPr>
                <w:rFonts w:ascii="Arial" w:eastAsia="Arial" w:hAnsi="Arial" w:cs="Arial"/>
                <w:b/>
                <w:i w:val="0"/>
                <w:sz w:val="17"/>
              </w:rPr>
            </w:pPr>
            <w:r>
              <w:rPr>
                <w:rFonts w:ascii="Arial" w:eastAsia="Arial" w:hAnsi="Arial" w:cs="Arial"/>
                <w:b/>
                <w:i w:val="0"/>
                <w:sz w:val="17"/>
              </w:rPr>
              <w:t>(</w:t>
            </w:r>
            <w:r>
              <w:rPr>
                <w:rFonts w:ascii="Arial" w:eastAsia="Arial" w:hAnsi="Arial" w:cs="Arial"/>
                <w:b/>
                <w:i/>
                <w:sz w:val="17"/>
              </w:rPr>
              <w:t>numerator)</w:t>
            </w:r>
          </w:p>
        </w:tc>
        <w:tc>
          <w:tcPr>
            <w:tcW w:w="60" w:type="dxa"/>
            <w:tcBorders>
              <w:top w:val="nil"/>
              <w:left w:val="nil"/>
              <w:bottom w:val="nil"/>
              <w:right w:val="nil"/>
            </w:tcBorders>
            <w:tcMar>
              <w:top w:w="0" w:type="dxa"/>
              <w:left w:w="30" w:type="dxa"/>
              <w:bottom w:w="0" w:type="dxa"/>
              <w:right w:w="30" w:type="dxa"/>
            </w:tcMar>
            <w:vAlign w:val="top"/>
          </w:tcPr>
          <w:p>
            <w:pPr>
              <w:keepNext/>
              <w:pageBreakBefore w:val="0"/>
              <w:spacing w:before="53" w:after="30" w:line="240" w:lineRule="auto"/>
              <w:jc w:val="left"/>
            </w:pPr>
          </w:p>
        </w:tc>
        <w:tc>
          <w:tcPr>
            <w:tcW w:w="4095" w:type="dxa"/>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0" w:line="240" w:lineRule="auto"/>
              <w:ind w:left="0" w:right="0" w:firstLine="0"/>
              <w:jc w:val="left"/>
              <w:outlineLvl w:val="9"/>
              <w:rPr>
                <w:rFonts w:ascii="Arial" w:eastAsia="Arial" w:hAnsi="Arial" w:cs="Arial"/>
                <w:b w:val="0"/>
                <w:i w:val="0"/>
                <w:sz w:val="17"/>
              </w:rPr>
            </w:pPr>
            <w:r>
              <w:rPr>
                <w:rFonts w:ascii="Arial" w:eastAsia="Arial" w:hAnsi="Arial" w:cs="Arial"/>
                <w:b w:val="0"/>
                <w:i w:val="0"/>
                <w:sz w:val="17"/>
              </w:rPr>
              <w:t>Net income (loss) attributable to Enstar ordinary shareholders, adjusted for:</w:t>
            </w:r>
          </w:p>
          <w:p>
            <w:pPr>
              <w:pageBreakBefore w:val="0"/>
              <w:numPr>
                <w:ilvl w:val="0"/>
                <w:numId w:val="0"/>
              </w:numPr>
              <w:spacing w:before="0" w:after="0" w:line="240" w:lineRule="auto"/>
              <w:ind w:left="0" w:right="0" w:firstLine="0"/>
              <w:jc w:val="left"/>
              <w:outlineLvl w:val="9"/>
              <w:rPr>
                <w:rFonts w:ascii="Arial" w:eastAsia="Arial" w:hAnsi="Arial" w:cs="Arial"/>
                <w:b w:val="0"/>
                <w:i/>
                <w:sz w:val="17"/>
              </w:rPr>
            </w:pPr>
            <w:r>
              <w:rPr>
                <w:rFonts w:ascii="Arial" w:eastAsia="Arial" w:hAnsi="Arial" w:cs="Arial"/>
                <w:b w:val="0"/>
                <w:i/>
                <w:sz w:val="17"/>
              </w:rPr>
              <w:t>-net realized and unrealized (gains) losses on fixed maturities and funds held-directly managed,</w:t>
            </w:r>
          </w:p>
          <w:p>
            <w:pPr>
              <w:pageBreakBefore w:val="0"/>
              <w:numPr>
                <w:ilvl w:val="0"/>
                <w:numId w:val="0"/>
              </w:numPr>
              <w:spacing w:before="0" w:after="0" w:line="240" w:lineRule="auto"/>
              <w:ind w:left="0" w:right="0" w:firstLine="0"/>
              <w:jc w:val="left"/>
              <w:outlineLvl w:val="9"/>
              <w:rPr>
                <w:rFonts w:ascii="Arial" w:eastAsia="Arial" w:hAnsi="Arial" w:cs="Arial"/>
                <w:b w:val="0"/>
                <w:i/>
                <w:sz w:val="17"/>
              </w:rPr>
            </w:pPr>
            <w:r>
              <w:rPr>
                <w:rFonts w:ascii="Arial" w:eastAsia="Arial" w:hAnsi="Arial" w:cs="Arial"/>
                <w:b w:val="0"/>
                <w:i/>
                <w:sz w:val="17"/>
              </w:rPr>
              <w:t xml:space="preserve">-change in fair value of insurance contracts for which we have elected the fair value option </w:t>
            </w:r>
            <w:r>
              <w:rPr>
                <w:rFonts w:ascii="Arial" w:eastAsia="Arial" w:hAnsi="Arial" w:cs="Arial"/>
                <w:b w:val="0"/>
                <w:i/>
                <w:sz w:val="17"/>
                <w:vertAlign w:val="superscript"/>
              </w:rPr>
              <w:t>(1)</w:t>
            </w:r>
            <w:r>
              <w:rPr>
                <w:rFonts w:ascii="Arial" w:eastAsia="Arial" w:hAnsi="Arial" w:cs="Arial"/>
                <w:b w:val="0"/>
                <w:i/>
                <w:sz w:val="17"/>
              </w:rPr>
              <w:t>,</w:t>
            </w:r>
          </w:p>
          <w:p>
            <w:pPr>
              <w:pageBreakBefore w:val="0"/>
              <w:numPr>
                <w:ilvl w:val="0"/>
                <w:numId w:val="0"/>
              </w:numPr>
              <w:spacing w:before="0" w:after="0" w:line="240" w:lineRule="auto"/>
              <w:ind w:left="0" w:right="0" w:firstLine="0"/>
              <w:jc w:val="left"/>
              <w:outlineLvl w:val="9"/>
              <w:rPr>
                <w:rFonts w:ascii="Arial" w:eastAsia="Arial" w:hAnsi="Arial" w:cs="Arial"/>
                <w:b w:val="0"/>
                <w:i/>
                <w:sz w:val="17"/>
                <w:vertAlign w:val="superscript"/>
              </w:rPr>
            </w:pPr>
            <w:r>
              <w:rPr>
                <w:rFonts w:ascii="Arial" w:eastAsia="Arial" w:hAnsi="Arial" w:cs="Arial"/>
                <w:b w:val="0"/>
                <w:i/>
                <w:sz w:val="17"/>
              </w:rPr>
              <w:t>-amortization of fair value adjustments,</w:t>
            </w:r>
          </w:p>
          <w:p>
            <w:pPr>
              <w:pageBreakBefore w:val="0"/>
              <w:numPr>
                <w:ilvl w:val="0"/>
                <w:numId w:val="0"/>
              </w:numPr>
              <w:spacing w:before="0" w:after="0" w:line="240" w:lineRule="auto"/>
              <w:ind w:left="0" w:right="0" w:firstLine="0"/>
              <w:jc w:val="left"/>
              <w:outlineLvl w:val="9"/>
              <w:rPr>
                <w:rFonts w:ascii="Arial" w:eastAsia="Arial" w:hAnsi="Arial" w:cs="Arial"/>
                <w:b w:val="0"/>
                <w:i/>
                <w:sz w:val="17"/>
              </w:rPr>
            </w:pPr>
            <w:r>
              <w:rPr>
                <w:rFonts w:ascii="Arial" w:eastAsia="Arial" w:hAnsi="Arial" w:cs="Arial"/>
                <w:b w:val="0"/>
                <w:i/>
                <w:sz w:val="17"/>
              </w:rPr>
              <w:t>-net gain/loss on purchase and sales of subsidiaries (if any),</w:t>
            </w:r>
          </w:p>
          <w:p>
            <w:pPr>
              <w:pageBreakBefore w:val="0"/>
              <w:numPr>
                <w:ilvl w:val="0"/>
                <w:numId w:val="0"/>
              </w:numPr>
              <w:spacing w:before="0" w:after="0" w:line="240" w:lineRule="auto"/>
              <w:ind w:left="0" w:right="0" w:firstLine="0"/>
              <w:jc w:val="left"/>
              <w:outlineLvl w:val="9"/>
              <w:rPr>
                <w:rFonts w:ascii="Arial" w:eastAsia="Arial" w:hAnsi="Arial" w:cs="Arial"/>
                <w:b w:val="0"/>
                <w:i/>
                <w:sz w:val="17"/>
              </w:rPr>
            </w:pPr>
            <w:r>
              <w:rPr>
                <w:rFonts w:ascii="Arial" w:eastAsia="Arial" w:hAnsi="Arial" w:cs="Arial"/>
                <w:b w:val="0"/>
                <w:i/>
                <w:sz w:val="17"/>
              </w:rPr>
              <w:t>-net income from discontinued operations (if any),</w:t>
            </w:r>
          </w:p>
          <w:p>
            <w:pPr>
              <w:pageBreakBefore w:val="0"/>
              <w:numPr>
                <w:ilvl w:val="0"/>
                <w:numId w:val="0"/>
              </w:numPr>
              <w:spacing w:before="0" w:after="0" w:line="240" w:lineRule="auto"/>
              <w:ind w:left="0" w:right="0" w:firstLine="0"/>
              <w:jc w:val="left"/>
              <w:outlineLvl w:val="9"/>
              <w:rPr>
                <w:rFonts w:ascii="Arial" w:eastAsia="Arial" w:hAnsi="Arial" w:cs="Arial"/>
                <w:b w:val="0"/>
                <w:i/>
                <w:sz w:val="17"/>
              </w:rPr>
            </w:pPr>
            <w:r>
              <w:rPr>
                <w:rFonts w:ascii="Arial" w:eastAsia="Arial" w:hAnsi="Arial" w:cs="Arial"/>
                <w:b w:val="0"/>
                <w:i/>
                <w:sz w:val="17"/>
              </w:rPr>
              <w:t>-tax effects of adjustments, and</w:t>
            </w:r>
          </w:p>
          <w:p>
            <w:pPr>
              <w:pageBreakBefore w:val="0"/>
              <w:numPr>
                <w:ilvl w:val="0"/>
                <w:numId w:val="0"/>
              </w:numPr>
              <w:spacing w:before="0" w:after="0" w:line="240" w:lineRule="auto"/>
              <w:ind w:left="0" w:right="0" w:firstLine="0"/>
              <w:jc w:val="left"/>
              <w:outlineLvl w:val="9"/>
              <w:rPr>
                <w:rFonts w:ascii="Arial" w:eastAsia="Arial" w:hAnsi="Arial" w:cs="Arial"/>
                <w:b w:val="0"/>
                <w:i/>
                <w:sz w:val="17"/>
              </w:rPr>
            </w:pPr>
            <w:r>
              <w:rPr>
                <w:rFonts w:ascii="Arial" w:eastAsia="Arial" w:hAnsi="Arial" w:cs="Arial"/>
                <w:b w:val="0"/>
                <w:i/>
                <w:sz w:val="17"/>
              </w:rPr>
              <w:t>-adjustments attributable to noncontrolling interests</w:t>
            </w:r>
          </w:p>
          <w:p>
            <w:pPr>
              <w:pageBreakBefore w:val="0"/>
              <w:numPr>
                <w:ilvl w:val="0"/>
                <w:numId w:val="0"/>
              </w:numPr>
              <w:spacing w:before="0" w:after="0" w:line="240" w:lineRule="auto"/>
              <w:ind w:left="0" w:right="0" w:firstLine="0"/>
              <w:jc w:val="left"/>
              <w:outlineLvl w:val="9"/>
              <w:rPr>
                <w:rFonts w:ascii="Arial" w:eastAsia="Arial" w:hAnsi="Arial" w:cs="Arial"/>
                <w:b w:val="0"/>
                <w:i w:val="0"/>
                <w:sz w:val="17"/>
              </w:rPr>
            </w:pPr>
          </w:p>
          <w:p>
            <w:pPr>
              <w:pageBreakBefore w:val="0"/>
              <w:numPr>
                <w:ilvl w:val="0"/>
                <w:numId w:val="0"/>
              </w:numPr>
              <w:spacing w:before="0" w:after="30" w:line="240" w:lineRule="auto"/>
              <w:ind w:left="0" w:right="0" w:firstLine="0"/>
              <w:jc w:val="left"/>
              <w:outlineLvl w:val="9"/>
              <w:rPr>
                <w:rFonts w:ascii="Arial" w:eastAsia="Arial" w:hAnsi="Arial" w:cs="Arial"/>
                <w:b w:val="0"/>
                <w:i w:val="0"/>
                <w:sz w:val="17"/>
              </w:rPr>
            </w:pPr>
          </w:p>
        </w:tc>
        <w:tc>
          <w:tcPr>
            <w:tcW w:w="60" w:type="dxa"/>
            <w:tcBorders>
              <w:top w:val="nil"/>
              <w:left w:val="nil"/>
              <w:bottom w:val="nil"/>
              <w:right w:val="nil"/>
            </w:tcBorders>
            <w:tcMar>
              <w:top w:w="0" w:type="dxa"/>
              <w:left w:w="30" w:type="dxa"/>
              <w:bottom w:w="0" w:type="dxa"/>
              <w:right w:w="30" w:type="dxa"/>
            </w:tcMar>
            <w:vAlign w:val="top"/>
          </w:tcPr>
          <w:p>
            <w:pPr>
              <w:keepNext/>
              <w:pageBreakBefore w:val="0"/>
              <w:spacing w:before="53" w:after="30" w:line="240" w:lineRule="auto"/>
              <w:jc w:val="left"/>
            </w:pPr>
          </w:p>
        </w:tc>
        <w:tc>
          <w:tcPr>
            <w:tcW w:w="4410" w:type="dxa"/>
            <w:vMerge/>
            <w:tcBorders>
              <w:top w:val="nil"/>
              <w:left w:val="nil"/>
              <w:bottom w:val="nil"/>
              <w:right w:val="nil"/>
            </w:tcBorders>
          </w:tcPr>
          <w:p>
            <w:pPr>
              <w:keepNext/>
              <w:pageBreakBefore w:val="0"/>
            </w:pPr>
          </w:p>
        </w:tc>
      </w:tr>
      <w:tr>
        <w:tblPrEx>
          <w:tblW w:w="10260" w:type="dxa"/>
          <w:tblInd w:w="0" w:type="dxa"/>
          <w:tblLayout w:type="fixed"/>
          <w:tblCellMar>
            <w:left w:w="108" w:type="dxa"/>
            <w:right w:w="108" w:type="dxa"/>
          </w:tblCellMar>
        </w:tblPrEx>
        <w:trPr>
          <w:cantSplit/>
          <w:trHeight w:hRule="exact" w:val="2025"/>
        </w:trPr>
        <w:tc>
          <w:tcPr>
            <w:tcW w:w="163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30" w:line="240" w:lineRule="auto"/>
              <w:ind w:left="0" w:right="0" w:firstLine="0"/>
              <w:jc w:val="left"/>
              <w:outlineLvl w:val="9"/>
              <w:rPr>
                <w:rFonts w:ascii="Arial" w:eastAsia="Arial" w:hAnsi="Arial" w:cs="Arial"/>
                <w:b/>
                <w:i w:val="0"/>
                <w:sz w:val="17"/>
              </w:rPr>
            </w:pPr>
            <w:r>
              <w:rPr>
                <w:rFonts w:ascii="Arial" w:eastAsia="Arial" w:hAnsi="Arial" w:cs="Arial"/>
                <w:b/>
                <w:i w:val="0"/>
                <w:sz w:val="17"/>
              </w:rPr>
              <w:t>Adjusted opening  Enstar ordinary shareholders' equity (</w:t>
            </w:r>
            <w:r>
              <w:rPr>
                <w:rFonts w:ascii="Arial" w:eastAsia="Arial" w:hAnsi="Arial" w:cs="Arial"/>
                <w:b/>
                <w:i/>
                <w:sz w:val="17"/>
              </w:rPr>
              <w:t>denominator)</w:t>
            </w:r>
          </w:p>
        </w:tc>
        <w:tc>
          <w:tcPr>
            <w:tcW w:w="60" w:type="dxa"/>
            <w:tcBorders>
              <w:top w:val="nil"/>
              <w:left w:val="nil"/>
              <w:bottom w:val="nil"/>
              <w:right w:val="nil"/>
            </w:tcBorders>
            <w:tcMar>
              <w:top w:w="0" w:type="dxa"/>
              <w:left w:w="30" w:type="dxa"/>
              <w:bottom w:w="0" w:type="dxa"/>
              <w:right w:w="30" w:type="dxa"/>
            </w:tcMar>
            <w:vAlign w:val="top"/>
          </w:tcPr>
          <w:p>
            <w:pPr>
              <w:pageBreakBefore w:val="0"/>
              <w:spacing w:before="53" w:after="30" w:line="240" w:lineRule="auto"/>
              <w:jc w:val="left"/>
            </w:pPr>
          </w:p>
        </w:tc>
        <w:tc>
          <w:tcPr>
            <w:tcW w:w="409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0" w:line="240" w:lineRule="auto"/>
              <w:ind w:left="0" w:right="0" w:firstLine="0"/>
              <w:jc w:val="left"/>
              <w:outlineLvl w:val="9"/>
              <w:rPr>
                <w:rFonts w:ascii="Arial" w:eastAsia="Arial" w:hAnsi="Arial" w:cs="Arial"/>
                <w:b w:val="0"/>
                <w:i w:val="0"/>
                <w:sz w:val="17"/>
              </w:rPr>
            </w:pPr>
            <w:r>
              <w:rPr>
                <w:rFonts w:ascii="Arial" w:eastAsia="Arial" w:hAnsi="Arial" w:cs="Arial"/>
                <w:b w:val="0"/>
                <w:i w:val="0"/>
                <w:sz w:val="17"/>
              </w:rPr>
              <w:t>Opening Enstar ordinary shareholders' equity, less:</w:t>
            </w:r>
          </w:p>
          <w:p>
            <w:pPr>
              <w:pageBreakBefore w:val="0"/>
              <w:numPr>
                <w:ilvl w:val="0"/>
                <w:numId w:val="0"/>
              </w:numPr>
              <w:spacing w:before="0" w:after="0" w:line="240" w:lineRule="auto"/>
              <w:ind w:left="0" w:right="0" w:firstLine="0"/>
              <w:jc w:val="left"/>
              <w:outlineLvl w:val="9"/>
              <w:rPr>
                <w:rFonts w:ascii="Arial" w:eastAsia="Arial" w:hAnsi="Arial" w:cs="Arial"/>
                <w:b w:val="0"/>
                <w:i/>
                <w:sz w:val="17"/>
              </w:rPr>
            </w:pPr>
            <w:r>
              <w:rPr>
                <w:rFonts w:ascii="Arial" w:eastAsia="Arial" w:hAnsi="Arial" w:cs="Arial"/>
                <w:b w:val="0"/>
                <w:i/>
                <w:sz w:val="17"/>
              </w:rPr>
              <w:t>-net unrealized gains (losses) on fixed maturities and funds held-directly managed,</w:t>
            </w:r>
          </w:p>
          <w:p>
            <w:pPr>
              <w:pageBreakBefore w:val="0"/>
              <w:numPr>
                <w:ilvl w:val="0"/>
                <w:numId w:val="0"/>
              </w:numPr>
              <w:spacing w:before="0" w:after="0" w:line="240" w:lineRule="auto"/>
              <w:ind w:left="0" w:right="0" w:firstLine="0"/>
              <w:jc w:val="left"/>
              <w:outlineLvl w:val="9"/>
              <w:rPr>
                <w:rFonts w:ascii="Arial" w:eastAsia="Arial" w:hAnsi="Arial" w:cs="Arial"/>
                <w:b w:val="0"/>
                <w:i/>
                <w:sz w:val="17"/>
              </w:rPr>
            </w:pPr>
            <w:r>
              <w:rPr>
                <w:rFonts w:ascii="Arial" w:eastAsia="Arial" w:hAnsi="Arial" w:cs="Arial"/>
                <w:b w:val="0"/>
                <w:i/>
                <w:sz w:val="17"/>
              </w:rPr>
              <w:t xml:space="preserve">-fair value of insurance contracts for which we have elected the fair value option </w:t>
            </w:r>
            <w:r>
              <w:rPr>
                <w:rFonts w:ascii="Arial" w:eastAsia="Arial" w:hAnsi="Arial" w:cs="Arial"/>
                <w:b w:val="0"/>
                <w:i/>
                <w:sz w:val="17"/>
                <w:vertAlign w:val="superscript"/>
              </w:rPr>
              <w:t>(1)</w:t>
            </w:r>
            <w:r>
              <w:rPr>
                <w:rFonts w:ascii="Arial" w:eastAsia="Arial" w:hAnsi="Arial" w:cs="Arial"/>
                <w:b w:val="0"/>
                <w:i/>
                <w:sz w:val="17"/>
              </w:rPr>
              <w:t>,</w:t>
            </w:r>
          </w:p>
          <w:p>
            <w:pPr>
              <w:pageBreakBefore w:val="0"/>
              <w:numPr>
                <w:ilvl w:val="0"/>
                <w:numId w:val="0"/>
              </w:numPr>
              <w:spacing w:before="0" w:after="0" w:line="240" w:lineRule="auto"/>
              <w:ind w:left="0" w:right="0" w:firstLine="0"/>
              <w:jc w:val="left"/>
              <w:outlineLvl w:val="9"/>
              <w:rPr>
                <w:rFonts w:ascii="Arial" w:eastAsia="Arial" w:hAnsi="Arial" w:cs="Arial"/>
                <w:b w:val="0"/>
                <w:i/>
                <w:sz w:val="17"/>
              </w:rPr>
            </w:pPr>
            <w:r>
              <w:rPr>
                <w:rFonts w:ascii="Arial" w:eastAsia="Arial" w:hAnsi="Arial" w:cs="Arial"/>
                <w:b w:val="0"/>
                <w:i/>
                <w:sz w:val="17"/>
              </w:rPr>
              <w:t>-fair value adjustments, and</w:t>
            </w:r>
          </w:p>
          <w:p>
            <w:pPr>
              <w:pageBreakBefore w:val="0"/>
              <w:numPr>
                <w:ilvl w:val="0"/>
                <w:numId w:val="0"/>
              </w:numPr>
              <w:spacing w:before="0" w:after="0" w:line="240" w:lineRule="auto"/>
              <w:ind w:left="0" w:right="0" w:firstLine="0"/>
              <w:jc w:val="left"/>
              <w:outlineLvl w:val="9"/>
              <w:rPr>
                <w:rFonts w:ascii="Arial" w:eastAsia="Arial" w:hAnsi="Arial" w:cs="Arial"/>
                <w:b w:val="0"/>
                <w:i/>
                <w:sz w:val="17"/>
              </w:rPr>
            </w:pPr>
            <w:r>
              <w:rPr>
                <w:rFonts w:ascii="Arial" w:eastAsia="Arial" w:hAnsi="Arial" w:cs="Arial"/>
                <w:b w:val="0"/>
                <w:i/>
                <w:sz w:val="17"/>
              </w:rPr>
              <w:t>-net assets of held for sale or disposed subsidiaries classified as discontinued operations (if any)</w:t>
            </w:r>
          </w:p>
          <w:p>
            <w:pPr>
              <w:pageBreakBefore w:val="0"/>
              <w:numPr>
                <w:ilvl w:val="0"/>
                <w:numId w:val="0"/>
              </w:numPr>
              <w:spacing w:before="0" w:after="30" w:line="240" w:lineRule="auto"/>
              <w:ind w:left="0" w:right="0" w:firstLine="0"/>
              <w:jc w:val="left"/>
              <w:outlineLvl w:val="9"/>
              <w:rPr>
                <w:rFonts w:ascii="Arial" w:eastAsia="Arial" w:hAnsi="Arial" w:cs="Arial"/>
                <w:b/>
                <w:i w:val="0"/>
                <w:color w:val="EE2724"/>
                <w:sz w:val="17"/>
                <w:u w:val="none"/>
              </w:rPr>
            </w:pPr>
          </w:p>
        </w:tc>
        <w:tc>
          <w:tcPr>
            <w:tcW w:w="60" w:type="dxa"/>
            <w:tcBorders>
              <w:top w:val="nil"/>
              <w:left w:val="nil"/>
              <w:bottom w:val="nil"/>
              <w:right w:val="nil"/>
            </w:tcBorders>
            <w:tcMar>
              <w:top w:w="0" w:type="dxa"/>
              <w:left w:w="30" w:type="dxa"/>
              <w:bottom w:w="0" w:type="dxa"/>
              <w:right w:w="30" w:type="dxa"/>
            </w:tcMar>
            <w:vAlign w:val="top"/>
          </w:tcPr>
          <w:p>
            <w:pPr>
              <w:pageBreakBefore w:val="0"/>
              <w:spacing w:before="53" w:after="30" w:line="240" w:lineRule="auto"/>
              <w:jc w:val="left"/>
            </w:pPr>
          </w:p>
        </w:tc>
        <w:tc>
          <w:tcPr>
            <w:tcW w:w="4410" w:type="dxa"/>
            <w:vMerge/>
            <w:tcBorders>
              <w:top w:val="nil"/>
              <w:left w:val="nil"/>
              <w:bottom w:val="nil"/>
              <w:right w:val="nil"/>
            </w:tcBorders>
          </w:tcPr>
          <w:p>
            <w:pPr>
              <w:pageBreakBefore w:val="0"/>
            </w:pPr>
          </w:p>
        </w:tc>
      </w:tr>
    </w:tbl>
    <w:p>
      <w:pPr>
        <w:keepNext/>
        <w:keepLines/>
        <w:pageBreakBefore w:val="0"/>
        <w:widowControl w:val="0"/>
        <w:numPr>
          <w:ilvl w:val="0"/>
          <w:numId w:val="0"/>
        </w:numPr>
        <w:spacing w:before="120" w:after="60" w:line="288" w:lineRule="auto"/>
        <w:ind w:left="360" w:right="0" w:hanging="360"/>
        <w:jc w:val="left"/>
        <w:outlineLvl w:val="9"/>
        <w:rPr>
          <w:rFonts w:ascii="Arial" w:eastAsia="Arial" w:hAnsi="Arial" w:cs="Arial"/>
          <w:b w:val="0"/>
          <w:i w:val="0"/>
          <w:sz w:val="16"/>
        </w:rPr>
      </w:pPr>
      <w:r>
        <w:rPr>
          <w:rFonts w:ascii="Arial" w:eastAsia="Arial" w:hAnsi="Arial" w:cs="Arial"/>
          <w:b w:val="0"/>
          <w:i w:val="0"/>
          <w:sz w:val="16"/>
          <w:vertAlign w:val="superscript"/>
        </w:rPr>
        <w:t xml:space="preserve">(1) </w:t>
      </w:r>
      <w:r>
        <w:rPr>
          <w:rFonts w:ascii="Arial" w:eastAsia="Arial" w:hAnsi="Arial" w:cs="Arial"/>
          <w:b w:val="0"/>
          <w:i w:val="0"/>
          <w:sz w:val="16"/>
          <w:vertAlign w:val="superscript"/>
        </w:rPr>
        <w:tab/>
      </w:r>
      <w:r>
        <w:rPr>
          <w:rFonts w:ascii="Arial" w:eastAsia="Arial" w:hAnsi="Arial" w:cs="Arial"/>
          <w:b w:val="0"/>
          <w:i w:val="0"/>
          <w:sz w:val="16"/>
        </w:rPr>
        <w:t xml:space="preserve">Comprises the discount rate and risk margin components. </w:t>
      </w:r>
    </w:p>
    <w:p>
      <w:pPr>
        <w:keepNext/>
        <w:keepLines/>
        <w:pageBreakBefore/>
        <w:widowControl w:val="0"/>
        <w:numPr>
          <w:ilvl w:val="0"/>
          <w:numId w:val="0"/>
        </w:numPr>
        <w:spacing w:before="0" w:after="60" w:line="288" w:lineRule="auto"/>
        <w:ind w:left="360" w:right="0" w:hanging="360"/>
        <w:jc w:val="both"/>
        <w:outlineLvl w:val="9"/>
        <w:rPr>
          <w:rFonts w:ascii="Arial" w:eastAsia="Arial" w:hAnsi="Arial" w:cs="Arial"/>
          <w:b/>
          <w:i w:val="0"/>
          <w:color w:val="171449"/>
          <w:sz w:val="24"/>
          <w:u w:val="none"/>
        </w:rPr>
      </w:pPr>
      <w:r>
        <w:rPr>
          <w:rFonts w:ascii="Arial" w:eastAsia="Arial" w:hAnsi="Arial" w:cs="Arial"/>
          <w:b/>
          <w:i w:val="0"/>
          <w:color w:val="171449"/>
          <w:sz w:val="24"/>
          <w:u w:val="none"/>
        </w:rPr>
        <w:t>Reconciliation of GAAP to Non-GAAP Measures</w:t>
      </w:r>
    </w:p>
    <w:tbl>
      <w:tblPr>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60"/>
      </w:tblGrid>
      <w:tr>
        <w:tblPrEx>
          <w:tblW w:w="1026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60"/>
          <w:jc w:val="left"/>
        </w:trPr>
        <w:tc>
          <w:tcPr>
            <w:tcW w:w="10260" w:type="dxa"/>
            <w:tcBorders>
              <w:top w:val="single" w:sz="8" w:space="0" w:color="1867A5"/>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table below presents a reconciliation of BVPS to </w:t>
      </w:r>
      <w:r>
        <w:rPr>
          <w:rFonts w:ascii="Arial" w:eastAsia="Arial" w:hAnsi="Arial" w:cs="Arial"/>
          <w:b w:val="0"/>
          <w:i w:val="0"/>
          <w:sz w:val="20"/>
        </w:rPr>
        <w:t>FD</w:t>
      </w:r>
      <w:r>
        <w:rPr>
          <w:rFonts w:ascii="Arial" w:eastAsia="Arial" w:hAnsi="Arial" w:cs="Arial"/>
          <w:b w:val="0"/>
          <w:i w:val="0"/>
          <w:sz w:val="20"/>
        </w:rPr>
        <w:t>BVPS* as of December 31, 202</w:t>
      </w:r>
      <w:r>
        <w:rPr>
          <w:rFonts w:ascii="Arial" w:eastAsia="Arial" w:hAnsi="Arial" w:cs="Arial"/>
          <w:b w:val="0"/>
          <w:i w:val="0"/>
          <w:sz w:val="20"/>
        </w:rPr>
        <w:t>3</w:t>
      </w:r>
      <w:r>
        <w:rPr>
          <w:rFonts w:ascii="Arial" w:eastAsia="Arial" w:hAnsi="Arial" w:cs="Arial"/>
          <w:b w:val="0"/>
          <w:i w:val="0"/>
          <w:sz w:val="20"/>
        </w:rPr>
        <w:t>, 202</w:t>
      </w:r>
      <w:r>
        <w:rPr>
          <w:rFonts w:ascii="Arial" w:eastAsia="Arial" w:hAnsi="Arial" w:cs="Arial"/>
          <w:b w:val="0"/>
          <w:i w:val="0"/>
          <w:sz w:val="20"/>
        </w:rPr>
        <w:t>2</w:t>
      </w:r>
      <w:r>
        <w:rPr>
          <w:rFonts w:ascii="Arial" w:eastAsia="Arial" w:hAnsi="Arial" w:cs="Arial"/>
          <w:b w:val="0"/>
          <w:i w:val="0"/>
          <w:sz w:val="20"/>
        </w:rPr>
        <w:t xml:space="preserve"> and 202</w:t>
      </w:r>
      <w:r>
        <w:rPr>
          <w:rFonts w:ascii="Arial" w:eastAsia="Arial" w:hAnsi="Arial" w:cs="Arial"/>
          <w:b w:val="0"/>
          <w:i w:val="0"/>
          <w:sz w:val="20"/>
        </w:rPr>
        <w:t>1</w:t>
      </w:r>
      <w:r>
        <w:rPr>
          <w:rFonts w:ascii="Arial" w:eastAsia="Arial" w:hAnsi="Arial" w:cs="Arial"/>
          <w:b w:val="0"/>
          <w:i w:val="0"/>
          <w:sz w:val="20"/>
        </w:rPr>
        <w:t>:</w:t>
      </w:r>
    </w:p>
    <w:tbl>
      <w:tblPr>
        <w:tblW w:w="102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2625"/>
        <w:gridCol w:w="735"/>
        <w:gridCol w:w="60"/>
        <w:gridCol w:w="900"/>
        <w:gridCol w:w="60"/>
        <w:gridCol w:w="735"/>
        <w:gridCol w:w="60"/>
        <w:gridCol w:w="735"/>
        <w:gridCol w:w="60"/>
        <w:gridCol w:w="900"/>
        <w:gridCol w:w="60"/>
        <w:gridCol w:w="735"/>
        <w:gridCol w:w="60"/>
        <w:gridCol w:w="735"/>
        <w:gridCol w:w="60"/>
        <w:gridCol w:w="900"/>
        <w:gridCol w:w="60"/>
        <w:gridCol w:w="735"/>
      </w:tblGrid>
      <w:tr>
        <w:tblPrEx>
          <w:tblW w:w="102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40"/>
        </w:trPr>
        <w:tc>
          <w:tcPr>
            <w:tcW w:w="262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2490" w:type="dxa"/>
            <w:gridSpan w:val="5"/>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i w:val="0"/>
                <w:color w:val="000000"/>
                <w:sz w:val="16"/>
                <w:u w:val="none"/>
              </w:rPr>
              <w:t>2023</w:t>
            </w:r>
          </w:p>
        </w:tc>
        <w:tc>
          <w:tcPr>
            <w:tcW w:w="60" w:type="dxa"/>
            <w:tcBorders>
              <w:top w:val="nil"/>
              <w:left w:val="nil"/>
              <w:bottom w:val="nil"/>
              <w:right w:val="nil"/>
            </w:tcBorders>
            <w:tcMar>
              <w:top w:w="0" w:type="dxa"/>
              <w:left w:w="30" w:type="dxa"/>
              <w:bottom w:w="0" w:type="dxa"/>
              <w:right w:w="30" w:type="dxa"/>
            </w:tcMar>
            <w:vAlign w:val="bottom"/>
          </w:tcPr>
          <w:p>
            <w:pPr>
              <w:keepNext/>
              <w:pageBreakBefore w:val="0"/>
              <w:spacing w:before="53" w:after="30" w:line="240" w:lineRule="auto"/>
              <w:jc w:val="center"/>
            </w:pPr>
          </w:p>
        </w:tc>
        <w:tc>
          <w:tcPr>
            <w:tcW w:w="2490" w:type="dxa"/>
            <w:gridSpan w:val="5"/>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i w:val="0"/>
                <w:color w:val="000000"/>
                <w:sz w:val="16"/>
                <w:u w:val="none"/>
              </w:rPr>
              <w:t>2022</w:t>
            </w:r>
          </w:p>
        </w:tc>
        <w:tc>
          <w:tcPr>
            <w:tcW w:w="60" w:type="dxa"/>
            <w:tcBorders>
              <w:top w:val="nil"/>
              <w:left w:val="nil"/>
              <w:bottom w:val="nil"/>
              <w:right w:val="nil"/>
            </w:tcBorders>
            <w:tcMar>
              <w:top w:w="0" w:type="dxa"/>
              <w:left w:w="30" w:type="dxa"/>
              <w:bottom w:w="0" w:type="dxa"/>
              <w:right w:w="30" w:type="dxa"/>
            </w:tcMar>
            <w:vAlign w:val="bottom"/>
          </w:tcPr>
          <w:p>
            <w:pPr>
              <w:keepNext/>
              <w:pageBreakBefore w:val="0"/>
              <w:spacing w:before="53" w:after="30" w:line="240" w:lineRule="auto"/>
              <w:jc w:val="center"/>
            </w:pPr>
          </w:p>
        </w:tc>
        <w:tc>
          <w:tcPr>
            <w:tcW w:w="2490" w:type="dxa"/>
            <w:gridSpan w:val="5"/>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i w:val="0"/>
                <w:color w:val="000000"/>
                <w:sz w:val="16"/>
                <w:u w:val="none"/>
              </w:rPr>
              <w:t>2021</w:t>
            </w:r>
          </w:p>
        </w:tc>
      </w:tr>
      <w:tr>
        <w:tblPrEx>
          <w:tblW w:w="10215" w:type="dxa"/>
          <w:tblInd w:w="0" w:type="dxa"/>
          <w:tblLayout w:type="fixed"/>
          <w:tblCellMar>
            <w:left w:w="108" w:type="dxa"/>
            <w:right w:w="108" w:type="dxa"/>
          </w:tblCellMar>
        </w:tblPrEx>
        <w:trPr>
          <w:cantSplit/>
          <w:trHeight w:hRule="exact" w:val="555"/>
        </w:trPr>
        <w:tc>
          <w:tcPr>
            <w:tcW w:w="262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735" w:type="dxa"/>
            <w:tcBorders>
              <w:top w:val="nil"/>
              <w:left w:val="nil"/>
              <w:bottom w:val="single" w:sz="8" w:space="0" w:color="000000"/>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center"/>
              <w:outlineLvl w:val="9"/>
              <w:rPr>
                <w:rFonts w:ascii="Arial" w:eastAsia="Arial" w:hAnsi="Arial" w:cs="Arial"/>
                <w:b/>
                <w:i w:val="0"/>
                <w:sz w:val="16"/>
              </w:rPr>
            </w:pPr>
            <w:r>
              <w:rPr>
                <w:rFonts w:ascii="Arial" w:eastAsia="Arial" w:hAnsi="Arial" w:cs="Arial"/>
                <w:b/>
                <w:i w:val="0"/>
                <w:sz w:val="16"/>
              </w:rPr>
              <w:t xml:space="preserve">Equity </w:t>
            </w:r>
            <w:r>
              <w:rPr>
                <w:rFonts w:ascii="Arial" w:eastAsia="Arial" w:hAnsi="Arial" w:cs="Arial"/>
                <w:b/>
                <w:i w:val="0"/>
                <w:sz w:val="16"/>
                <w:vertAlign w:val="superscript"/>
              </w:rPr>
              <w:t>(1)</w:t>
            </w:r>
          </w:p>
        </w:tc>
        <w:tc>
          <w:tcPr>
            <w:tcW w:w="60" w:type="dxa"/>
            <w:tcBorders>
              <w:top w:val="single" w:sz="8" w:space="0" w:color="000000"/>
              <w:left w:val="nil"/>
              <w:bottom w:val="nil"/>
              <w:right w:val="nil"/>
            </w:tcBorders>
            <w:tcMar>
              <w:top w:w="0" w:type="dxa"/>
              <w:left w:w="30" w:type="dxa"/>
              <w:bottom w:w="0" w:type="dxa"/>
              <w:right w:w="30" w:type="dxa"/>
            </w:tcMar>
            <w:vAlign w:val="bottom"/>
          </w:tcPr>
          <w:p>
            <w:pPr>
              <w:keepNext/>
              <w:pageBreakBefore w:val="0"/>
              <w:spacing w:before="33" w:after="30" w:line="240" w:lineRule="auto"/>
              <w:jc w:val="center"/>
            </w:pPr>
          </w:p>
        </w:tc>
        <w:tc>
          <w:tcPr>
            <w:tcW w:w="900"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center"/>
            </w:pPr>
            <w:r>
              <w:rPr>
                <w:rFonts w:ascii="Arial" w:eastAsia="Arial" w:hAnsi="Arial" w:cs="Arial"/>
                <w:b/>
                <w:i w:val="0"/>
                <w:color w:val="000000"/>
                <w:sz w:val="16"/>
                <w:u w:val="none"/>
              </w:rPr>
              <w:t>Ordinary Shares</w:t>
            </w:r>
          </w:p>
        </w:tc>
        <w:tc>
          <w:tcPr>
            <w:tcW w:w="60" w:type="dxa"/>
            <w:tcBorders>
              <w:top w:val="single" w:sz="8" w:space="0" w:color="000000"/>
              <w:left w:val="nil"/>
              <w:bottom w:val="nil"/>
              <w:right w:val="nil"/>
            </w:tcBorders>
            <w:tcMar>
              <w:top w:w="0" w:type="dxa"/>
              <w:left w:w="30" w:type="dxa"/>
              <w:bottom w:w="0" w:type="dxa"/>
              <w:right w:w="30" w:type="dxa"/>
            </w:tcMar>
            <w:vAlign w:val="bottom"/>
          </w:tcPr>
          <w:p>
            <w:pPr>
              <w:keepNext/>
              <w:pageBreakBefore w:val="0"/>
              <w:spacing w:before="33" w:after="30" w:line="240" w:lineRule="auto"/>
              <w:jc w:val="center"/>
            </w:pPr>
          </w:p>
        </w:tc>
        <w:tc>
          <w:tcPr>
            <w:tcW w:w="73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center"/>
            </w:pPr>
            <w:r>
              <w:rPr>
                <w:rFonts w:ascii="Arial" w:eastAsia="Arial" w:hAnsi="Arial" w:cs="Arial"/>
                <w:b/>
                <w:i w:val="0"/>
                <w:color w:val="000000"/>
                <w:sz w:val="16"/>
                <w:u w:val="none"/>
              </w:rPr>
              <w:t>Per Share Amount</w:t>
            </w:r>
          </w:p>
        </w:tc>
        <w:tc>
          <w:tcPr>
            <w:tcW w:w="60" w:type="dxa"/>
            <w:tcBorders>
              <w:top w:val="nil"/>
              <w:left w:val="nil"/>
              <w:bottom w:val="nil"/>
              <w:right w:val="nil"/>
            </w:tcBorders>
            <w:tcMar>
              <w:top w:w="0" w:type="dxa"/>
              <w:left w:w="30" w:type="dxa"/>
              <w:bottom w:w="0" w:type="dxa"/>
              <w:right w:w="30" w:type="dxa"/>
            </w:tcMar>
            <w:vAlign w:val="bottom"/>
          </w:tcPr>
          <w:p>
            <w:pPr>
              <w:keepNext/>
              <w:pageBreakBefore w:val="0"/>
              <w:spacing w:before="33" w:after="30" w:line="240" w:lineRule="auto"/>
              <w:jc w:val="center"/>
            </w:pPr>
          </w:p>
        </w:tc>
        <w:tc>
          <w:tcPr>
            <w:tcW w:w="735" w:type="dxa"/>
            <w:tcBorders>
              <w:top w:val="nil"/>
              <w:left w:val="nil"/>
              <w:bottom w:val="single" w:sz="8" w:space="0" w:color="000000"/>
              <w:right w:val="nil"/>
            </w:tcBorders>
            <w:tcMar>
              <w:top w:w="0" w:type="dxa"/>
              <w:left w:w="53" w:type="dxa"/>
              <w:bottom w:w="0" w:type="dxa"/>
              <w:right w:w="53" w:type="dxa"/>
            </w:tcMar>
            <w:vAlign w:val="bottom"/>
          </w:tcPr>
          <w:p>
            <w:pPr>
              <w:keepNext/>
              <w:pageBreakBefore w:val="0"/>
              <w:numPr>
                <w:ilvl w:val="0"/>
                <w:numId w:val="0"/>
              </w:numPr>
              <w:spacing w:before="33" w:after="0" w:line="240" w:lineRule="auto"/>
              <w:ind w:left="0" w:right="0" w:firstLine="0"/>
              <w:jc w:val="center"/>
              <w:outlineLvl w:val="9"/>
              <w:rPr>
                <w:rFonts w:ascii="Arial" w:eastAsia="Arial" w:hAnsi="Arial" w:cs="Arial"/>
                <w:b/>
                <w:i w:val="0"/>
                <w:sz w:val="16"/>
              </w:rPr>
            </w:pPr>
            <w:r>
              <w:rPr>
                <w:rFonts w:ascii="Arial" w:eastAsia="Arial" w:hAnsi="Arial" w:cs="Arial"/>
                <w:b/>
                <w:i w:val="0"/>
                <w:sz w:val="16"/>
              </w:rPr>
              <w:t xml:space="preserve">Equity </w:t>
            </w:r>
          </w:p>
          <w:p>
            <w:pPr>
              <w:pageBreakBefore w:val="0"/>
              <w:numPr>
                <w:ilvl w:val="0"/>
                <w:numId w:val="0"/>
              </w:numPr>
              <w:spacing w:before="0" w:after="30" w:line="240" w:lineRule="auto"/>
              <w:ind w:left="0" w:right="0" w:firstLine="0"/>
              <w:jc w:val="center"/>
              <w:outlineLvl w:val="9"/>
              <w:rPr>
                <w:rFonts w:ascii="Arial" w:eastAsia="Arial" w:hAnsi="Arial" w:cs="Arial"/>
                <w:b/>
                <w:i w:val="0"/>
                <w:sz w:val="16"/>
              </w:rPr>
            </w:pPr>
            <w:r>
              <w:rPr>
                <w:rFonts w:ascii="Arial" w:eastAsia="Arial" w:hAnsi="Arial" w:cs="Arial"/>
                <w:b/>
                <w:i w:val="0"/>
                <w:sz w:val="16"/>
                <w:vertAlign w:val="superscript"/>
              </w:rPr>
              <w:t>(1) (2)</w:t>
            </w:r>
          </w:p>
        </w:tc>
        <w:tc>
          <w:tcPr>
            <w:tcW w:w="60" w:type="dxa"/>
            <w:tcBorders>
              <w:top w:val="single" w:sz="8" w:space="0" w:color="000000"/>
              <w:left w:val="nil"/>
              <w:bottom w:val="nil"/>
              <w:right w:val="nil"/>
            </w:tcBorders>
            <w:tcMar>
              <w:top w:w="0" w:type="dxa"/>
              <w:left w:w="30" w:type="dxa"/>
              <w:bottom w:w="0" w:type="dxa"/>
              <w:right w:w="30" w:type="dxa"/>
            </w:tcMar>
            <w:vAlign w:val="bottom"/>
          </w:tcPr>
          <w:p>
            <w:pPr>
              <w:keepNext/>
              <w:pageBreakBefore w:val="0"/>
              <w:spacing w:before="33" w:after="30" w:line="240" w:lineRule="auto"/>
              <w:jc w:val="center"/>
            </w:pPr>
          </w:p>
        </w:tc>
        <w:tc>
          <w:tcPr>
            <w:tcW w:w="900"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center"/>
            </w:pPr>
            <w:r>
              <w:rPr>
                <w:rFonts w:ascii="Arial" w:eastAsia="Arial" w:hAnsi="Arial" w:cs="Arial"/>
                <w:b/>
                <w:i w:val="0"/>
                <w:color w:val="000000"/>
                <w:sz w:val="16"/>
                <w:u w:val="none"/>
              </w:rPr>
              <w:t>Ordinary Shares</w:t>
            </w:r>
          </w:p>
        </w:tc>
        <w:tc>
          <w:tcPr>
            <w:tcW w:w="60" w:type="dxa"/>
            <w:tcBorders>
              <w:top w:val="single" w:sz="8" w:space="0" w:color="000000"/>
              <w:left w:val="nil"/>
              <w:bottom w:val="nil"/>
              <w:right w:val="nil"/>
            </w:tcBorders>
            <w:tcMar>
              <w:top w:w="0" w:type="dxa"/>
              <w:left w:w="30" w:type="dxa"/>
              <w:bottom w:w="0" w:type="dxa"/>
              <w:right w:w="30" w:type="dxa"/>
            </w:tcMar>
            <w:vAlign w:val="bottom"/>
          </w:tcPr>
          <w:p>
            <w:pPr>
              <w:keepNext/>
              <w:pageBreakBefore w:val="0"/>
              <w:spacing w:before="33" w:after="30" w:line="240" w:lineRule="auto"/>
              <w:jc w:val="center"/>
            </w:pPr>
          </w:p>
        </w:tc>
        <w:tc>
          <w:tcPr>
            <w:tcW w:w="73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center"/>
            </w:pPr>
            <w:r>
              <w:rPr>
                <w:rFonts w:ascii="Arial" w:eastAsia="Arial" w:hAnsi="Arial" w:cs="Arial"/>
                <w:b/>
                <w:i w:val="0"/>
                <w:color w:val="000000"/>
                <w:sz w:val="16"/>
                <w:u w:val="none"/>
              </w:rPr>
              <w:t>Per Share Amount</w:t>
            </w:r>
          </w:p>
        </w:tc>
        <w:tc>
          <w:tcPr>
            <w:tcW w:w="60" w:type="dxa"/>
            <w:tcBorders>
              <w:top w:val="nil"/>
              <w:left w:val="nil"/>
              <w:bottom w:val="nil"/>
              <w:right w:val="nil"/>
            </w:tcBorders>
            <w:tcMar>
              <w:top w:w="0" w:type="dxa"/>
              <w:left w:w="30" w:type="dxa"/>
              <w:bottom w:w="0" w:type="dxa"/>
              <w:right w:w="30" w:type="dxa"/>
            </w:tcMar>
            <w:vAlign w:val="bottom"/>
          </w:tcPr>
          <w:p>
            <w:pPr>
              <w:keepNext/>
              <w:pageBreakBefore w:val="0"/>
              <w:spacing w:before="33" w:after="30" w:line="240" w:lineRule="auto"/>
              <w:jc w:val="center"/>
            </w:pPr>
          </w:p>
        </w:tc>
        <w:tc>
          <w:tcPr>
            <w:tcW w:w="735" w:type="dxa"/>
            <w:tcBorders>
              <w:top w:val="nil"/>
              <w:left w:val="nil"/>
              <w:bottom w:val="single" w:sz="8" w:space="0" w:color="000000"/>
              <w:right w:val="nil"/>
            </w:tcBorders>
            <w:tcMar>
              <w:top w:w="0" w:type="dxa"/>
              <w:left w:w="53" w:type="dxa"/>
              <w:bottom w:w="0" w:type="dxa"/>
              <w:right w:w="53" w:type="dxa"/>
            </w:tcMar>
            <w:vAlign w:val="bottom"/>
          </w:tcPr>
          <w:p>
            <w:pPr>
              <w:keepNext/>
              <w:pageBreakBefore w:val="0"/>
              <w:numPr>
                <w:ilvl w:val="0"/>
                <w:numId w:val="0"/>
              </w:numPr>
              <w:spacing w:before="33" w:after="30" w:line="240" w:lineRule="auto"/>
              <w:ind w:left="0" w:right="0" w:firstLine="0"/>
              <w:jc w:val="center"/>
              <w:outlineLvl w:val="9"/>
              <w:rPr>
                <w:rFonts w:ascii="Arial" w:eastAsia="Arial" w:hAnsi="Arial" w:cs="Arial"/>
                <w:b/>
                <w:i w:val="0"/>
                <w:sz w:val="16"/>
              </w:rPr>
            </w:pPr>
            <w:r>
              <w:rPr>
                <w:rFonts w:ascii="Arial" w:eastAsia="Arial" w:hAnsi="Arial" w:cs="Arial"/>
                <w:b/>
                <w:i w:val="0"/>
                <w:sz w:val="16"/>
              </w:rPr>
              <w:t xml:space="preserve">Equity </w:t>
            </w:r>
            <w:r>
              <w:rPr>
                <w:rFonts w:ascii="Arial" w:eastAsia="Arial" w:hAnsi="Arial" w:cs="Arial"/>
                <w:b/>
                <w:i w:val="0"/>
                <w:sz w:val="16"/>
                <w:vertAlign w:val="superscript"/>
              </w:rPr>
              <w:t>(1)</w:t>
            </w:r>
          </w:p>
        </w:tc>
        <w:tc>
          <w:tcPr>
            <w:tcW w:w="60" w:type="dxa"/>
            <w:tcBorders>
              <w:top w:val="single" w:sz="8" w:space="0" w:color="000000"/>
              <w:left w:val="nil"/>
              <w:bottom w:val="nil"/>
              <w:right w:val="nil"/>
            </w:tcBorders>
            <w:tcMar>
              <w:top w:w="0" w:type="dxa"/>
              <w:left w:w="30" w:type="dxa"/>
              <w:bottom w:w="0" w:type="dxa"/>
              <w:right w:w="30" w:type="dxa"/>
            </w:tcMar>
            <w:vAlign w:val="bottom"/>
          </w:tcPr>
          <w:p>
            <w:pPr>
              <w:keepNext/>
              <w:pageBreakBefore w:val="0"/>
              <w:spacing w:before="33" w:after="30" w:line="240" w:lineRule="auto"/>
              <w:jc w:val="center"/>
            </w:pPr>
          </w:p>
        </w:tc>
        <w:tc>
          <w:tcPr>
            <w:tcW w:w="900"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center"/>
            </w:pPr>
            <w:r>
              <w:rPr>
                <w:rFonts w:ascii="Arial" w:eastAsia="Arial" w:hAnsi="Arial" w:cs="Arial"/>
                <w:b/>
                <w:i w:val="0"/>
                <w:color w:val="000000"/>
                <w:sz w:val="16"/>
                <w:u w:val="none"/>
              </w:rPr>
              <w:t>Ordinary Shares</w:t>
            </w:r>
          </w:p>
        </w:tc>
        <w:tc>
          <w:tcPr>
            <w:tcW w:w="60" w:type="dxa"/>
            <w:tcBorders>
              <w:top w:val="single" w:sz="8" w:space="0" w:color="000000"/>
              <w:left w:val="nil"/>
              <w:bottom w:val="nil"/>
              <w:right w:val="nil"/>
            </w:tcBorders>
            <w:tcMar>
              <w:top w:w="0" w:type="dxa"/>
              <w:left w:w="30" w:type="dxa"/>
              <w:bottom w:w="0" w:type="dxa"/>
              <w:right w:w="30" w:type="dxa"/>
            </w:tcMar>
            <w:vAlign w:val="bottom"/>
          </w:tcPr>
          <w:p>
            <w:pPr>
              <w:keepNext/>
              <w:pageBreakBefore w:val="0"/>
              <w:spacing w:before="33" w:after="30" w:line="240" w:lineRule="auto"/>
              <w:jc w:val="center"/>
            </w:pPr>
          </w:p>
        </w:tc>
        <w:tc>
          <w:tcPr>
            <w:tcW w:w="735" w:type="dxa"/>
            <w:tcBorders>
              <w:top w:val="single" w:sz="8" w:space="0" w:color="000000"/>
              <w:left w:val="nil"/>
              <w:bottom w:val="single" w:sz="8" w:space="0" w:color="000000"/>
              <w:right w:val="nil"/>
            </w:tcBorders>
            <w:tcMar>
              <w:top w:w="0" w:type="dxa"/>
              <w:left w:w="53" w:type="dxa"/>
              <w:bottom w:w="0" w:type="dxa"/>
              <w:right w:w="53" w:type="dxa"/>
            </w:tcMar>
            <w:vAlign w:val="bottom"/>
          </w:tcPr>
          <w:p>
            <w:pPr>
              <w:keepNext/>
              <w:pageBreakBefore w:val="0"/>
              <w:spacing w:before="33" w:after="30" w:line="240" w:lineRule="auto"/>
              <w:jc w:val="center"/>
            </w:pPr>
            <w:r>
              <w:rPr>
                <w:rFonts w:ascii="Arial" w:eastAsia="Arial" w:hAnsi="Arial" w:cs="Arial"/>
                <w:b/>
                <w:i w:val="0"/>
                <w:color w:val="000000"/>
                <w:sz w:val="16"/>
                <w:u w:val="none"/>
              </w:rPr>
              <w:t>Per Share Amount</w:t>
            </w:r>
          </w:p>
        </w:tc>
      </w:tr>
      <w:tr>
        <w:tblPrEx>
          <w:tblW w:w="10215" w:type="dxa"/>
          <w:tblInd w:w="0" w:type="dxa"/>
          <w:tblLayout w:type="fixed"/>
          <w:tblCellMar>
            <w:left w:w="108" w:type="dxa"/>
            <w:right w:w="108" w:type="dxa"/>
          </w:tblCellMar>
        </w:tblPrEx>
        <w:trPr>
          <w:cantSplit/>
          <w:trHeight w:hRule="exact" w:val="240"/>
        </w:trPr>
        <w:tc>
          <w:tcPr>
            <w:tcW w:w="262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7590" w:type="dxa"/>
            <w:gridSpan w:val="17"/>
            <w:tcBorders>
              <w:top w:val="nil"/>
              <w:left w:val="nil"/>
              <w:bottom w:val="nil"/>
              <w:right w:val="nil"/>
            </w:tcBorders>
            <w:tcMar>
              <w:top w:w="0" w:type="dxa"/>
              <w:left w:w="53" w:type="dxa"/>
              <w:bottom w:w="0" w:type="dxa"/>
              <w:right w:w="15" w:type="dxa"/>
            </w:tcMar>
            <w:vAlign w:val="bottom"/>
          </w:tcPr>
          <w:p>
            <w:pPr>
              <w:keepNext/>
              <w:pageBreakBefore w:val="0"/>
              <w:spacing w:before="33" w:after="30" w:line="240" w:lineRule="auto"/>
              <w:jc w:val="center"/>
            </w:pPr>
            <w:r>
              <w:rPr>
                <w:rFonts w:ascii="Arial" w:eastAsia="Arial" w:hAnsi="Arial" w:cs="Arial"/>
                <w:b/>
                <w:i w:val="0"/>
                <w:color w:val="000000"/>
                <w:sz w:val="16"/>
                <w:u w:val="none"/>
              </w:rPr>
              <w:t>(in millions of U.S. dollars, except share and per share data)</w:t>
            </w:r>
          </w:p>
        </w:tc>
      </w:tr>
      <w:tr>
        <w:tblPrEx>
          <w:tblW w:w="10215" w:type="dxa"/>
          <w:tblInd w:w="0" w:type="dxa"/>
          <w:tblLayout w:type="fixed"/>
          <w:tblCellMar>
            <w:left w:w="108" w:type="dxa"/>
            <w:right w:w="108" w:type="dxa"/>
          </w:tblCellMar>
        </w:tblPrEx>
        <w:trPr>
          <w:cantSplit/>
          <w:trHeight w:hRule="exact" w:val="240"/>
        </w:trPr>
        <w:tc>
          <w:tcPr>
            <w:tcW w:w="262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6"/>
                <w:u w:val="none"/>
              </w:rPr>
              <w:t>Book value per ordinary share</w:t>
            </w:r>
          </w:p>
        </w:tc>
        <w:tc>
          <w:tcPr>
            <w:tcW w:w="735" w:type="dxa"/>
            <w:tcBorders>
              <w:top w:val="nil"/>
              <w:left w:val="nil"/>
              <w:bottom w:val="nil"/>
              <w:right w:val="nil"/>
            </w:tcBorders>
            <w:tcMar>
              <w:top w:w="0" w:type="dxa"/>
              <w:left w:w="0" w:type="dxa"/>
              <w:bottom w:w="0" w:type="dxa"/>
              <w:right w:w="15" w:type="dxa"/>
            </w:tcMar>
            <w:vAlign w:val="bottom"/>
          </w:tcPr>
          <w:p>
            <w:pPr>
              <w:keepNext/>
              <w:pageBreakBefore w:val="0"/>
              <w:tabs>
                <w:tab w:val="left" w:pos="216"/>
                <w:tab w:val="left" w:pos="667"/>
              </w:tabs>
              <w:spacing w:before="53" w:after="30" w:line="240" w:lineRule="auto"/>
              <w:jc w:val="right"/>
            </w:pPr>
            <w:r>
              <w:rPr>
                <w:rFonts w:ascii="Arial" w:eastAsia="Arial" w:hAnsi="Arial" w:cs="Arial"/>
                <w:b w:val="0"/>
                <w:i w:val="0"/>
                <w:color w:val="000000"/>
                <w:sz w:val="16"/>
                <w:u w:val="none"/>
              </w:rPr>
              <w:t>$</w:t>
              <w:tab/>
              <w:t>5,025</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9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852"/>
              </w:tabs>
              <w:spacing w:before="53" w:after="30" w:line="240" w:lineRule="auto"/>
              <w:jc w:val="right"/>
            </w:pPr>
            <w:r>
              <w:rPr>
                <w:rFonts w:ascii="Arial" w:eastAsia="Arial" w:hAnsi="Arial" w:cs="Arial"/>
                <w:b w:val="0"/>
                <w:i w:val="0"/>
                <w:color w:val="000000"/>
                <w:sz w:val="16"/>
                <w:u w:val="none"/>
              </w:rPr>
              <w:tab/>
              <w:t>14,631,055</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735" w:type="dxa"/>
            <w:tcBorders>
              <w:top w:val="nil"/>
              <w:left w:val="nil"/>
              <w:bottom w:val="nil"/>
              <w:right w:val="nil"/>
            </w:tcBorders>
            <w:tcMar>
              <w:top w:w="0" w:type="dxa"/>
              <w:left w:w="0" w:type="dxa"/>
              <w:bottom w:w="0" w:type="dxa"/>
              <w:right w:w="15" w:type="dxa"/>
            </w:tcMar>
            <w:vAlign w:val="bottom"/>
          </w:tcPr>
          <w:p>
            <w:pPr>
              <w:keepNext/>
              <w:pageBreakBefore w:val="0"/>
              <w:tabs>
                <w:tab w:val="left" w:pos="127"/>
                <w:tab w:val="left" w:pos="667"/>
              </w:tabs>
              <w:spacing w:before="53" w:after="30" w:line="240" w:lineRule="auto"/>
              <w:jc w:val="right"/>
            </w:pPr>
            <w:r>
              <w:rPr>
                <w:rFonts w:ascii="Arial" w:eastAsia="Arial" w:hAnsi="Arial" w:cs="Arial"/>
                <w:b w:val="0"/>
                <w:i w:val="0"/>
                <w:color w:val="000000"/>
                <w:sz w:val="16"/>
                <w:u w:val="none"/>
              </w:rPr>
              <w:t>$</w:t>
              <w:tab/>
              <w:t>343.45</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735" w:type="dxa"/>
            <w:tcBorders>
              <w:top w:val="nil"/>
              <w:left w:val="nil"/>
              <w:bottom w:val="nil"/>
              <w:right w:val="nil"/>
            </w:tcBorders>
            <w:tcMar>
              <w:top w:w="0" w:type="dxa"/>
              <w:left w:w="0" w:type="dxa"/>
              <w:bottom w:w="0" w:type="dxa"/>
              <w:right w:w="15" w:type="dxa"/>
            </w:tcMar>
            <w:vAlign w:val="bottom"/>
          </w:tcPr>
          <w:p>
            <w:pPr>
              <w:keepNext/>
              <w:pageBreakBefore w:val="0"/>
              <w:tabs>
                <w:tab w:val="left" w:pos="216"/>
                <w:tab w:val="left" w:pos="667"/>
              </w:tabs>
              <w:spacing w:before="53" w:after="30" w:line="240" w:lineRule="auto"/>
              <w:jc w:val="right"/>
            </w:pPr>
            <w:r>
              <w:rPr>
                <w:rFonts w:ascii="Arial" w:eastAsia="Arial" w:hAnsi="Arial" w:cs="Arial"/>
                <w:b w:val="0"/>
                <w:i w:val="0"/>
                <w:color w:val="000000"/>
                <w:sz w:val="16"/>
                <w:u w:val="none"/>
              </w:rPr>
              <w:t>$</w:t>
              <w:tab/>
              <w:t>4,464</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9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852"/>
              </w:tabs>
              <w:spacing w:before="53" w:after="30" w:line="240" w:lineRule="auto"/>
              <w:jc w:val="right"/>
            </w:pPr>
            <w:r>
              <w:rPr>
                <w:rFonts w:ascii="Arial" w:eastAsia="Arial" w:hAnsi="Arial" w:cs="Arial"/>
                <w:b w:val="0"/>
                <w:i w:val="0"/>
                <w:color w:val="000000"/>
                <w:sz w:val="16"/>
                <w:u w:val="none"/>
              </w:rPr>
              <w:tab/>
              <w:t>17,022,420</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735" w:type="dxa"/>
            <w:tcBorders>
              <w:top w:val="nil"/>
              <w:left w:val="nil"/>
              <w:bottom w:val="nil"/>
              <w:right w:val="nil"/>
            </w:tcBorders>
            <w:tcMar>
              <w:top w:w="0" w:type="dxa"/>
              <w:left w:w="0" w:type="dxa"/>
              <w:bottom w:w="0" w:type="dxa"/>
              <w:right w:w="15" w:type="dxa"/>
            </w:tcMar>
            <w:vAlign w:val="bottom"/>
          </w:tcPr>
          <w:p>
            <w:pPr>
              <w:keepNext/>
              <w:pageBreakBefore w:val="0"/>
              <w:tabs>
                <w:tab w:val="left" w:pos="127"/>
                <w:tab w:val="left" w:pos="667"/>
              </w:tabs>
              <w:spacing w:before="53" w:after="30" w:line="240" w:lineRule="auto"/>
              <w:jc w:val="right"/>
            </w:pPr>
            <w:r>
              <w:rPr>
                <w:rFonts w:ascii="Arial" w:eastAsia="Arial" w:hAnsi="Arial" w:cs="Arial"/>
                <w:b w:val="0"/>
                <w:i w:val="0"/>
                <w:color w:val="000000"/>
                <w:sz w:val="16"/>
                <w:u w:val="none"/>
              </w:rPr>
              <w:t>$</w:t>
              <w:tab/>
              <w:t>262.24</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735" w:type="dxa"/>
            <w:tcBorders>
              <w:top w:val="nil"/>
              <w:left w:val="nil"/>
              <w:bottom w:val="nil"/>
              <w:right w:val="nil"/>
            </w:tcBorders>
            <w:tcMar>
              <w:top w:w="0" w:type="dxa"/>
              <w:left w:w="0" w:type="dxa"/>
              <w:bottom w:w="0" w:type="dxa"/>
              <w:right w:w="15" w:type="dxa"/>
            </w:tcMar>
            <w:vAlign w:val="bottom"/>
          </w:tcPr>
          <w:p>
            <w:pPr>
              <w:keepNext/>
              <w:pageBreakBefore w:val="0"/>
              <w:tabs>
                <w:tab w:val="left" w:pos="216"/>
                <w:tab w:val="left" w:pos="667"/>
              </w:tabs>
              <w:spacing w:before="53" w:after="30" w:line="240" w:lineRule="auto"/>
              <w:jc w:val="right"/>
            </w:pPr>
            <w:r>
              <w:rPr>
                <w:rFonts w:ascii="Arial" w:eastAsia="Arial" w:hAnsi="Arial" w:cs="Arial"/>
                <w:b w:val="0"/>
                <w:i w:val="0"/>
                <w:color w:val="000000"/>
                <w:sz w:val="16"/>
                <w:u w:val="none"/>
              </w:rPr>
              <w:t>$</w:t>
              <w:tab/>
              <w:t>5,813</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9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852"/>
              </w:tabs>
              <w:spacing w:before="53" w:after="30" w:line="240" w:lineRule="auto"/>
              <w:jc w:val="right"/>
            </w:pPr>
            <w:r>
              <w:rPr>
                <w:rFonts w:ascii="Arial" w:eastAsia="Arial" w:hAnsi="Arial" w:cs="Arial"/>
                <w:b w:val="0"/>
                <w:i w:val="0"/>
                <w:color w:val="000000"/>
                <w:sz w:val="16"/>
                <w:u w:val="none"/>
              </w:rPr>
              <w:tab/>
              <w:t>17,657,944</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735" w:type="dxa"/>
            <w:tcBorders>
              <w:top w:val="nil"/>
              <w:left w:val="nil"/>
              <w:bottom w:val="nil"/>
              <w:right w:val="nil"/>
            </w:tcBorders>
            <w:tcMar>
              <w:top w:w="0" w:type="dxa"/>
              <w:left w:w="0" w:type="dxa"/>
              <w:bottom w:w="0" w:type="dxa"/>
              <w:right w:w="15" w:type="dxa"/>
            </w:tcMar>
            <w:vAlign w:val="bottom"/>
          </w:tcPr>
          <w:p>
            <w:pPr>
              <w:keepNext/>
              <w:pageBreakBefore w:val="0"/>
              <w:tabs>
                <w:tab w:val="left" w:pos="127"/>
                <w:tab w:val="left" w:pos="667"/>
              </w:tabs>
              <w:spacing w:before="53" w:after="30" w:line="240" w:lineRule="auto"/>
              <w:jc w:val="right"/>
            </w:pPr>
            <w:r>
              <w:rPr>
                <w:rFonts w:ascii="Arial" w:eastAsia="Arial" w:hAnsi="Arial" w:cs="Arial"/>
                <w:b w:val="0"/>
                <w:i w:val="0"/>
                <w:color w:val="000000"/>
                <w:sz w:val="16"/>
                <w:u w:val="none"/>
              </w:rPr>
              <w:t>$</w:t>
              <w:tab/>
              <w:t>329.20</w:t>
              <w:tab/>
            </w:r>
          </w:p>
        </w:tc>
      </w:tr>
      <w:tr>
        <w:tblPrEx>
          <w:tblW w:w="10215" w:type="dxa"/>
          <w:tblInd w:w="0" w:type="dxa"/>
          <w:tblLayout w:type="fixed"/>
          <w:tblCellMar>
            <w:left w:w="108" w:type="dxa"/>
            <w:right w:w="108" w:type="dxa"/>
          </w:tblCellMar>
        </w:tblPrEx>
        <w:trPr>
          <w:cantSplit/>
          <w:trHeight w:hRule="exact" w:val="240"/>
        </w:trPr>
        <w:tc>
          <w:tcPr>
            <w:tcW w:w="262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val="0"/>
                <w:i w:val="0"/>
                <w:color w:val="000000"/>
                <w:sz w:val="16"/>
                <w:u w:val="none"/>
              </w:rPr>
              <w:t>Non-GAAP adjustment:</w:t>
            </w:r>
          </w:p>
        </w:tc>
        <w:tc>
          <w:tcPr>
            <w:tcW w:w="73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90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73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73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90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73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73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90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73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r>
      <w:tr>
        <w:tblPrEx>
          <w:tblW w:w="10215" w:type="dxa"/>
          <w:tblInd w:w="0" w:type="dxa"/>
          <w:tblLayout w:type="fixed"/>
          <w:tblCellMar>
            <w:left w:w="108" w:type="dxa"/>
            <w:right w:w="108" w:type="dxa"/>
          </w:tblCellMar>
        </w:tblPrEx>
        <w:trPr>
          <w:cantSplit/>
          <w:trHeight w:hRule="exact" w:val="240"/>
        </w:trPr>
        <w:tc>
          <w:tcPr>
            <w:tcW w:w="262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20"/>
              <w:jc w:val="left"/>
            </w:pPr>
            <w:r>
              <w:rPr>
                <w:rFonts w:ascii="Arial" w:eastAsia="Arial" w:hAnsi="Arial" w:cs="Arial"/>
                <w:b w:val="0"/>
                <w:i w:val="0"/>
                <w:color w:val="000000"/>
                <w:sz w:val="16"/>
                <w:u w:val="none"/>
              </w:rPr>
              <w:t>Share-based compensation plans</w:t>
            </w:r>
          </w:p>
        </w:tc>
        <w:tc>
          <w:tcPr>
            <w:tcW w:w="735" w:type="dxa"/>
            <w:tcBorders>
              <w:top w:val="nil"/>
              <w:left w:val="nil"/>
              <w:bottom w:val="single" w:sz="8" w:space="0" w:color="000000"/>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9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203"/>
                <w:tab w:val="left" w:pos="832"/>
              </w:tabs>
              <w:spacing w:before="53" w:after="30" w:line="240" w:lineRule="auto"/>
              <w:jc w:val="right"/>
            </w:pPr>
            <w:r>
              <w:rPr>
                <w:rFonts w:ascii="Arial" w:eastAsia="Arial" w:hAnsi="Arial" w:cs="Arial"/>
                <w:b w:val="0"/>
                <w:i w:val="0"/>
                <w:color w:val="000000"/>
                <w:sz w:val="16"/>
                <w:u w:val="none"/>
              </w:rPr>
              <w:tab/>
              <w:t>292,190</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735" w:type="dxa"/>
            <w:tcBorders>
              <w:top w:val="nil"/>
              <w:left w:val="nil"/>
              <w:bottom w:val="single" w:sz="8" w:space="0" w:color="000000"/>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735" w:type="dxa"/>
            <w:tcBorders>
              <w:top w:val="nil"/>
              <w:left w:val="nil"/>
              <w:bottom w:val="single" w:sz="8" w:space="0" w:color="000000"/>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9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203"/>
                <w:tab w:val="left" w:pos="832"/>
              </w:tabs>
              <w:spacing w:before="53" w:after="30" w:line="240" w:lineRule="auto"/>
              <w:jc w:val="right"/>
            </w:pPr>
            <w:r>
              <w:rPr>
                <w:rFonts w:ascii="Arial" w:eastAsia="Arial" w:hAnsi="Arial" w:cs="Arial"/>
                <w:b w:val="0"/>
                <w:i w:val="0"/>
                <w:color w:val="000000"/>
                <w:sz w:val="16"/>
                <w:u w:val="none"/>
              </w:rPr>
              <w:tab/>
              <w:t>218,171</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735" w:type="dxa"/>
            <w:tcBorders>
              <w:top w:val="nil"/>
              <w:left w:val="nil"/>
              <w:bottom w:val="single" w:sz="8" w:space="0" w:color="000000"/>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735" w:type="dxa"/>
            <w:tcBorders>
              <w:top w:val="nil"/>
              <w:left w:val="nil"/>
              <w:bottom w:val="single" w:sz="8" w:space="0" w:color="000000"/>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90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203"/>
                <w:tab w:val="left" w:pos="832"/>
              </w:tabs>
              <w:spacing w:before="53" w:after="30" w:line="240" w:lineRule="auto"/>
              <w:jc w:val="right"/>
            </w:pPr>
            <w:r>
              <w:rPr>
                <w:rFonts w:ascii="Arial" w:eastAsia="Arial" w:hAnsi="Arial" w:cs="Arial"/>
                <w:b w:val="0"/>
                <w:i w:val="0"/>
                <w:color w:val="000000"/>
                <w:sz w:val="16"/>
                <w:u w:val="none"/>
              </w:rPr>
              <w:tab/>
              <w:t>315,205</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735" w:type="dxa"/>
            <w:tcBorders>
              <w:top w:val="nil"/>
              <w:left w:val="nil"/>
              <w:bottom w:val="single" w:sz="8" w:space="0" w:color="000000"/>
              <w:right w:val="nil"/>
            </w:tcBorders>
            <w:tcMar>
              <w:top w:w="0" w:type="dxa"/>
              <w:left w:w="53" w:type="dxa"/>
              <w:bottom w:w="0" w:type="dxa"/>
              <w:right w:w="15" w:type="dxa"/>
            </w:tcMar>
            <w:vAlign w:val="bottom"/>
          </w:tcPr>
          <w:p>
            <w:pPr>
              <w:keepNext/>
              <w:pageBreakBefore w:val="0"/>
              <w:spacing w:before="53" w:after="30" w:line="240" w:lineRule="auto"/>
              <w:jc w:val="left"/>
            </w:pPr>
          </w:p>
        </w:tc>
      </w:tr>
      <w:tr>
        <w:tblPrEx>
          <w:tblW w:w="10215" w:type="dxa"/>
          <w:tblInd w:w="0" w:type="dxa"/>
          <w:tblLayout w:type="fixed"/>
          <w:tblCellMar>
            <w:left w:w="108" w:type="dxa"/>
            <w:right w:w="108" w:type="dxa"/>
          </w:tblCellMar>
        </w:tblPrEx>
        <w:trPr>
          <w:cantSplit/>
          <w:trHeight w:hRule="exact" w:val="405"/>
        </w:trPr>
        <w:tc>
          <w:tcPr>
            <w:tcW w:w="2625" w:type="dxa"/>
            <w:tcBorders>
              <w:top w:val="nil"/>
              <w:left w:val="nil"/>
              <w:bottom w:val="nil"/>
              <w:right w:val="nil"/>
            </w:tcBorders>
            <w:tcMar>
              <w:top w:w="0" w:type="dxa"/>
              <w:left w:w="53" w:type="dxa"/>
              <w:bottom w:w="0" w:type="dxa"/>
              <w:right w:w="53" w:type="dxa"/>
            </w:tcMar>
            <w:vAlign w:val="bottom"/>
          </w:tcPr>
          <w:p>
            <w:pPr>
              <w:pageBreakBefore w:val="0"/>
              <w:spacing w:before="33" w:after="30" w:line="240" w:lineRule="auto"/>
              <w:jc w:val="left"/>
            </w:pPr>
            <w:r>
              <w:rPr>
                <w:rFonts w:ascii="Arial" w:eastAsia="Arial" w:hAnsi="Arial" w:cs="Arial"/>
                <w:b/>
                <w:i w:val="0"/>
                <w:color w:val="000000"/>
                <w:sz w:val="16"/>
                <w:u w:val="none"/>
              </w:rPr>
              <w:t>Fully diluted book value per ordinary share*</w:t>
            </w:r>
          </w:p>
        </w:tc>
        <w:tc>
          <w:tcPr>
            <w:tcW w:w="735" w:type="dxa"/>
            <w:tcBorders>
              <w:top w:val="single" w:sz="8" w:space="0" w:color="000000"/>
              <w:left w:val="nil"/>
              <w:bottom w:val="double" w:sz="8" w:space="0" w:color="000000"/>
              <w:right w:val="nil"/>
            </w:tcBorders>
            <w:tcMar>
              <w:top w:w="0" w:type="dxa"/>
              <w:left w:w="0" w:type="dxa"/>
              <w:bottom w:w="0" w:type="dxa"/>
              <w:right w:w="15" w:type="dxa"/>
            </w:tcMar>
            <w:vAlign w:val="bottom"/>
          </w:tcPr>
          <w:p>
            <w:pPr>
              <w:pageBreakBefore w:val="0"/>
              <w:tabs>
                <w:tab w:val="left" w:pos="216"/>
                <w:tab w:val="left" w:pos="667"/>
              </w:tabs>
              <w:spacing w:before="33" w:after="30" w:line="240" w:lineRule="auto"/>
              <w:jc w:val="right"/>
            </w:pPr>
            <w:r>
              <w:rPr>
                <w:rFonts w:ascii="Arial" w:eastAsia="Arial" w:hAnsi="Arial" w:cs="Arial"/>
                <w:b w:val="0"/>
                <w:i w:val="0"/>
                <w:color w:val="000000"/>
                <w:sz w:val="16"/>
                <w:u w:val="none"/>
              </w:rPr>
              <w:t>$</w:t>
              <w:tab/>
              <w:t>5,025</w:t>
              <w:tab/>
            </w:r>
          </w:p>
        </w:tc>
        <w:tc>
          <w:tcPr>
            <w:tcW w:w="60" w:type="dxa"/>
            <w:tcBorders>
              <w:top w:val="nil"/>
              <w:left w:val="nil"/>
              <w:bottom w:val="nil"/>
              <w:right w:val="nil"/>
            </w:tcBorders>
            <w:tcMar>
              <w:top w:w="0" w:type="dxa"/>
              <w:left w:w="47" w:type="dxa"/>
              <w:bottom w:w="0" w:type="dxa"/>
              <w:right w:w="13" w:type="dxa"/>
            </w:tcMar>
            <w:vAlign w:val="bottom"/>
          </w:tcPr>
          <w:p>
            <w:pPr>
              <w:pageBreakBefore w:val="0"/>
              <w:spacing w:before="33" w:after="30" w:line="240" w:lineRule="auto"/>
              <w:jc w:val="left"/>
            </w:pPr>
          </w:p>
        </w:tc>
        <w:tc>
          <w:tcPr>
            <w:tcW w:w="900" w:type="dxa"/>
            <w:tcBorders>
              <w:top w:val="single" w:sz="8" w:space="0" w:color="000000"/>
              <w:left w:val="nil"/>
              <w:bottom w:val="double" w:sz="8" w:space="0" w:color="000000"/>
              <w:right w:val="nil"/>
            </w:tcBorders>
            <w:tcMar>
              <w:top w:w="0" w:type="dxa"/>
              <w:left w:w="0" w:type="dxa"/>
              <w:bottom w:w="0" w:type="dxa"/>
              <w:right w:w="15" w:type="dxa"/>
            </w:tcMar>
            <w:vAlign w:val="bottom"/>
          </w:tcPr>
          <w:p>
            <w:pPr>
              <w:pageBreakBefore w:val="0"/>
              <w:tabs>
                <w:tab w:val="left" w:pos="1"/>
                <w:tab w:val="left" w:pos="852"/>
              </w:tabs>
              <w:spacing w:before="33" w:after="30" w:line="240" w:lineRule="auto"/>
              <w:jc w:val="right"/>
            </w:pPr>
            <w:r>
              <w:rPr>
                <w:rFonts w:ascii="Arial" w:eastAsia="Arial" w:hAnsi="Arial" w:cs="Arial"/>
                <w:b w:val="0"/>
                <w:i w:val="0"/>
                <w:color w:val="000000"/>
                <w:sz w:val="16"/>
                <w:u w:val="none"/>
              </w:rPr>
              <w:tab/>
              <w:t>14,923,245</w:t>
              <w:tab/>
            </w:r>
          </w:p>
        </w:tc>
        <w:tc>
          <w:tcPr>
            <w:tcW w:w="60" w:type="dxa"/>
            <w:tcBorders>
              <w:top w:val="nil"/>
              <w:left w:val="nil"/>
              <w:bottom w:val="nil"/>
              <w:right w:val="nil"/>
            </w:tcBorders>
            <w:tcMar>
              <w:top w:w="0" w:type="dxa"/>
              <w:left w:w="47" w:type="dxa"/>
              <w:bottom w:w="0" w:type="dxa"/>
              <w:right w:w="13" w:type="dxa"/>
            </w:tcMar>
            <w:vAlign w:val="bottom"/>
          </w:tcPr>
          <w:p>
            <w:pPr>
              <w:pageBreakBefore w:val="0"/>
              <w:spacing w:before="33" w:after="30" w:line="240" w:lineRule="auto"/>
              <w:jc w:val="left"/>
            </w:pPr>
          </w:p>
        </w:tc>
        <w:tc>
          <w:tcPr>
            <w:tcW w:w="735" w:type="dxa"/>
            <w:tcBorders>
              <w:top w:val="single" w:sz="8" w:space="0" w:color="000000"/>
              <w:left w:val="nil"/>
              <w:bottom w:val="double" w:sz="8" w:space="0" w:color="000000"/>
              <w:right w:val="nil"/>
            </w:tcBorders>
            <w:tcMar>
              <w:top w:w="0" w:type="dxa"/>
              <w:left w:w="0" w:type="dxa"/>
              <w:bottom w:w="0" w:type="dxa"/>
              <w:right w:w="15" w:type="dxa"/>
            </w:tcMar>
            <w:vAlign w:val="bottom"/>
          </w:tcPr>
          <w:p>
            <w:pPr>
              <w:pageBreakBefore w:val="0"/>
              <w:tabs>
                <w:tab w:val="left" w:pos="127"/>
                <w:tab w:val="left" w:pos="667"/>
              </w:tabs>
              <w:spacing w:before="33" w:after="30" w:line="240" w:lineRule="auto"/>
              <w:jc w:val="right"/>
            </w:pPr>
            <w:r>
              <w:rPr>
                <w:rFonts w:ascii="Arial" w:eastAsia="Arial" w:hAnsi="Arial" w:cs="Arial"/>
                <w:b w:val="0"/>
                <w:i w:val="0"/>
                <w:color w:val="000000"/>
                <w:sz w:val="16"/>
                <w:u w:val="none"/>
              </w:rPr>
              <w:t>$</w:t>
              <w:tab/>
              <w:t>336.72</w:t>
              <w:tab/>
            </w:r>
          </w:p>
        </w:tc>
        <w:tc>
          <w:tcPr>
            <w:tcW w:w="60" w:type="dxa"/>
            <w:tcBorders>
              <w:top w:val="nil"/>
              <w:left w:val="nil"/>
              <w:bottom w:val="nil"/>
              <w:right w:val="nil"/>
            </w:tcBorders>
            <w:tcMar>
              <w:top w:w="0" w:type="dxa"/>
              <w:left w:w="47" w:type="dxa"/>
              <w:bottom w:w="0" w:type="dxa"/>
              <w:right w:w="13" w:type="dxa"/>
            </w:tcMar>
            <w:vAlign w:val="bottom"/>
          </w:tcPr>
          <w:p>
            <w:pPr>
              <w:pageBreakBefore w:val="0"/>
              <w:spacing w:before="33" w:after="30" w:line="240" w:lineRule="auto"/>
              <w:jc w:val="left"/>
            </w:pPr>
          </w:p>
        </w:tc>
        <w:tc>
          <w:tcPr>
            <w:tcW w:w="735" w:type="dxa"/>
            <w:tcBorders>
              <w:top w:val="single" w:sz="8" w:space="0" w:color="000000"/>
              <w:left w:val="nil"/>
              <w:bottom w:val="double" w:sz="8" w:space="0" w:color="000000"/>
              <w:right w:val="nil"/>
            </w:tcBorders>
            <w:tcMar>
              <w:top w:w="0" w:type="dxa"/>
              <w:left w:w="0" w:type="dxa"/>
              <w:bottom w:w="0" w:type="dxa"/>
              <w:right w:w="15" w:type="dxa"/>
            </w:tcMar>
            <w:vAlign w:val="bottom"/>
          </w:tcPr>
          <w:p>
            <w:pPr>
              <w:pageBreakBefore w:val="0"/>
              <w:tabs>
                <w:tab w:val="left" w:pos="216"/>
                <w:tab w:val="left" w:pos="667"/>
              </w:tabs>
              <w:spacing w:before="33" w:after="30" w:line="240" w:lineRule="auto"/>
              <w:jc w:val="right"/>
            </w:pPr>
            <w:r>
              <w:rPr>
                <w:rFonts w:ascii="Arial" w:eastAsia="Arial" w:hAnsi="Arial" w:cs="Arial"/>
                <w:b w:val="0"/>
                <w:i w:val="0"/>
                <w:color w:val="000000"/>
                <w:sz w:val="16"/>
                <w:u w:val="none"/>
              </w:rPr>
              <w:t>$</w:t>
              <w:tab/>
              <w:t>4,464</w:t>
              <w:tab/>
            </w:r>
          </w:p>
        </w:tc>
        <w:tc>
          <w:tcPr>
            <w:tcW w:w="60" w:type="dxa"/>
            <w:tcBorders>
              <w:top w:val="nil"/>
              <w:left w:val="nil"/>
              <w:bottom w:val="nil"/>
              <w:right w:val="nil"/>
            </w:tcBorders>
            <w:tcMar>
              <w:top w:w="0" w:type="dxa"/>
              <w:left w:w="47" w:type="dxa"/>
              <w:bottom w:w="0" w:type="dxa"/>
              <w:right w:w="13" w:type="dxa"/>
            </w:tcMar>
            <w:vAlign w:val="bottom"/>
          </w:tcPr>
          <w:p>
            <w:pPr>
              <w:pageBreakBefore w:val="0"/>
              <w:spacing w:before="33" w:after="30" w:line="240" w:lineRule="auto"/>
              <w:jc w:val="left"/>
            </w:pPr>
          </w:p>
        </w:tc>
        <w:tc>
          <w:tcPr>
            <w:tcW w:w="900" w:type="dxa"/>
            <w:tcBorders>
              <w:top w:val="single" w:sz="8" w:space="0" w:color="000000"/>
              <w:left w:val="nil"/>
              <w:bottom w:val="double" w:sz="8" w:space="0" w:color="000000"/>
              <w:right w:val="nil"/>
            </w:tcBorders>
            <w:tcMar>
              <w:top w:w="0" w:type="dxa"/>
              <w:left w:w="0" w:type="dxa"/>
              <w:bottom w:w="0" w:type="dxa"/>
              <w:right w:w="15" w:type="dxa"/>
            </w:tcMar>
            <w:vAlign w:val="bottom"/>
          </w:tcPr>
          <w:p>
            <w:pPr>
              <w:pageBreakBefore w:val="0"/>
              <w:tabs>
                <w:tab w:val="left" w:pos="1"/>
                <w:tab w:val="left" w:pos="852"/>
              </w:tabs>
              <w:spacing w:before="33" w:after="30" w:line="240" w:lineRule="auto"/>
              <w:jc w:val="right"/>
            </w:pPr>
            <w:r>
              <w:rPr>
                <w:rFonts w:ascii="Arial" w:eastAsia="Arial" w:hAnsi="Arial" w:cs="Arial"/>
                <w:b w:val="0"/>
                <w:i w:val="0"/>
                <w:color w:val="000000"/>
                <w:sz w:val="16"/>
                <w:u w:val="none"/>
              </w:rPr>
              <w:tab/>
              <w:t>17,240,591</w:t>
              <w:tab/>
            </w:r>
          </w:p>
        </w:tc>
        <w:tc>
          <w:tcPr>
            <w:tcW w:w="60" w:type="dxa"/>
            <w:tcBorders>
              <w:top w:val="nil"/>
              <w:left w:val="nil"/>
              <w:bottom w:val="nil"/>
              <w:right w:val="nil"/>
            </w:tcBorders>
            <w:tcMar>
              <w:top w:w="0" w:type="dxa"/>
              <w:left w:w="47" w:type="dxa"/>
              <w:bottom w:w="0" w:type="dxa"/>
              <w:right w:w="13" w:type="dxa"/>
            </w:tcMar>
            <w:vAlign w:val="bottom"/>
          </w:tcPr>
          <w:p>
            <w:pPr>
              <w:pageBreakBefore w:val="0"/>
              <w:spacing w:before="33" w:after="30" w:line="240" w:lineRule="auto"/>
              <w:jc w:val="left"/>
            </w:pPr>
          </w:p>
        </w:tc>
        <w:tc>
          <w:tcPr>
            <w:tcW w:w="735" w:type="dxa"/>
            <w:tcBorders>
              <w:top w:val="single" w:sz="8" w:space="0" w:color="000000"/>
              <w:left w:val="nil"/>
              <w:bottom w:val="double" w:sz="8" w:space="0" w:color="000000"/>
              <w:right w:val="nil"/>
            </w:tcBorders>
            <w:tcMar>
              <w:top w:w="0" w:type="dxa"/>
              <w:left w:w="0" w:type="dxa"/>
              <w:bottom w:w="0" w:type="dxa"/>
              <w:right w:w="15" w:type="dxa"/>
            </w:tcMar>
            <w:vAlign w:val="bottom"/>
          </w:tcPr>
          <w:p>
            <w:pPr>
              <w:pageBreakBefore w:val="0"/>
              <w:tabs>
                <w:tab w:val="left" w:pos="127"/>
                <w:tab w:val="left" w:pos="667"/>
              </w:tabs>
              <w:spacing w:before="33" w:after="30" w:line="240" w:lineRule="auto"/>
              <w:jc w:val="right"/>
            </w:pPr>
            <w:r>
              <w:rPr>
                <w:rFonts w:ascii="Arial" w:eastAsia="Arial" w:hAnsi="Arial" w:cs="Arial"/>
                <w:b w:val="0"/>
                <w:i w:val="0"/>
                <w:color w:val="000000"/>
                <w:sz w:val="16"/>
                <w:u w:val="none"/>
              </w:rPr>
              <w:t>$</w:t>
              <w:tab/>
              <w:t>258.92</w:t>
              <w:tab/>
            </w:r>
          </w:p>
        </w:tc>
        <w:tc>
          <w:tcPr>
            <w:tcW w:w="60" w:type="dxa"/>
            <w:tcBorders>
              <w:top w:val="nil"/>
              <w:left w:val="nil"/>
              <w:bottom w:val="nil"/>
              <w:right w:val="nil"/>
            </w:tcBorders>
            <w:tcMar>
              <w:top w:w="0" w:type="dxa"/>
              <w:left w:w="47" w:type="dxa"/>
              <w:bottom w:w="0" w:type="dxa"/>
              <w:right w:w="13" w:type="dxa"/>
            </w:tcMar>
            <w:vAlign w:val="bottom"/>
          </w:tcPr>
          <w:p>
            <w:pPr>
              <w:pageBreakBefore w:val="0"/>
              <w:spacing w:before="33" w:after="30" w:line="240" w:lineRule="auto"/>
              <w:jc w:val="left"/>
            </w:pPr>
          </w:p>
        </w:tc>
        <w:tc>
          <w:tcPr>
            <w:tcW w:w="735" w:type="dxa"/>
            <w:tcBorders>
              <w:top w:val="single" w:sz="8" w:space="0" w:color="000000"/>
              <w:left w:val="nil"/>
              <w:bottom w:val="double" w:sz="8" w:space="0" w:color="000000"/>
              <w:right w:val="nil"/>
            </w:tcBorders>
            <w:tcMar>
              <w:top w:w="0" w:type="dxa"/>
              <w:left w:w="0" w:type="dxa"/>
              <w:bottom w:w="0" w:type="dxa"/>
              <w:right w:w="15" w:type="dxa"/>
            </w:tcMar>
            <w:vAlign w:val="bottom"/>
          </w:tcPr>
          <w:p>
            <w:pPr>
              <w:pageBreakBefore w:val="0"/>
              <w:tabs>
                <w:tab w:val="left" w:pos="216"/>
                <w:tab w:val="left" w:pos="667"/>
              </w:tabs>
              <w:spacing w:before="33" w:after="30" w:line="240" w:lineRule="auto"/>
              <w:jc w:val="right"/>
            </w:pPr>
            <w:r>
              <w:rPr>
                <w:rFonts w:ascii="Arial" w:eastAsia="Arial" w:hAnsi="Arial" w:cs="Arial"/>
                <w:b w:val="0"/>
                <w:i w:val="0"/>
                <w:color w:val="000000"/>
                <w:sz w:val="16"/>
                <w:u w:val="none"/>
              </w:rPr>
              <w:t>$</w:t>
              <w:tab/>
              <w:t>5,813</w:t>
              <w:tab/>
            </w:r>
          </w:p>
        </w:tc>
        <w:tc>
          <w:tcPr>
            <w:tcW w:w="60" w:type="dxa"/>
            <w:tcBorders>
              <w:top w:val="nil"/>
              <w:left w:val="nil"/>
              <w:bottom w:val="nil"/>
              <w:right w:val="nil"/>
            </w:tcBorders>
            <w:tcMar>
              <w:top w:w="0" w:type="dxa"/>
              <w:left w:w="47" w:type="dxa"/>
              <w:bottom w:w="0" w:type="dxa"/>
              <w:right w:w="13" w:type="dxa"/>
            </w:tcMar>
            <w:vAlign w:val="bottom"/>
          </w:tcPr>
          <w:p>
            <w:pPr>
              <w:pageBreakBefore w:val="0"/>
              <w:spacing w:before="33" w:after="30" w:line="240" w:lineRule="auto"/>
              <w:jc w:val="left"/>
            </w:pPr>
          </w:p>
        </w:tc>
        <w:tc>
          <w:tcPr>
            <w:tcW w:w="900" w:type="dxa"/>
            <w:tcBorders>
              <w:top w:val="single" w:sz="8" w:space="0" w:color="000000"/>
              <w:left w:val="nil"/>
              <w:bottom w:val="double" w:sz="8" w:space="0" w:color="000000"/>
              <w:right w:val="nil"/>
            </w:tcBorders>
            <w:tcMar>
              <w:top w:w="0" w:type="dxa"/>
              <w:left w:w="0" w:type="dxa"/>
              <w:bottom w:w="0" w:type="dxa"/>
              <w:right w:w="15" w:type="dxa"/>
            </w:tcMar>
            <w:vAlign w:val="bottom"/>
          </w:tcPr>
          <w:p>
            <w:pPr>
              <w:pageBreakBefore w:val="0"/>
              <w:tabs>
                <w:tab w:val="left" w:pos="1"/>
                <w:tab w:val="left" w:pos="852"/>
              </w:tabs>
              <w:spacing w:before="33" w:after="30" w:line="240" w:lineRule="auto"/>
              <w:jc w:val="right"/>
            </w:pPr>
            <w:r>
              <w:rPr>
                <w:rFonts w:ascii="Arial" w:eastAsia="Arial" w:hAnsi="Arial" w:cs="Arial"/>
                <w:b w:val="0"/>
                <w:i w:val="0"/>
                <w:color w:val="000000"/>
                <w:sz w:val="16"/>
                <w:u w:val="none"/>
              </w:rPr>
              <w:tab/>
              <w:t>17,973,149</w:t>
              <w:tab/>
            </w:r>
          </w:p>
        </w:tc>
        <w:tc>
          <w:tcPr>
            <w:tcW w:w="60" w:type="dxa"/>
            <w:tcBorders>
              <w:top w:val="nil"/>
              <w:left w:val="nil"/>
              <w:bottom w:val="nil"/>
              <w:right w:val="nil"/>
            </w:tcBorders>
            <w:tcMar>
              <w:top w:w="0" w:type="dxa"/>
              <w:left w:w="47" w:type="dxa"/>
              <w:bottom w:w="0" w:type="dxa"/>
              <w:right w:w="13" w:type="dxa"/>
            </w:tcMar>
            <w:vAlign w:val="bottom"/>
          </w:tcPr>
          <w:p>
            <w:pPr>
              <w:pageBreakBefore w:val="0"/>
              <w:spacing w:before="33" w:after="30" w:line="240" w:lineRule="auto"/>
              <w:jc w:val="left"/>
            </w:pPr>
          </w:p>
        </w:tc>
        <w:tc>
          <w:tcPr>
            <w:tcW w:w="735" w:type="dxa"/>
            <w:tcBorders>
              <w:top w:val="single" w:sz="8" w:space="0" w:color="000000"/>
              <w:left w:val="nil"/>
              <w:bottom w:val="double" w:sz="8" w:space="0" w:color="000000"/>
              <w:right w:val="nil"/>
            </w:tcBorders>
            <w:tcMar>
              <w:top w:w="0" w:type="dxa"/>
              <w:left w:w="0" w:type="dxa"/>
              <w:bottom w:w="0" w:type="dxa"/>
              <w:right w:w="15" w:type="dxa"/>
            </w:tcMar>
            <w:vAlign w:val="bottom"/>
          </w:tcPr>
          <w:p>
            <w:pPr>
              <w:pageBreakBefore w:val="0"/>
              <w:tabs>
                <w:tab w:val="left" w:pos="127"/>
                <w:tab w:val="left" w:pos="667"/>
              </w:tabs>
              <w:spacing w:before="33" w:after="30" w:line="240" w:lineRule="auto"/>
              <w:jc w:val="right"/>
            </w:pPr>
            <w:r>
              <w:rPr>
                <w:rFonts w:ascii="Arial" w:eastAsia="Arial" w:hAnsi="Arial" w:cs="Arial"/>
                <w:b w:val="0"/>
                <w:i w:val="0"/>
                <w:color w:val="000000"/>
                <w:sz w:val="16"/>
                <w:u w:val="none"/>
              </w:rPr>
              <w:t>$</w:t>
              <w:tab/>
              <w:t>323.43</w:t>
              <w:tab/>
            </w:r>
          </w:p>
        </w:tc>
      </w:tr>
    </w:tbl>
    <w:p>
      <w:pPr>
        <w:keepNext w:val="0"/>
        <w:keepLines w:val="0"/>
        <w:pageBreakBefore w:val="0"/>
        <w:widowControl/>
        <w:numPr>
          <w:ilvl w:val="0"/>
          <w:numId w:val="0"/>
        </w:numPr>
        <w:spacing w:before="120" w:after="60" w:line="288" w:lineRule="auto"/>
        <w:ind w:left="180" w:right="0" w:hanging="180"/>
        <w:jc w:val="both"/>
        <w:outlineLvl w:val="9"/>
        <w:rPr>
          <w:rFonts w:ascii="Arial" w:eastAsia="Arial" w:hAnsi="Arial" w:cs="Arial"/>
          <w:b w:val="0"/>
          <w:i w:val="0"/>
          <w:sz w:val="16"/>
        </w:rPr>
      </w:pPr>
      <w:r>
        <w:rPr>
          <w:rFonts w:ascii="Arial" w:eastAsia="Arial" w:hAnsi="Arial" w:cs="Arial"/>
          <w:b w:val="0"/>
          <w:i w:val="0"/>
          <w:sz w:val="16"/>
          <w:vertAlign w:val="superscript"/>
        </w:rPr>
        <w:t>(1)</w:t>
      </w:r>
      <w:r>
        <w:rPr>
          <w:rFonts w:ascii="Arial" w:eastAsia="Arial" w:hAnsi="Arial" w:cs="Arial"/>
          <w:b w:val="0"/>
          <w:i w:val="0"/>
          <w:sz w:val="16"/>
        </w:rPr>
        <w:t xml:space="preserve"> Equity comprises Enstar ordinary shareholders' equity, which is calculated as Enstar shareholders' equity less preferred shares (</w:t>
      </w:r>
      <w:r>
        <w:rPr>
          <w:rFonts w:ascii="Arial" w:eastAsia="Arial" w:hAnsi="Arial" w:cs="Arial"/>
          <w:b w:val="0"/>
          <w:i w:val="0"/>
          <w:sz w:val="16"/>
        </w:rPr>
        <w:t>$510 million</w:t>
      </w:r>
      <w:r>
        <w:rPr>
          <w:rFonts w:ascii="Arial" w:eastAsia="Arial" w:hAnsi="Arial" w:cs="Arial"/>
          <w:b w:val="0"/>
          <w:i w:val="0"/>
          <w:sz w:val="16"/>
        </w:rPr>
        <w:t xml:space="preserve">), prior to any non-GAAP adjustments. </w:t>
      </w:r>
    </w:p>
    <w:p>
      <w:pPr>
        <w:keepNext w:val="0"/>
        <w:keepLines w:val="0"/>
        <w:pageBreakBefore w:val="0"/>
        <w:widowControl/>
        <w:numPr>
          <w:ilvl w:val="0"/>
          <w:numId w:val="0"/>
        </w:numPr>
        <w:spacing w:before="0" w:after="60" w:line="288" w:lineRule="auto"/>
        <w:ind w:left="180" w:right="0" w:hanging="180"/>
        <w:jc w:val="both"/>
        <w:outlineLvl w:val="9"/>
        <w:rPr>
          <w:rFonts w:ascii="Arial" w:eastAsia="Arial" w:hAnsi="Arial" w:cs="Arial"/>
          <w:b w:val="0"/>
          <w:i w:val="0"/>
          <w:sz w:val="16"/>
        </w:rPr>
      </w:pPr>
      <w:r>
        <w:rPr>
          <w:rFonts w:ascii="Arial" w:eastAsia="Arial" w:hAnsi="Arial" w:cs="Arial"/>
          <w:b w:val="0"/>
          <w:i w:val="0"/>
          <w:sz w:val="16"/>
          <w:vertAlign w:val="superscript"/>
        </w:rPr>
        <w:t xml:space="preserve">(2) </w:t>
      </w:r>
      <w:r>
        <w:rPr>
          <w:rFonts w:ascii="Arial" w:eastAsia="Arial" w:hAnsi="Arial" w:cs="Arial"/>
          <w:b w:val="0"/>
          <w:i w:val="0"/>
          <w:sz w:val="16"/>
        </w:rPr>
        <w:t xml:space="preserve">Enstar ordinary shareholders’ equity as of December 31, 2022 has been retrospectively adjusted by $273 million for the impact of adopting ASU 2018-12. </w:t>
      </w: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sz w:val="18"/>
        </w:rPr>
      </w:pPr>
      <w:r>
        <w:rPr>
          <w:rFonts w:ascii="Times New Roman" w:eastAsia="Times New Roman" w:hAnsi="Times New Roman" w:cs="Times New Roman"/>
          <w:b w:val="0"/>
          <w:i w:val="0"/>
          <w:sz w:val="20"/>
        </w:rPr>
        <w:t>*</w:t>
      </w:r>
      <w:r>
        <w:rPr>
          <w:rFonts w:ascii="Arial" w:eastAsia="Arial" w:hAnsi="Arial" w:cs="Arial"/>
          <w:b w:val="0"/>
          <w:i w:val="0"/>
          <w:sz w:val="16"/>
        </w:rPr>
        <w:t>Non-GAAP measure.</w:t>
      </w: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The table below presents a reconciliation of ROE to Adjusted ROE* for the years ended December 31, 202</w:t>
      </w:r>
      <w:r>
        <w:rPr>
          <w:rFonts w:ascii="Arial" w:eastAsia="Arial" w:hAnsi="Arial" w:cs="Arial"/>
          <w:b w:val="0"/>
          <w:i w:val="0"/>
          <w:sz w:val="20"/>
        </w:rPr>
        <w:t>3</w:t>
      </w:r>
      <w:r>
        <w:rPr>
          <w:rFonts w:ascii="Arial" w:eastAsia="Arial" w:hAnsi="Arial" w:cs="Arial"/>
          <w:b w:val="0"/>
          <w:i w:val="0"/>
          <w:sz w:val="20"/>
        </w:rPr>
        <w:t>, 202</w:t>
      </w:r>
      <w:r>
        <w:rPr>
          <w:rFonts w:ascii="Arial" w:eastAsia="Arial" w:hAnsi="Arial" w:cs="Arial"/>
          <w:b w:val="0"/>
          <w:i w:val="0"/>
          <w:sz w:val="20"/>
        </w:rPr>
        <w:t>2</w:t>
      </w:r>
      <w:r>
        <w:rPr>
          <w:rFonts w:ascii="Arial" w:eastAsia="Arial" w:hAnsi="Arial" w:cs="Arial"/>
          <w:b w:val="0"/>
          <w:i w:val="0"/>
          <w:sz w:val="20"/>
        </w:rPr>
        <w:t xml:space="preserve"> and 202</w:t>
      </w:r>
      <w:r>
        <w:rPr>
          <w:rFonts w:ascii="Arial" w:eastAsia="Arial" w:hAnsi="Arial" w:cs="Arial"/>
          <w:b w:val="0"/>
          <w:i w:val="0"/>
          <w:sz w:val="20"/>
        </w:rPr>
        <w:t>1</w:t>
      </w:r>
      <w:r>
        <w:rPr>
          <w:rFonts w:ascii="Arial" w:eastAsia="Arial" w:hAnsi="Arial" w:cs="Arial"/>
          <w:b w:val="0"/>
          <w:i w:val="0"/>
          <w:sz w:val="20"/>
        </w:rPr>
        <w:t xml:space="preserve">: </w:t>
      </w:r>
    </w:p>
    <w:tbl>
      <w:tblPr>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3045"/>
        <w:gridCol w:w="795"/>
        <w:gridCol w:w="60"/>
        <w:gridCol w:w="825"/>
        <w:gridCol w:w="60"/>
        <w:gridCol w:w="630"/>
        <w:gridCol w:w="60"/>
        <w:gridCol w:w="795"/>
        <w:gridCol w:w="60"/>
        <w:gridCol w:w="825"/>
        <w:gridCol w:w="60"/>
        <w:gridCol w:w="600"/>
        <w:gridCol w:w="60"/>
        <w:gridCol w:w="840"/>
        <w:gridCol w:w="60"/>
        <w:gridCol w:w="825"/>
        <w:gridCol w:w="60"/>
        <w:gridCol w:w="600"/>
      </w:tblGrid>
      <w:tr>
        <w:tblPrEx>
          <w:tblW w:w="102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40"/>
        </w:trPr>
        <w:tc>
          <w:tcPr>
            <w:tcW w:w="30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2370" w:type="dxa"/>
            <w:gridSpan w:val="5"/>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i w:val="0"/>
                <w:color w:val="000000"/>
                <w:sz w:val="16"/>
                <w:u w:val="none"/>
              </w:rPr>
              <w:t>2023</w:t>
            </w:r>
          </w:p>
        </w:tc>
        <w:tc>
          <w:tcPr>
            <w:tcW w:w="60" w:type="dxa"/>
            <w:tcBorders>
              <w:top w:val="nil"/>
              <w:left w:val="nil"/>
              <w:bottom w:val="nil"/>
              <w:right w:val="nil"/>
            </w:tcBorders>
            <w:tcMar>
              <w:top w:w="0" w:type="dxa"/>
              <w:left w:w="30" w:type="dxa"/>
              <w:bottom w:w="0" w:type="dxa"/>
              <w:right w:w="30" w:type="dxa"/>
            </w:tcMar>
            <w:vAlign w:val="bottom"/>
          </w:tcPr>
          <w:p>
            <w:pPr>
              <w:keepNext/>
              <w:pageBreakBefore w:val="0"/>
              <w:spacing w:before="53" w:after="30" w:line="240" w:lineRule="auto"/>
              <w:jc w:val="center"/>
            </w:pPr>
          </w:p>
        </w:tc>
        <w:tc>
          <w:tcPr>
            <w:tcW w:w="2340" w:type="dxa"/>
            <w:gridSpan w:val="5"/>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i w:val="0"/>
                <w:color w:val="000000"/>
                <w:sz w:val="16"/>
                <w:u w:val="none"/>
              </w:rPr>
              <w:t>2022</w:t>
            </w:r>
          </w:p>
        </w:tc>
        <w:tc>
          <w:tcPr>
            <w:tcW w:w="60" w:type="dxa"/>
            <w:tcBorders>
              <w:top w:val="nil"/>
              <w:left w:val="nil"/>
              <w:bottom w:val="nil"/>
              <w:right w:val="nil"/>
            </w:tcBorders>
            <w:tcMar>
              <w:top w:w="0" w:type="dxa"/>
              <w:left w:w="30" w:type="dxa"/>
              <w:bottom w:w="0" w:type="dxa"/>
              <w:right w:w="30" w:type="dxa"/>
            </w:tcMar>
            <w:vAlign w:val="bottom"/>
          </w:tcPr>
          <w:p>
            <w:pPr>
              <w:keepNext/>
              <w:pageBreakBefore w:val="0"/>
              <w:spacing w:before="53" w:after="30" w:line="240" w:lineRule="auto"/>
              <w:jc w:val="center"/>
            </w:pPr>
          </w:p>
        </w:tc>
        <w:tc>
          <w:tcPr>
            <w:tcW w:w="2385" w:type="dxa"/>
            <w:gridSpan w:val="5"/>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i w:val="0"/>
                <w:color w:val="000000"/>
                <w:sz w:val="16"/>
                <w:u w:val="none"/>
              </w:rPr>
              <w:t>2021</w:t>
            </w:r>
          </w:p>
        </w:tc>
      </w:tr>
      <w:tr>
        <w:tblPrEx>
          <w:tblW w:w="10260" w:type="dxa"/>
          <w:tblInd w:w="0" w:type="dxa"/>
          <w:tblLayout w:type="fixed"/>
          <w:tblCellMar>
            <w:left w:w="108" w:type="dxa"/>
            <w:right w:w="108" w:type="dxa"/>
          </w:tblCellMar>
        </w:tblPrEx>
        <w:trPr>
          <w:cantSplit/>
          <w:trHeight w:hRule="exact" w:val="720"/>
        </w:trPr>
        <w:tc>
          <w:tcPr>
            <w:tcW w:w="304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795" w:type="dxa"/>
            <w:tcBorders>
              <w:top w:val="nil"/>
              <w:left w:val="nil"/>
              <w:bottom w:val="single" w:sz="8" w:space="0" w:color="000000"/>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i w:val="0"/>
                <w:sz w:val="16"/>
              </w:rPr>
            </w:pPr>
            <w:r>
              <w:rPr>
                <w:rFonts w:ascii="Arial" w:eastAsia="Arial" w:hAnsi="Arial" w:cs="Arial"/>
                <w:b/>
                <w:i w:val="0"/>
                <w:sz w:val="16"/>
              </w:rPr>
              <w:t xml:space="preserve"> Net income (loss) </w:t>
            </w:r>
            <w:r>
              <w:rPr>
                <w:rFonts w:ascii="Arial" w:eastAsia="Arial" w:hAnsi="Arial" w:cs="Arial"/>
                <w:b/>
                <w:i w:val="0"/>
                <w:sz w:val="16"/>
                <w:vertAlign w:val="superscript"/>
              </w:rPr>
              <w:t>(1)</w:t>
            </w:r>
          </w:p>
        </w:tc>
        <w:tc>
          <w:tcPr>
            <w:tcW w:w="60" w:type="dxa"/>
            <w:tcBorders>
              <w:top w:val="single" w:sz="8" w:space="0" w:color="000000"/>
              <w:left w:val="nil"/>
              <w:bottom w:val="nil"/>
              <w:right w:val="nil"/>
            </w:tcBorders>
            <w:tcMar>
              <w:top w:w="0" w:type="dxa"/>
              <w:left w:w="30" w:type="dxa"/>
              <w:bottom w:w="0" w:type="dxa"/>
              <w:right w:w="30" w:type="dxa"/>
            </w:tcMar>
            <w:vAlign w:val="center"/>
          </w:tcPr>
          <w:p>
            <w:pPr>
              <w:keepNext/>
              <w:pageBreakBefore w:val="0"/>
              <w:spacing w:before="0" w:after="0" w:line="240" w:lineRule="auto"/>
              <w:jc w:val="center"/>
            </w:pPr>
          </w:p>
        </w:tc>
        <w:tc>
          <w:tcPr>
            <w:tcW w:w="825" w:type="dxa"/>
            <w:tcBorders>
              <w:top w:val="single" w:sz="8" w:space="0" w:color="000000"/>
              <w:left w:val="nil"/>
              <w:bottom w:val="single" w:sz="8" w:space="0" w:color="000000"/>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i w:val="0"/>
                <w:sz w:val="16"/>
              </w:rPr>
            </w:pPr>
            <w:r>
              <w:rPr>
                <w:rFonts w:ascii="Arial" w:eastAsia="Arial" w:hAnsi="Arial" w:cs="Arial"/>
                <w:b/>
                <w:i w:val="0"/>
                <w:sz w:val="16"/>
              </w:rPr>
              <w:t xml:space="preserve"> Opening equity </w:t>
            </w:r>
          </w:p>
          <w:p>
            <w:pPr>
              <w:pageBreakBefore w:val="0"/>
              <w:numPr>
                <w:ilvl w:val="0"/>
                <w:numId w:val="0"/>
              </w:numPr>
              <w:spacing w:before="0" w:after="0" w:line="240" w:lineRule="auto"/>
              <w:ind w:left="0" w:right="0" w:firstLine="0"/>
              <w:jc w:val="center"/>
              <w:outlineLvl w:val="9"/>
              <w:rPr>
                <w:rFonts w:ascii="Arial" w:eastAsia="Arial" w:hAnsi="Arial" w:cs="Arial"/>
                <w:b/>
                <w:i w:val="0"/>
                <w:sz w:val="16"/>
              </w:rPr>
            </w:pPr>
            <w:r>
              <w:rPr>
                <w:rFonts w:ascii="Arial" w:eastAsia="Arial" w:hAnsi="Arial" w:cs="Arial"/>
                <w:b/>
                <w:i w:val="0"/>
                <w:sz w:val="16"/>
                <w:vertAlign w:val="superscript"/>
              </w:rPr>
              <w:t>(1) (2)</w:t>
            </w:r>
          </w:p>
        </w:tc>
        <w:tc>
          <w:tcPr>
            <w:tcW w:w="60" w:type="dxa"/>
            <w:tcBorders>
              <w:top w:val="single" w:sz="8" w:space="0" w:color="000000"/>
              <w:left w:val="nil"/>
              <w:bottom w:val="nil"/>
              <w:right w:val="nil"/>
            </w:tcBorders>
            <w:tcMar>
              <w:top w:w="0" w:type="dxa"/>
              <w:left w:w="30" w:type="dxa"/>
              <w:bottom w:w="0" w:type="dxa"/>
              <w:right w:w="30" w:type="dxa"/>
            </w:tcMar>
            <w:vAlign w:val="center"/>
          </w:tcPr>
          <w:p>
            <w:pPr>
              <w:keepNext/>
              <w:pageBreakBefore w:val="0"/>
              <w:spacing w:before="0" w:after="0" w:line="240" w:lineRule="auto"/>
              <w:jc w:val="center"/>
            </w:pPr>
          </w:p>
        </w:tc>
        <w:tc>
          <w:tcPr>
            <w:tcW w:w="630" w:type="dxa"/>
            <w:tcBorders>
              <w:top w:val="single" w:sz="8" w:space="0" w:color="000000"/>
              <w:left w:val="nil"/>
              <w:bottom w:val="single" w:sz="8" w:space="0" w:color="000000"/>
              <w:right w:val="nil"/>
            </w:tcBorders>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i w:val="0"/>
                <w:color w:val="000000"/>
                <w:sz w:val="16"/>
                <w:u w:val="none"/>
              </w:rPr>
              <w:t>(Adj) ROE</w:t>
            </w:r>
          </w:p>
        </w:tc>
        <w:tc>
          <w:tcPr>
            <w:tcW w:w="60" w:type="dxa"/>
            <w:tcBorders>
              <w:top w:val="nil"/>
              <w:left w:val="nil"/>
              <w:bottom w:val="nil"/>
              <w:right w:val="nil"/>
            </w:tcBorders>
            <w:tcMar>
              <w:top w:w="0" w:type="dxa"/>
              <w:left w:w="30" w:type="dxa"/>
              <w:bottom w:w="0" w:type="dxa"/>
              <w:right w:w="30" w:type="dxa"/>
            </w:tcMar>
            <w:vAlign w:val="center"/>
          </w:tcPr>
          <w:p>
            <w:pPr>
              <w:keepNext/>
              <w:pageBreakBefore w:val="0"/>
              <w:spacing w:before="0" w:after="0" w:line="240" w:lineRule="auto"/>
              <w:jc w:val="center"/>
            </w:pPr>
          </w:p>
        </w:tc>
        <w:tc>
          <w:tcPr>
            <w:tcW w:w="795" w:type="dxa"/>
            <w:tcBorders>
              <w:top w:val="nil"/>
              <w:left w:val="nil"/>
              <w:bottom w:val="single" w:sz="8" w:space="0" w:color="000000"/>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i w:val="0"/>
                <w:sz w:val="16"/>
              </w:rPr>
            </w:pPr>
            <w:r>
              <w:rPr>
                <w:rFonts w:ascii="Arial" w:eastAsia="Arial" w:hAnsi="Arial" w:cs="Arial"/>
                <w:b/>
                <w:i w:val="0"/>
                <w:sz w:val="16"/>
              </w:rPr>
              <w:t xml:space="preserve"> Net (loss) income </w:t>
            </w:r>
            <w:r>
              <w:rPr>
                <w:rFonts w:ascii="Arial" w:eastAsia="Arial" w:hAnsi="Arial" w:cs="Arial"/>
                <w:b/>
                <w:i w:val="0"/>
                <w:sz w:val="16"/>
                <w:vertAlign w:val="superscript"/>
              </w:rPr>
              <w:t>(1)</w:t>
            </w:r>
          </w:p>
        </w:tc>
        <w:tc>
          <w:tcPr>
            <w:tcW w:w="60" w:type="dxa"/>
            <w:tcBorders>
              <w:top w:val="single" w:sz="8" w:space="0" w:color="000000"/>
              <w:left w:val="nil"/>
              <w:bottom w:val="nil"/>
              <w:right w:val="nil"/>
            </w:tcBorders>
            <w:tcMar>
              <w:top w:w="0" w:type="dxa"/>
              <w:left w:w="30" w:type="dxa"/>
              <w:bottom w:w="0" w:type="dxa"/>
              <w:right w:w="30" w:type="dxa"/>
            </w:tcMar>
            <w:vAlign w:val="center"/>
          </w:tcPr>
          <w:p>
            <w:pPr>
              <w:keepNext/>
              <w:pageBreakBefore w:val="0"/>
              <w:spacing w:before="0" w:after="0" w:line="240" w:lineRule="auto"/>
              <w:jc w:val="center"/>
            </w:pPr>
          </w:p>
        </w:tc>
        <w:tc>
          <w:tcPr>
            <w:tcW w:w="825" w:type="dxa"/>
            <w:tcBorders>
              <w:top w:val="single" w:sz="8" w:space="0" w:color="000000"/>
              <w:left w:val="nil"/>
              <w:bottom w:val="single" w:sz="8" w:space="0" w:color="000000"/>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i w:val="0"/>
                <w:sz w:val="16"/>
              </w:rPr>
            </w:pPr>
            <w:r>
              <w:rPr>
                <w:rFonts w:ascii="Arial" w:eastAsia="Arial" w:hAnsi="Arial" w:cs="Arial"/>
                <w:b/>
                <w:i w:val="0"/>
                <w:sz w:val="16"/>
              </w:rPr>
              <w:t xml:space="preserve"> Opening equity </w:t>
            </w:r>
            <w:r>
              <w:rPr>
                <w:rFonts w:ascii="Arial" w:eastAsia="Arial" w:hAnsi="Arial" w:cs="Arial"/>
                <w:b/>
                <w:i w:val="0"/>
                <w:sz w:val="16"/>
                <w:vertAlign w:val="superscript"/>
              </w:rPr>
              <w:t>(1)</w:t>
            </w:r>
          </w:p>
        </w:tc>
        <w:tc>
          <w:tcPr>
            <w:tcW w:w="60" w:type="dxa"/>
            <w:tcBorders>
              <w:top w:val="single" w:sz="8" w:space="0" w:color="000000"/>
              <w:left w:val="nil"/>
              <w:bottom w:val="nil"/>
              <w:right w:val="nil"/>
            </w:tcBorders>
            <w:tcMar>
              <w:top w:w="0" w:type="dxa"/>
              <w:left w:w="30" w:type="dxa"/>
              <w:bottom w:w="0" w:type="dxa"/>
              <w:right w:w="30" w:type="dxa"/>
            </w:tcMar>
            <w:vAlign w:val="center"/>
          </w:tcPr>
          <w:p>
            <w:pPr>
              <w:keepNext/>
              <w:pageBreakBefore w:val="0"/>
              <w:spacing w:before="0" w:after="0" w:line="240" w:lineRule="auto"/>
              <w:jc w:val="center"/>
            </w:pPr>
          </w:p>
        </w:tc>
        <w:tc>
          <w:tcPr>
            <w:tcW w:w="600" w:type="dxa"/>
            <w:tcBorders>
              <w:top w:val="single" w:sz="8" w:space="0" w:color="000000"/>
              <w:left w:val="nil"/>
              <w:bottom w:val="single" w:sz="8" w:space="0" w:color="000000"/>
              <w:right w:val="nil"/>
            </w:tcBorders>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i w:val="0"/>
                <w:color w:val="000000"/>
                <w:sz w:val="16"/>
                <w:u w:val="none"/>
              </w:rPr>
              <w:t>(Adj) ROE</w:t>
            </w:r>
          </w:p>
        </w:tc>
        <w:tc>
          <w:tcPr>
            <w:tcW w:w="60" w:type="dxa"/>
            <w:tcBorders>
              <w:top w:val="nil"/>
              <w:left w:val="nil"/>
              <w:bottom w:val="nil"/>
              <w:right w:val="nil"/>
            </w:tcBorders>
            <w:tcMar>
              <w:top w:w="0" w:type="dxa"/>
              <w:left w:w="30" w:type="dxa"/>
              <w:bottom w:w="0" w:type="dxa"/>
              <w:right w:w="30" w:type="dxa"/>
            </w:tcMar>
            <w:vAlign w:val="center"/>
          </w:tcPr>
          <w:p>
            <w:pPr>
              <w:keepNext/>
              <w:pageBreakBefore w:val="0"/>
              <w:spacing w:before="0" w:after="0" w:line="240" w:lineRule="auto"/>
              <w:jc w:val="center"/>
            </w:pPr>
          </w:p>
        </w:tc>
        <w:tc>
          <w:tcPr>
            <w:tcW w:w="840" w:type="dxa"/>
            <w:tcBorders>
              <w:top w:val="nil"/>
              <w:left w:val="nil"/>
              <w:bottom w:val="single" w:sz="8" w:space="0" w:color="000000"/>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i w:val="0"/>
                <w:sz w:val="16"/>
              </w:rPr>
            </w:pPr>
            <w:r>
              <w:rPr>
                <w:rFonts w:ascii="Arial" w:eastAsia="Arial" w:hAnsi="Arial" w:cs="Arial"/>
                <w:b/>
                <w:i w:val="0"/>
                <w:sz w:val="16"/>
              </w:rPr>
              <w:t xml:space="preserve"> Net income (loss) </w:t>
            </w:r>
            <w:r>
              <w:rPr>
                <w:rFonts w:ascii="Arial" w:eastAsia="Arial" w:hAnsi="Arial" w:cs="Arial"/>
                <w:b/>
                <w:i w:val="0"/>
                <w:sz w:val="16"/>
                <w:vertAlign w:val="superscript"/>
              </w:rPr>
              <w:t>(1)</w:t>
            </w:r>
          </w:p>
        </w:tc>
        <w:tc>
          <w:tcPr>
            <w:tcW w:w="60" w:type="dxa"/>
            <w:tcBorders>
              <w:top w:val="single" w:sz="8" w:space="0" w:color="000000"/>
              <w:left w:val="nil"/>
              <w:bottom w:val="nil"/>
              <w:right w:val="nil"/>
            </w:tcBorders>
            <w:tcMar>
              <w:top w:w="0" w:type="dxa"/>
              <w:left w:w="30" w:type="dxa"/>
              <w:bottom w:w="0" w:type="dxa"/>
              <w:right w:w="30" w:type="dxa"/>
            </w:tcMar>
            <w:vAlign w:val="center"/>
          </w:tcPr>
          <w:p>
            <w:pPr>
              <w:keepNext/>
              <w:pageBreakBefore w:val="0"/>
              <w:spacing w:before="0" w:after="0" w:line="240" w:lineRule="auto"/>
              <w:jc w:val="center"/>
            </w:pPr>
          </w:p>
        </w:tc>
        <w:tc>
          <w:tcPr>
            <w:tcW w:w="825" w:type="dxa"/>
            <w:tcBorders>
              <w:top w:val="single" w:sz="8" w:space="0" w:color="000000"/>
              <w:left w:val="nil"/>
              <w:bottom w:val="single" w:sz="8" w:space="0" w:color="000000"/>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i w:val="0"/>
                <w:sz w:val="16"/>
              </w:rPr>
            </w:pPr>
            <w:r>
              <w:rPr>
                <w:rFonts w:ascii="Arial" w:eastAsia="Arial" w:hAnsi="Arial" w:cs="Arial"/>
                <w:b/>
                <w:i w:val="0"/>
                <w:sz w:val="16"/>
              </w:rPr>
              <w:t xml:space="preserve"> Opening equity </w:t>
            </w:r>
            <w:r>
              <w:rPr>
                <w:rFonts w:ascii="Arial" w:eastAsia="Arial" w:hAnsi="Arial" w:cs="Arial"/>
                <w:b/>
                <w:i w:val="0"/>
                <w:sz w:val="16"/>
                <w:vertAlign w:val="superscript"/>
              </w:rPr>
              <w:t>(1)</w:t>
            </w:r>
          </w:p>
        </w:tc>
        <w:tc>
          <w:tcPr>
            <w:tcW w:w="60" w:type="dxa"/>
            <w:tcBorders>
              <w:top w:val="single" w:sz="8" w:space="0" w:color="000000"/>
              <w:left w:val="nil"/>
              <w:bottom w:val="nil"/>
              <w:right w:val="nil"/>
            </w:tcBorders>
            <w:tcMar>
              <w:top w:w="0" w:type="dxa"/>
              <w:left w:w="30" w:type="dxa"/>
              <w:bottom w:w="0" w:type="dxa"/>
              <w:right w:w="30" w:type="dxa"/>
            </w:tcMar>
            <w:vAlign w:val="center"/>
          </w:tcPr>
          <w:p>
            <w:pPr>
              <w:keepNext/>
              <w:pageBreakBefore w:val="0"/>
              <w:spacing w:before="0" w:after="0" w:line="240" w:lineRule="auto"/>
              <w:jc w:val="center"/>
            </w:pPr>
          </w:p>
        </w:tc>
        <w:tc>
          <w:tcPr>
            <w:tcW w:w="600" w:type="dxa"/>
            <w:tcBorders>
              <w:top w:val="single" w:sz="8" w:space="0" w:color="000000"/>
              <w:left w:val="nil"/>
              <w:bottom w:val="single" w:sz="8" w:space="0" w:color="000000"/>
              <w:right w:val="nil"/>
            </w:tcBorders>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i w:val="0"/>
                <w:color w:val="000000"/>
                <w:sz w:val="16"/>
                <w:u w:val="none"/>
              </w:rPr>
              <w:t>(Adj) ROE</w:t>
            </w:r>
          </w:p>
        </w:tc>
      </w:tr>
      <w:tr>
        <w:tblPrEx>
          <w:tblW w:w="10260" w:type="dxa"/>
          <w:tblInd w:w="0" w:type="dxa"/>
          <w:tblLayout w:type="fixed"/>
          <w:tblCellMar>
            <w:left w:w="108" w:type="dxa"/>
            <w:right w:w="108" w:type="dxa"/>
          </w:tblCellMar>
        </w:tblPrEx>
        <w:trPr>
          <w:cantSplit/>
          <w:trHeight w:hRule="exact" w:val="240"/>
        </w:trPr>
        <w:tc>
          <w:tcPr>
            <w:tcW w:w="304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7215" w:type="dxa"/>
            <w:gridSpan w:val="17"/>
            <w:tcBorders>
              <w:top w:val="nil"/>
              <w:left w:val="nil"/>
              <w:bottom w:val="nil"/>
              <w:right w:val="nil"/>
            </w:tcBorders>
            <w:tcMar>
              <w:top w:w="0" w:type="dxa"/>
              <w:left w:w="53" w:type="dxa"/>
              <w:bottom w:w="0" w:type="dxa"/>
              <w:right w:w="15" w:type="dxa"/>
            </w:tcMar>
            <w:vAlign w:val="bottom"/>
          </w:tcPr>
          <w:p>
            <w:pPr>
              <w:keepNext/>
              <w:pageBreakBefore w:val="0"/>
              <w:spacing w:before="33" w:after="30" w:line="240" w:lineRule="auto"/>
              <w:jc w:val="center"/>
            </w:pPr>
            <w:r>
              <w:rPr>
                <w:rFonts w:ascii="Arial" w:eastAsia="Arial" w:hAnsi="Arial" w:cs="Arial"/>
                <w:b/>
                <w:i w:val="0"/>
                <w:color w:val="000000"/>
                <w:sz w:val="16"/>
                <w:u w:val="none"/>
              </w:rPr>
              <w:t>(in millions of U.S. dollars)</w:t>
            </w:r>
          </w:p>
        </w:tc>
      </w:tr>
      <w:tr>
        <w:tblPrEx>
          <w:tblW w:w="10260" w:type="dxa"/>
          <w:tblInd w:w="0" w:type="dxa"/>
          <w:tblLayout w:type="fixed"/>
          <w:tblCellMar>
            <w:left w:w="108" w:type="dxa"/>
            <w:right w:w="108" w:type="dxa"/>
          </w:tblCellMar>
        </w:tblPrEx>
        <w:trPr>
          <w:cantSplit/>
          <w:trHeight w:hRule="exact" w:val="405"/>
        </w:trPr>
        <w:tc>
          <w:tcPr>
            <w:tcW w:w="304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i w:val="0"/>
                <w:sz w:val="16"/>
              </w:rPr>
            </w:pPr>
            <w:r>
              <w:rPr>
                <w:rFonts w:ascii="Arial" w:eastAsia="Arial" w:hAnsi="Arial" w:cs="Arial"/>
                <w:b/>
                <w:i w:val="0"/>
                <w:sz w:val="16"/>
              </w:rPr>
              <w:t xml:space="preserve">Net income (loss)/Opening equity/ROE </w:t>
            </w:r>
            <w:r>
              <w:rPr>
                <w:rFonts w:ascii="Arial" w:eastAsia="Arial" w:hAnsi="Arial" w:cs="Arial"/>
                <w:b/>
                <w:i w:val="0"/>
                <w:sz w:val="16"/>
                <w:vertAlign w:val="superscript"/>
              </w:rPr>
              <w:t>(1)</w:t>
            </w:r>
          </w:p>
        </w:tc>
        <w:tc>
          <w:tcPr>
            <w:tcW w:w="795" w:type="dxa"/>
            <w:tcBorders>
              <w:top w:val="nil"/>
              <w:left w:val="nil"/>
              <w:bottom w:val="nil"/>
              <w:right w:val="nil"/>
            </w:tcBorders>
            <w:tcMar>
              <w:top w:w="0" w:type="dxa"/>
              <w:left w:w="0" w:type="dxa"/>
              <w:bottom w:w="0" w:type="dxa"/>
              <w:right w:w="15" w:type="dxa"/>
            </w:tcMar>
            <w:vAlign w:val="bottom"/>
          </w:tcPr>
          <w:p>
            <w:pPr>
              <w:keepNext/>
              <w:pageBreakBefore w:val="0"/>
              <w:tabs>
                <w:tab w:val="left" w:pos="276"/>
                <w:tab w:val="left" w:pos="727"/>
              </w:tabs>
              <w:spacing w:before="53" w:after="30" w:line="240" w:lineRule="auto"/>
              <w:jc w:val="right"/>
            </w:pPr>
            <w:r>
              <w:rPr>
                <w:rFonts w:ascii="Arial" w:eastAsia="Arial" w:hAnsi="Arial" w:cs="Arial"/>
                <w:b w:val="0"/>
                <w:i w:val="0"/>
                <w:color w:val="000000"/>
                <w:sz w:val="16"/>
                <w:u w:val="none"/>
              </w:rPr>
              <w:t>$</w:t>
              <w:tab/>
              <w:t>1,082</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293"/>
                <w:tab w:val="left" w:pos="757"/>
              </w:tabs>
              <w:spacing w:before="53" w:after="30" w:line="240" w:lineRule="auto"/>
              <w:jc w:val="right"/>
            </w:pPr>
            <w:r>
              <w:rPr>
                <w:rFonts w:ascii="Arial" w:eastAsia="Arial" w:hAnsi="Arial" w:cs="Arial"/>
                <w:b w:val="0"/>
                <w:i w:val="0"/>
                <w:color w:val="000000"/>
                <w:sz w:val="16"/>
                <w:u w:val="none"/>
              </w:rPr>
              <w:t>$</w:t>
              <w:tab/>
              <w:t>4,464</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63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67"/>
              </w:tabs>
              <w:spacing w:before="53" w:after="30" w:line="240" w:lineRule="auto"/>
              <w:jc w:val="right"/>
            </w:pPr>
            <w:r>
              <w:rPr>
                <w:rFonts w:ascii="Arial" w:eastAsia="Arial" w:hAnsi="Arial" w:cs="Arial"/>
                <w:b w:val="0"/>
                <w:i w:val="0"/>
                <w:color w:val="000000"/>
                <w:sz w:val="16"/>
                <w:u w:val="none"/>
              </w:rPr>
              <w:tab/>
              <w:t>24.2</w:t>
              <w:tab/>
              <w:t>%</w:t>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795" w:type="dxa"/>
            <w:tcBorders>
              <w:top w:val="nil"/>
              <w:left w:val="nil"/>
              <w:bottom w:val="nil"/>
              <w:right w:val="nil"/>
            </w:tcBorders>
            <w:tcMar>
              <w:top w:w="0" w:type="dxa"/>
              <w:left w:w="0" w:type="dxa"/>
              <w:bottom w:w="0" w:type="dxa"/>
              <w:right w:w="15" w:type="dxa"/>
            </w:tcMar>
            <w:vAlign w:val="bottom"/>
          </w:tcPr>
          <w:p>
            <w:pPr>
              <w:keepNext/>
              <w:pageBreakBefore w:val="0"/>
              <w:tabs>
                <w:tab w:val="left" w:pos="336"/>
              </w:tabs>
              <w:spacing w:before="53" w:after="30" w:line="240" w:lineRule="auto"/>
              <w:jc w:val="right"/>
            </w:pPr>
            <w:r>
              <w:rPr>
                <w:rFonts w:ascii="Arial" w:eastAsia="Arial" w:hAnsi="Arial" w:cs="Arial"/>
                <w:b w:val="0"/>
                <w:i w:val="0"/>
                <w:color w:val="000000"/>
                <w:sz w:val="16"/>
                <w:u w:val="none"/>
              </w:rPr>
              <w:t>$</w:t>
              <w:tab/>
              <w:t>(906)</w:t>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306"/>
                <w:tab w:val="left" w:pos="757"/>
              </w:tabs>
              <w:spacing w:before="53" w:after="30" w:line="240" w:lineRule="auto"/>
              <w:jc w:val="right"/>
            </w:pPr>
            <w:r>
              <w:rPr>
                <w:rFonts w:ascii="Arial" w:eastAsia="Arial" w:hAnsi="Arial" w:cs="Arial"/>
                <w:b w:val="0"/>
                <w:i w:val="0"/>
                <w:color w:val="000000"/>
                <w:sz w:val="16"/>
                <w:u w:val="none"/>
              </w:rPr>
              <w:t>$</w:t>
              <w:tab/>
              <w:t>5,813</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6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420"/>
              </w:tabs>
              <w:spacing w:before="53" w:after="30" w:line="240" w:lineRule="auto"/>
              <w:jc w:val="right"/>
            </w:pPr>
            <w:r>
              <w:rPr>
                <w:rFonts w:ascii="Arial" w:eastAsia="Arial" w:hAnsi="Arial" w:cs="Arial"/>
                <w:b w:val="0"/>
                <w:i w:val="0"/>
                <w:color w:val="000000"/>
                <w:sz w:val="16"/>
                <w:u w:val="none"/>
              </w:rPr>
              <w:tab/>
              <w:t>(15.6)</w:t>
              <w:tab/>
              <w:t>%</w:t>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40" w:type="dxa"/>
            <w:tcBorders>
              <w:top w:val="nil"/>
              <w:left w:val="nil"/>
              <w:bottom w:val="nil"/>
              <w:right w:val="nil"/>
            </w:tcBorders>
            <w:tcMar>
              <w:top w:w="0" w:type="dxa"/>
              <w:left w:w="0" w:type="dxa"/>
              <w:bottom w:w="0" w:type="dxa"/>
              <w:right w:w="15" w:type="dxa"/>
            </w:tcMar>
            <w:vAlign w:val="bottom"/>
          </w:tcPr>
          <w:p>
            <w:pPr>
              <w:keepNext/>
              <w:pageBreakBefore w:val="0"/>
              <w:tabs>
                <w:tab w:val="left" w:pos="454"/>
                <w:tab w:val="left" w:pos="772"/>
              </w:tabs>
              <w:spacing w:before="53" w:after="30" w:line="240" w:lineRule="auto"/>
              <w:jc w:val="right"/>
            </w:pPr>
            <w:r>
              <w:rPr>
                <w:rFonts w:ascii="Arial" w:eastAsia="Arial" w:hAnsi="Arial" w:cs="Arial"/>
                <w:b w:val="0"/>
                <w:i w:val="0"/>
                <w:color w:val="000000"/>
                <w:sz w:val="16"/>
                <w:u w:val="none"/>
              </w:rPr>
              <w:t>$</w:t>
              <w:tab/>
              <w:t>502</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306"/>
                <w:tab w:val="left" w:pos="757"/>
              </w:tabs>
              <w:spacing w:before="53" w:after="30" w:line="240" w:lineRule="auto"/>
              <w:jc w:val="right"/>
            </w:pPr>
            <w:r>
              <w:rPr>
                <w:rFonts w:ascii="Arial" w:eastAsia="Arial" w:hAnsi="Arial" w:cs="Arial"/>
                <w:b w:val="0"/>
                <w:i w:val="0"/>
                <w:color w:val="000000"/>
                <w:sz w:val="16"/>
                <w:u w:val="none"/>
              </w:rPr>
              <w:t>$</w:t>
              <w:tab/>
              <w:t>6,326</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600"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278"/>
              </w:tabs>
              <w:spacing w:before="53" w:after="30" w:line="240" w:lineRule="auto"/>
              <w:jc w:val="right"/>
            </w:pPr>
            <w:r>
              <w:rPr>
                <w:rFonts w:ascii="Arial" w:eastAsia="Arial" w:hAnsi="Arial" w:cs="Arial"/>
                <w:b w:val="0"/>
                <w:i w:val="0"/>
                <w:color w:val="000000"/>
                <w:sz w:val="16"/>
                <w:u w:val="none"/>
              </w:rPr>
              <w:tab/>
              <w:t>7.9</w:t>
              <w:tab/>
              <w:t>%</w:t>
            </w:r>
          </w:p>
        </w:tc>
      </w:tr>
      <w:tr>
        <w:tblPrEx>
          <w:tblW w:w="10260" w:type="dxa"/>
          <w:tblInd w:w="0" w:type="dxa"/>
          <w:tblLayout w:type="fixed"/>
          <w:tblCellMar>
            <w:left w:w="108" w:type="dxa"/>
            <w:right w:w="108" w:type="dxa"/>
          </w:tblCellMar>
        </w:tblPrEx>
        <w:trPr>
          <w:cantSplit/>
          <w:trHeight w:hRule="exact" w:val="240"/>
        </w:trPr>
        <w:tc>
          <w:tcPr>
            <w:tcW w:w="30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val="0"/>
                <w:i w:val="0"/>
                <w:color w:val="000000"/>
                <w:sz w:val="16"/>
                <w:u w:val="none"/>
              </w:rPr>
              <w:t>Non-GAAP adjustments for loss (gains):</w:t>
            </w:r>
          </w:p>
        </w:tc>
        <w:tc>
          <w:tcPr>
            <w:tcW w:w="79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63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79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60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4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60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r>
      <w:tr>
        <w:tblPrEx>
          <w:tblW w:w="10260" w:type="dxa"/>
          <w:tblInd w:w="0" w:type="dxa"/>
          <w:tblLayout w:type="fixed"/>
          <w:tblCellMar>
            <w:left w:w="108" w:type="dxa"/>
            <w:right w:w="108" w:type="dxa"/>
          </w:tblCellMar>
        </w:tblPrEx>
        <w:trPr>
          <w:cantSplit/>
          <w:trHeight w:hRule="exact" w:val="720"/>
        </w:trPr>
        <w:tc>
          <w:tcPr>
            <w:tcW w:w="304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120" w:right="0" w:firstLine="0"/>
              <w:jc w:val="left"/>
              <w:outlineLvl w:val="9"/>
              <w:rPr>
                <w:rFonts w:ascii="Arial" w:eastAsia="Arial" w:hAnsi="Arial" w:cs="Arial"/>
                <w:b w:val="0"/>
                <w:i w:val="0"/>
                <w:sz w:val="16"/>
              </w:rPr>
            </w:pPr>
            <w:r>
              <w:rPr>
                <w:rFonts w:ascii="Arial" w:eastAsia="Arial" w:hAnsi="Arial" w:cs="Arial"/>
                <w:b w:val="0"/>
                <w:i w:val="0"/>
                <w:sz w:val="16"/>
              </w:rPr>
              <w:t xml:space="preserve">Net realized losses (gains) on fixed maturities, AFS </w:t>
            </w:r>
            <w:r>
              <w:rPr>
                <w:rFonts w:ascii="Arial" w:eastAsia="Arial" w:hAnsi="Arial" w:cs="Arial"/>
                <w:b w:val="0"/>
                <w:i w:val="0"/>
                <w:sz w:val="16"/>
                <w:vertAlign w:val="superscript"/>
              </w:rPr>
              <w:t>(3)</w:t>
            </w:r>
            <w:r>
              <w:rPr>
                <w:rFonts w:ascii="Arial" w:eastAsia="Arial" w:hAnsi="Arial" w:cs="Arial"/>
                <w:b w:val="0"/>
                <w:i w:val="0"/>
                <w:sz w:val="16"/>
              </w:rPr>
              <w:t xml:space="preserve"> / Net unrealized losses (gains) on fixed maturities, AFS </w:t>
            </w:r>
            <w:r>
              <w:rPr>
                <w:rFonts w:ascii="Arial" w:eastAsia="Arial" w:hAnsi="Arial" w:cs="Arial"/>
                <w:b w:val="0"/>
                <w:i w:val="0"/>
                <w:sz w:val="16"/>
                <w:vertAlign w:val="superscript"/>
              </w:rPr>
              <w:t>(4)</w:t>
            </w:r>
          </w:p>
        </w:tc>
        <w:tc>
          <w:tcPr>
            <w:tcW w:w="795" w:type="dxa"/>
            <w:tcBorders>
              <w:top w:val="nil"/>
              <w:left w:val="nil"/>
              <w:bottom w:val="nil"/>
              <w:right w:val="nil"/>
            </w:tcBorders>
            <w:tcMar>
              <w:top w:w="0" w:type="dxa"/>
              <w:left w:w="0" w:type="dxa"/>
              <w:bottom w:w="0" w:type="dxa"/>
              <w:right w:w="15" w:type="dxa"/>
            </w:tcMar>
            <w:vAlign w:val="bottom"/>
          </w:tcPr>
          <w:p>
            <w:pPr>
              <w:keepNext/>
              <w:pageBreakBefore w:val="0"/>
              <w:tabs>
                <w:tab w:val="left" w:pos="498"/>
                <w:tab w:val="left" w:pos="727"/>
              </w:tabs>
              <w:spacing w:before="53" w:after="30" w:line="240" w:lineRule="auto"/>
              <w:jc w:val="right"/>
            </w:pPr>
            <w:r>
              <w:rPr>
                <w:rFonts w:ascii="Arial" w:eastAsia="Arial" w:hAnsi="Arial" w:cs="Arial"/>
                <w:b w:val="0"/>
                <w:i w:val="0"/>
                <w:color w:val="000000"/>
                <w:sz w:val="16"/>
                <w:u w:val="none"/>
              </w:rPr>
              <w:tab/>
              <w:t>65</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426"/>
                <w:tab w:val="left" w:pos="757"/>
              </w:tabs>
              <w:spacing w:before="53" w:after="30" w:line="240" w:lineRule="auto"/>
              <w:jc w:val="right"/>
            </w:pPr>
            <w:r>
              <w:rPr>
                <w:rFonts w:ascii="Arial" w:eastAsia="Arial" w:hAnsi="Arial" w:cs="Arial"/>
                <w:b w:val="0"/>
                <w:i w:val="0"/>
                <w:color w:val="000000"/>
                <w:sz w:val="16"/>
                <w:u w:val="none"/>
              </w:rPr>
              <w:tab/>
              <w:t>647</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63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795" w:type="dxa"/>
            <w:tcBorders>
              <w:top w:val="nil"/>
              <w:left w:val="nil"/>
              <w:bottom w:val="nil"/>
              <w:right w:val="nil"/>
            </w:tcBorders>
            <w:tcMar>
              <w:top w:w="0" w:type="dxa"/>
              <w:left w:w="0" w:type="dxa"/>
              <w:bottom w:w="0" w:type="dxa"/>
              <w:right w:w="15" w:type="dxa"/>
            </w:tcMar>
            <w:vAlign w:val="bottom"/>
          </w:tcPr>
          <w:p>
            <w:pPr>
              <w:keepNext/>
              <w:pageBreakBefore w:val="0"/>
              <w:tabs>
                <w:tab w:val="left" w:pos="409"/>
                <w:tab w:val="left" w:pos="727"/>
              </w:tabs>
              <w:spacing w:before="53" w:after="30" w:line="240" w:lineRule="auto"/>
              <w:jc w:val="right"/>
            </w:pPr>
            <w:r>
              <w:rPr>
                <w:rFonts w:ascii="Arial" w:eastAsia="Arial" w:hAnsi="Arial" w:cs="Arial"/>
                <w:b w:val="0"/>
                <w:i w:val="0"/>
                <w:color w:val="000000"/>
                <w:sz w:val="16"/>
                <w:u w:val="none"/>
              </w:rPr>
              <w:tab/>
              <w:t>111</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528"/>
                <w:tab w:val="left" w:pos="757"/>
              </w:tabs>
              <w:spacing w:before="53" w:after="30" w:line="240" w:lineRule="auto"/>
              <w:jc w:val="right"/>
            </w:pPr>
            <w:r>
              <w:rPr>
                <w:rFonts w:ascii="Arial" w:eastAsia="Arial" w:hAnsi="Arial" w:cs="Arial"/>
                <w:b w:val="0"/>
                <w:i w:val="0"/>
                <w:color w:val="000000"/>
                <w:sz w:val="16"/>
                <w:u w:val="none"/>
              </w:rPr>
              <w:tab/>
              <w:t>36</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60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40" w:type="dxa"/>
            <w:tcBorders>
              <w:top w:val="nil"/>
              <w:left w:val="nil"/>
              <w:bottom w:val="nil"/>
              <w:right w:val="nil"/>
            </w:tcBorders>
            <w:tcMar>
              <w:top w:w="0" w:type="dxa"/>
              <w:left w:w="0" w:type="dxa"/>
              <w:bottom w:w="0" w:type="dxa"/>
              <w:right w:w="15" w:type="dxa"/>
            </w:tcMar>
            <w:vAlign w:val="bottom"/>
          </w:tcPr>
          <w:p>
            <w:pPr>
              <w:keepNext/>
              <w:pageBreakBefore w:val="0"/>
              <w:tabs>
                <w:tab w:val="left" w:pos="632"/>
                <w:tab w:val="left" w:pos="772"/>
              </w:tabs>
              <w:spacing w:before="53" w:after="30" w:line="240" w:lineRule="auto"/>
              <w:jc w:val="right"/>
            </w:pPr>
            <w:r>
              <w:rPr>
                <w:rFonts w:ascii="Arial" w:eastAsia="Arial" w:hAnsi="Arial" w:cs="Arial"/>
                <w:b w:val="0"/>
                <w:i w:val="0"/>
                <w:color w:val="000000"/>
                <w:sz w:val="16"/>
                <w:u w:val="none"/>
              </w:rPr>
              <w:tab/>
              <w:t>4</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455"/>
              </w:tabs>
              <w:spacing w:before="53" w:after="30" w:line="240" w:lineRule="auto"/>
              <w:jc w:val="right"/>
            </w:pPr>
            <w:r>
              <w:rPr>
                <w:rFonts w:ascii="Arial" w:eastAsia="Arial" w:hAnsi="Arial" w:cs="Arial"/>
                <w:b w:val="0"/>
                <w:i w:val="0"/>
                <w:color w:val="000000"/>
                <w:sz w:val="16"/>
                <w:u w:val="none"/>
              </w:rPr>
              <w:tab/>
              <w:t>(82)</w:t>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60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r>
      <w:tr>
        <w:tblPrEx>
          <w:tblW w:w="10260" w:type="dxa"/>
          <w:tblInd w:w="0" w:type="dxa"/>
          <w:tblLayout w:type="fixed"/>
          <w:tblCellMar>
            <w:left w:w="108" w:type="dxa"/>
            <w:right w:w="108" w:type="dxa"/>
          </w:tblCellMar>
        </w:tblPrEx>
        <w:trPr>
          <w:cantSplit/>
          <w:trHeight w:hRule="exact" w:val="720"/>
        </w:trPr>
        <w:tc>
          <w:tcPr>
            <w:tcW w:w="304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120" w:right="0" w:firstLine="0"/>
              <w:jc w:val="left"/>
              <w:outlineLvl w:val="9"/>
              <w:rPr>
                <w:rFonts w:ascii="Arial" w:eastAsia="Arial" w:hAnsi="Arial" w:cs="Arial"/>
                <w:b w:val="0"/>
                <w:i w:val="0"/>
                <w:sz w:val="16"/>
              </w:rPr>
            </w:pPr>
            <w:r>
              <w:rPr>
                <w:rFonts w:ascii="Arial" w:eastAsia="Arial" w:hAnsi="Arial" w:cs="Arial"/>
                <w:b w:val="0"/>
                <w:i w:val="0"/>
                <w:sz w:val="16"/>
              </w:rPr>
              <w:t xml:space="preserve">Net unrealized (gains) losses on fixed maturities, trading </w:t>
            </w:r>
            <w:r>
              <w:rPr>
                <w:rFonts w:ascii="Arial" w:eastAsia="Arial" w:hAnsi="Arial" w:cs="Arial"/>
                <w:b w:val="0"/>
                <w:i w:val="0"/>
                <w:sz w:val="16"/>
                <w:vertAlign w:val="superscript"/>
              </w:rPr>
              <w:t>(3)</w:t>
            </w:r>
            <w:r>
              <w:rPr>
                <w:rFonts w:ascii="Arial" w:eastAsia="Arial" w:hAnsi="Arial" w:cs="Arial"/>
                <w:b w:val="0"/>
                <w:i w:val="0"/>
                <w:sz w:val="16"/>
              </w:rPr>
              <w:t xml:space="preserve"> / Net unrealized losses (gains) on fixed maturities, trading </w:t>
            </w:r>
            <w:r>
              <w:rPr>
                <w:rFonts w:ascii="Arial" w:eastAsia="Arial" w:hAnsi="Arial" w:cs="Arial"/>
                <w:b w:val="0"/>
                <w:i w:val="0"/>
                <w:sz w:val="16"/>
                <w:vertAlign w:val="superscript"/>
              </w:rPr>
              <w:t>(4)</w:t>
            </w:r>
          </w:p>
        </w:tc>
        <w:tc>
          <w:tcPr>
            <w:tcW w:w="795" w:type="dxa"/>
            <w:tcBorders>
              <w:top w:val="nil"/>
              <w:left w:val="nil"/>
              <w:bottom w:val="nil"/>
              <w:right w:val="nil"/>
            </w:tcBorders>
            <w:tcMar>
              <w:top w:w="0" w:type="dxa"/>
              <w:left w:w="0" w:type="dxa"/>
              <w:bottom w:w="0" w:type="dxa"/>
              <w:right w:w="15" w:type="dxa"/>
            </w:tcMar>
            <w:vAlign w:val="bottom"/>
          </w:tcPr>
          <w:p>
            <w:pPr>
              <w:keepNext/>
              <w:pageBreakBefore w:val="0"/>
              <w:tabs>
                <w:tab w:val="left" w:pos="425"/>
              </w:tabs>
              <w:spacing w:before="53" w:after="30" w:line="240" w:lineRule="auto"/>
              <w:jc w:val="right"/>
            </w:pPr>
            <w:r>
              <w:rPr>
                <w:rFonts w:ascii="Arial" w:eastAsia="Arial" w:hAnsi="Arial" w:cs="Arial"/>
                <w:b w:val="0"/>
                <w:i w:val="0"/>
                <w:color w:val="000000"/>
                <w:sz w:val="16"/>
                <w:u w:val="none"/>
              </w:rPr>
              <w:tab/>
              <w:t>(84)</w:t>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426"/>
                <w:tab w:val="left" w:pos="757"/>
              </w:tabs>
              <w:spacing w:before="53" w:after="30" w:line="240" w:lineRule="auto"/>
              <w:jc w:val="right"/>
            </w:pPr>
            <w:r>
              <w:rPr>
                <w:rFonts w:ascii="Arial" w:eastAsia="Arial" w:hAnsi="Arial" w:cs="Arial"/>
                <w:b w:val="0"/>
                <w:i w:val="0"/>
                <w:color w:val="000000"/>
                <w:sz w:val="16"/>
                <w:u w:val="none"/>
              </w:rPr>
              <w:tab/>
              <w:t>400</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63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795" w:type="dxa"/>
            <w:tcBorders>
              <w:top w:val="nil"/>
              <w:left w:val="nil"/>
              <w:bottom w:val="nil"/>
              <w:right w:val="nil"/>
            </w:tcBorders>
            <w:tcMar>
              <w:top w:w="0" w:type="dxa"/>
              <w:left w:w="0" w:type="dxa"/>
              <w:bottom w:w="0" w:type="dxa"/>
              <w:right w:w="15" w:type="dxa"/>
            </w:tcMar>
            <w:vAlign w:val="bottom"/>
          </w:tcPr>
          <w:p>
            <w:pPr>
              <w:keepNext/>
              <w:pageBreakBefore w:val="0"/>
              <w:tabs>
                <w:tab w:val="left" w:pos="409"/>
                <w:tab w:val="left" w:pos="727"/>
              </w:tabs>
              <w:spacing w:before="53" w:after="30" w:line="240" w:lineRule="auto"/>
              <w:jc w:val="right"/>
            </w:pPr>
            <w:r>
              <w:rPr>
                <w:rFonts w:ascii="Arial" w:eastAsia="Arial" w:hAnsi="Arial" w:cs="Arial"/>
                <w:b w:val="0"/>
                <w:i w:val="0"/>
                <w:color w:val="000000"/>
                <w:sz w:val="16"/>
                <w:u w:val="none"/>
              </w:rPr>
              <w:tab/>
              <w:t>503</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366"/>
              </w:tabs>
              <w:spacing w:before="53" w:after="30" w:line="240" w:lineRule="auto"/>
              <w:jc w:val="right"/>
            </w:pPr>
            <w:r>
              <w:rPr>
                <w:rFonts w:ascii="Arial" w:eastAsia="Arial" w:hAnsi="Arial" w:cs="Arial"/>
                <w:b w:val="0"/>
                <w:i w:val="0"/>
                <w:color w:val="000000"/>
                <w:sz w:val="16"/>
                <w:u w:val="none"/>
              </w:rPr>
              <w:tab/>
              <w:t>(134)</w:t>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60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40" w:type="dxa"/>
            <w:tcBorders>
              <w:top w:val="nil"/>
              <w:left w:val="nil"/>
              <w:bottom w:val="nil"/>
              <w:right w:val="nil"/>
            </w:tcBorders>
            <w:tcMar>
              <w:top w:w="0" w:type="dxa"/>
              <w:left w:w="0" w:type="dxa"/>
              <w:bottom w:w="0" w:type="dxa"/>
              <w:right w:w="15" w:type="dxa"/>
            </w:tcMar>
            <w:vAlign w:val="bottom"/>
          </w:tcPr>
          <w:p>
            <w:pPr>
              <w:keepNext/>
              <w:pageBreakBefore w:val="0"/>
              <w:tabs>
                <w:tab w:val="left" w:pos="454"/>
                <w:tab w:val="left" w:pos="772"/>
              </w:tabs>
              <w:spacing w:before="53" w:after="30" w:line="240" w:lineRule="auto"/>
              <w:jc w:val="right"/>
            </w:pPr>
            <w:r>
              <w:rPr>
                <w:rFonts w:ascii="Arial" w:eastAsia="Arial" w:hAnsi="Arial" w:cs="Arial"/>
                <w:b w:val="0"/>
                <w:i w:val="0"/>
                <w:color w:val="000000"/>
                <w:sz w:val="16"/>
                <w:u w:val="none"/>
              </w:rPr>
              <w:tab/>
              <w:t>144</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366"/>
              </w:tabs>
              <w:spacing w:before="53" w:after="30" w:line="240" w:lineRule="auto"/>
              <w:jc w:val="right"/>
            </w:pPr>
            <w:r>
              <w:rPr>
                <w:rFonts w:ascii="Arial" w:eastAsia="Arial" w:hAnsi="Arial" w:cs="Arial"/>
                <w:b w:val="0"/>
                <w:i w:val="0"/>
                <w:color w:val="000000"/>
                <w:sz w:val="16"/>
                <w:u w:val="none"/>
              </w:rPr>
              <w:tab/>
              <w:t>(384)</w:t>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60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r>
      <w:tr>
        <w:tblPrEx>
          <w:tblW w:w="10260" w:type="dxa"/>
          <w:tblInd w:w="0" w:type="dxa"/>
          <w:tblLayout w:type="fixed"/>
          <w:tblCellMar>
            <w:left w:w="108" w:type="dxa"/>
            <w:right w:w="108" w:type="dxa"/>
          </w:tblCellMar>
        </w:tblPrEx>
        <w:trPr>
          <w:cantSplit/>
          <w:trHeight w:hRule="exact" w:val="720"/>
        </w:trPr>
        <w:tc>
          <w:tcPr>
            <w:tcW w:w="304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120" w:right="0" w:firstLine="0"/>
              <w:jc w:val="left"/>
              <w:outlineLvl w:val="9"/>
              <w:rPr>
                <w:rFonts w:ascii="Arial" w:eastAsia="Arial" w:hAnsi="Arial" w:cs="Arial"/>
                <w:b w:val="0"/>
                <w:i w:val="0"/>
                <w:sz w:val="16"/>
              </w:rPr>
            </w:pPr>
            <w:r>
              <w:rPr>
                <w:rFonts w:ascii="Arial" w:eastAsia="Arial" w:hAnsi="Arial" w:cs="Arial"/>
                <w:b w:val="0"/>
                <w:i w:val="0"/>
                <w:sz w:val="16"/>
              </w:rPr>
              <w:t>Net unrealized (gains) losses on</w:t>
            </w:r>
            <w:r>
              <w:rPr>
                <w:rFonts w:ascii="Arial" w:eastAsia="Arial" w:hAnsi="Arial" w:cs="Arial"/>
                <w:b w:val="0"/>
                <w:i w:val="0"/>
                <w:sz w:val="16"/>
              </w:rPr>
              <w:t xml:space="preserve"> funds held - direct</w:t>
            </w:r>
            <w:r>
              <w:rPr>
                <w:rFonts w:ascii="Arial" w:eastAsia="Arial" w:hAnsi="Arial" w:cs="Arial"/>
                <w:b w:val="0"/>
                <w:i w:val="0"/>
                <w:sz w:val="16"/>
              </w:rPr>
              <w:t>ly managed</w:t>
            </w:r>
            <w:r>
              <w:rPr>
                <w:rFonts w:ascii="Arial" w:eastAsia="Arial" w:hAnsi="Arial" w:cs="Arial"/>
                <w:b w:val="0"/>
                <w:i w:val="0"/>
                <w:sz w:val="16"/>
              </w:rPr>
              <w:t xml:space="preserve"> </w:t>
            </w:r>
            <w:r>
              <w:rPr>
                <w:rFonts w:ascii="Arial" w:eastAsia="Arial" w:hAnsi="Arial" w:cs="Arial"/>
                <w:b w:val="0"/>
                <w:i w:val="0"/>
                <w:sz w:val="16"/>
                <w:vertAlign w:val="superscript"/>
              </w:rPr>
              <w:t>(3)</w:t>
            </w:r>
            <w:r>
              <w:rPr>
                <w:rFonts w:ascii="Arial" w:eastAsia="Arial" w:hAnsi="Arial" w:cs="Arial"/>
                <w:b w:val="0"/>
                <w:i w:val="0"/>
                <w:sz w:val="16"/>
              </w:rPr>
              <w:t xml:space="preserve"> / Net unrealized losses (gains) on </w:t>
            </w:r>
            <w:r>
              <w:rPr>
                <w:rFonts w:ascii="Arial" w:eastAsia="Arial" w:hAnsi="Arial" w:cs="Arial"/>
                <w:b w:val="0"/>
                <w:i w:val="0"/>
                <w:sz w:val="16"/>
              </w:rPr>
              <w:t>funds held - directly managed</w:t>
            </w:r>
            <w:r>
              <w:rPr>
                <w:rFonts w:ascii="Arial" w:eastAsia="Arial" w:hAnsi="Arial" w:cs="Arial"/>
                <w:b w:val="0"/>
                <w:i w:val="0"/>
                <w:sz w:val="16"/>
              </w:rPr>
              <w:t xml:space="preserve"> </w:t>
            </w:r>
            <w:r>
              <w:rPr>
                <w:rFonts w:ascii="Arial" w:eastAsia="Arial" w:hAnsi="Arial" w:cs="Arial"/>
                <w:b w:val="0"/>
                <w:i w:val="0"/>
                <w:sz w:val="16"/>
                <w:vertAlign w:val="superscript"/>
              </w:rPr>
              <w:t>(4)</w:t>
            </w:r>
          </w:p>
        </w:tc>
        <w:tc>
          <w:tcPr>
            <w:tcW w:w="795" w:type="dxa"/>
            <w:tcBorders>
              <w:top w:val="nil"/>
              <w:left w:val="nil"/>
              <w:bottom w:val="nil"/>
              <w:right w:val="nil"/>
            </w:tcBorders>
            <w:tcMar>
              <w:top w:w="0" w:type="dxa"/>
              <w:left w:w="0" w:type="dxa"/>
              <w:bottom w:w="0" w:type="dxa"/>
              <w:right w:w="15" w:type="dxa"/>
            </w:tcMar>
            <w:vAlign w:val="bottom"/>
          </w:tcPr>
          <w:p>
            <w:pPr>
              <w:keepNext/>
              <w:pageBreakBefore w:val="0"/>
              <w:tabs>
                <w:tab w:val="left" w:pos="425"/>
              </w:tabs>
              <w:spacing w:before="53" w:after="30" w:line="240" w:lineRule="auto"/>
              <w:jc w:val="right"/>
            </w:pPr>
            <w:r>
              <w:rPr>
                <w:rFonts w:ascii="Arial" w:eastAsia="Arial" w:hAnsi="Arial" w:cs="Arial"/>
                <w:b w:val="0"/>
                <w:i w:val="0"/>
                <w:color w:val="000000"/>
                <w:sz w:val="16"/>
                <w:u w:val="none"/>
              </w:rPr>
              <w:tab/>
              <w:t>(47)</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426"/>
                <w:tab w:val="left" w:pos="757"/>
              </w:tabs>
              <w:spacing w:before="53" w:after="30" w:line="240" w:lineRule="auto"/>
              <w:jc w:val="right"/>
            </w:pPr>
            <w:r>
              <w:rPr>
                <w:rFonts w:ascii="Arial" w:eastAsia="Arial" w:hAnsi="Arial" w:cs="Arial"/>
                <w:b w:val="0"/>
                <w:i w:val="0"/>
                <w:color w:val="000000"/>
                <w:sz w:val="16"/>
                <w:u w:val="none"/>
              </w:rPr>
              <w:tab/>
              <w:t>780</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3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95" w:type="dxa"/>
            <w:tcBorders>
              <w:top w:val="nil"/>
              <w:left w:val="nil"/>
              <w:bottom w:val="nil"/>
              <w:right w:val="nil"/>
            </w:tcBorders>
            <w:tcMar>
              <w:top w:w="0" w:type="dxa"/>
              <w:left w:w="0" w:type="dxa"/>
              <w:bottom w:w="0" w:type="dxa"/>
              <w:right w:w="15" w:type="dxa"/>
            </w:tcMar>
            <w:vAlign w:val="bottom"/>
          </w:tcPr>
          <w:p>
            <w:pPr>
              <w:keepNext/>
              <w:pageBreakBefore w:val="0"/>
              <w:tabs>
                <w:tab w:val="left" w:pos="409"/>
                <w:tab w:val="left" w:pos="727"/>
              </w:tabs>
              <w:spacing w:before="53" w:after="30" w:line="240" w:lineRule="auto"/>
              <w:jc w:val="right"/>
            </w:pPr>
            <w:r>
              <w:rPr>
                <w:rFonts w:ascii="Arial" w:eastAsia="Arial" w:hAnsi="Arial" w:cs="Arial"/>
                <w:b w:val="0"/>
                <w:i w:val="0"/>
                <w:color w:val="000000"/>
                <w:sz w:val="16"/>
                <w:u w:val="none"/>
              </w:rPr>
              <w:tab/>
              <w:t>567</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617"/>
                <w:tab w:val="left" w:pos="757"/>
              </w:tabs>
              <w:spacing w:before="53" w:after="30" w:line="240" w:lineRule="auto"/>
              <w:jc w:val="right"/>
            </w:pPr>
            <w:r>
              <w:rPr>
                <w:rFonts w:ascii="Arial" w:eastAsia="Arial" w:hAnsi="Arial" w:cs="Arial"/>
                <w:b w:val="0"/>
                <w:i w:val="0"/>
                <w:color w:val="000000"/>
                <w:sz w:val="16"/>
                <w:u w:val="none"/>
              </w:rPr>
              <w:tab/>
              <w:t>9</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40" w:type="dxa"/>
            <w:tcBorders>
              <w:top w:val="nil"/>
              <w:left w:val="nil"/>
              <w:bottom w:val="nil"/>
              <w:right w:val="nil"/>
            </w:tcBorders>
            <w:tcMar>
              <w:top w:w="0" w:type="dxa"/>
              <w:left w:w="0" w:type="dxa"/>
              <w:bottom w:w="0" w:type="dxa"/>
              <w:right w:w="15" w:type="dxa"/>
            </w:tcMar>
            <w:vAlign w:val="bottom"/>
          </w:tcPr>
          <w:p>
            <w:pPr>
              <w:keepNext/>
              <w:pageBreakBefore w:val="0"/>
              <w:tabs>
                <w:tab w:val="left" w:pos="543"/>
                <w:tab w:val="left" w:pos="772"/>
              </w:tabs>
              <w:spacing w:before="53" w:after="30" w:line="240" w:lineRule="auto"/>
              <w:jc w:val="right"/>
            </w:pPr>
            <w:r>
              <w:rPr>
                <w:rFonts w:ascii="Arial" w:eastAsia="Arial" w:hAnsi="Arial" w:cs="Arial"/>
                <w:b w:val="0"/>
                <w:i w:val="0"/>
                <w:color w:val="000000"/>
                <w:sz w:val="16"/>
                <w:u w:val="none"/>
              </w:rPr>
              <w:tab/>
              <w:t>62</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455"/>
              </w:tabs>
              <w:spacing w:before="53" w:after="30" w:line="240" w:lineRule="auto"/>
              <w:jc w:val="right"/>
            </w:pPr>
            <w:r>
              <w:rPr>
                <w:rFonts w:ascii="Arial" w:eastAsia="Arial" w:hAnsi="Arial" w:cs="Arial"/>
                <w:b w:val="0"/>
                <w:i w:val="0"/>
                <w:color w:val="000000"/>
                <w:sz w:val="16"/>
                <w:u w:val="none"/>
              </w:rPr>
              <w:tab/>
              <w:t>(94)</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885"/>
        </w:trPr>
        <w:tc>
          <w:tcPr>
            <w:tcW w:w="304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120" w:right="0" w:firstLine="0"/>
              <w:jc w:val="left"/>
              <w:outlineLvl w:val="9"/>
              <w:rPr>
                <w:rFonts w:ascii="Arial" w:eastAsia="Arial" w:hAnsi="Arial" w:cs="Arial"/>
                <w:b w:val="0"/>
                <w:i w:val="0"/>
                <w:sz w:val="16"/>
              </w:rPr>
            </w:pPr>
            <w:r>
              <w:rPr>
                <w:rFonts w:ascii="Arial" w:eastAsia="Arial" w:hAnsi="Arial" w:cs="Arial"/>
                <w:b w:val="0"/>
                <w:i w:val="0"/>
                <w:sz w:val="16"/>
              </w:rPr>
              <w:t xml:space="preserve">Change in fair value of insurance contracts for which we have elected the fair value option / Fair value of insurance contracts for which we have elected the fair value option </w:t>
            </w:r>
            <w:r>
              <w:rPr>
                <w:rFonts w:ascii="Arial" w:eastAsia="Arial" w:hAnsi="Arial" w:cs="Arial"/>
                <w:b w:val="0"/>
                <w:i w:val="0"/>
                <w:sz w:val="16"/>
                <w:vertAlign w:val="superscript"/>
              </w:rPr>
              <w:t>(5)</w:t>
            </w:r>
          </w:p>
        </w:tc>
        <w:tc>
          <w:tcPr>
            <w:tcW w:w="795" w:type="dxa"/>
            <w:tcBorders>
              <w:top w:val="nil"/>
              <w:left w:val="nil"/>
              <w:bottom w:val="nil"/>
              <w:right w:val="nil"/>
            </w:tcBorders>
            <w:tcMar>
              <w:top w:w="0" w:type="dxa"/>
              <w:left w:w="0" w:type="dxa"/>
              <w:bottom w:w="0" w:type="dxa"/>
              <w:right w:w="15" w:type="dxa"/>
            </w:tcMar>
            <w:vAlign w:val="bottom"/>
          </w:tcPr>
          <w:p>
            <w:pPr>
              <w:keepNext/>
              <w:pageBreakBefore w:val="0"/>
              <w:tabs>
                <w:tab w:val="left" w:pos="498"/>
                <w:tab w:val="left" w:pos="727"/>
              </w:tabs>
              <w:spacing w:before="53" w:after="30" w:line="240" w:lineRule="auto"/>
              <w:jc w:val="right"/>
            </w:pPr>
            <w:r>
              <w:rPr>
                <w:rFonts w:ascii="Arial" w:eastAsia="Arial" w:hAnsi="Arial" w:cs="Arial"/>
                <w:b w:val="0"/>
                <w:i w:val="0"/>
                <w:color w:val="000000"/>
                <w:sz w:val="16"/>
                <w:u w:val="none"/>
              </w:rPr>
              <w:tab/>
              <w:t>78</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353"/>
                <w:tab w:val="left" w:pos="757"/>
              </w:tabs>
              <w:spacing w:before="53" w:after="30" w:line="240" w:lineRule="auto"/>
              <w:jc w:val="right"/>
            </w:pPr>
            <w:r>
              <w:rPr>
                <w:rFonts w:ascii="Arial" w:eastAsia="Arial" w:hAnsi="Arial" w:cs="Arial"/>
                <w:b w:val="0"/>
                <w:i w:val="0"/>
                <w:color w:val="000000"/>
                <w:sz w:val="16"/>
                <w:u w:val="none"/>
              </w:rPr>
              <w:tab/>
              <w:t>(294)</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63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795" w:type="dxa"/>
            <w:tcBorders>
              <w:top w:val="nil"/>
              <w:left w:val="nil"/>
              <w:bottom w:val="nil"/>
              <w:right w:val="nil"/>
            </w:tcBorders>
            <w:tcMar>
              <w:top w:w="0" w:type="dxa"/>
              <w:left w:w="0" w:type="dxa"/>
              <w:bottom w:w="0" w:type="dxa"/>
              <w:right w:w="15" w:type="dxa"/>
            </w:tcMar>
            <w:vAlign w:val="bottom"/>
          </w:tcPr>
          <w:p>
            <w:pPr>
              <w:keepNext/>
              <w:pageBreakBefore w:val="0"/>
              <w:tabs>
                <w:tab w:val="left" w:pos="336"/>
              </w:tabs>
              <w:spacing w:before="53" w:after="30" w:line="240" w:lineRule="auto"/>
              <w:jc w:val="right"/>
            </w:pPr>
            <w:r>
              <w:rPr>
                <w:rFonts w:ascii="Arial" w:eastAsia="Arial" w:hAnsi="Arial" w:cs="Arial"/>
                <w:b w:val="0"/>
                <w:i w:val="0"/>
                <w:color w:val="000000"/>
                <w:sz w:val="16"/>
                <w:u w:val="none"/>
              </w:rPr>
              <w:tab/>
              <w:t>(200)</w:t>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366"/>
              </w:tabs>
              <w:spacing w:before="53" w:after="30" w:line="240" w:lineRule="auto"/>
              <w:jc w:val="right"/>
            </w:pPr>
            <w:r>
              <w:rPr>
                <w:rFonts w:ascii="Arial" w:eastAsia="Arial" w:hAnsi="Arial" w:cs="Arial"/>
                <w:b w:val="0"/>
                <w:i w:val="0"/>
                <w:color w:val="000000"/>
                <w:sz w:val="16"/>
                <w:u w:val="none"/>
              </w:rPr>
              <w:tab/>
              <w:t>(107)</w:t>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60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40" w:type="dxa"/>
            <w:tcBorders>
              <w:top w:val="nil"/>
              <w:left w:val="nil"/>
              <w:bottom w:val="nil"/>
              <w:right w:val="nil"/>
            </w:tcBorders>
            <w:tcMar>
              <w:top w:w="0" w:type="dxa"/>
              <w:left w:w="0" w:type="dxa"/>
              <w:bottom w:w="0" w:type="dxa"/>
              <w:right w:w="15" w:type="dxa"/>
            </w:tcMar>
            <w:vAlign w:val="bottom"/>
          </w:tcPr>
          <w:p>
            <w:pPr>
              <w:keepNext/>
              <w:pageBreakBefore w:val="0"/>
              <w:tabs>
                <w:tab w:val="left" w:pos="470"/>
              </w:tabs>
              <w:spacing w:before="53" w:after="30" w:line="240" w:lineRule="auto"/>
              <w:jc w:val="right"/>
            </w:pPr>
            <w:r>
              <w:rPr>
                <w:rFonts w:ascii="Arial" w:eastAsia="Arial" w:hAnsi="Arial" w:cs="Arial"/>
                <w:b w:val="0"/>
                <w:i w:val="0"/>
                <w:color w:val="000000"/>
                <w:sz w:val="16"/>
                <w:u w:val="none"/>
              </w:rPr>
              <w:tab/>
              <w:t>(75)</w:t>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455"/>
              </w:tabs>
              <w:spacing w:before="53" w:after="30" w:line="240" w:lineRule="auto"/>
              <w:jc w:val="right"/>
            </w:pPr>
            <w:r>
              <w:rPr>
                <w:rFonts w:ascii="Arial" w:eastAsia="Arial" w:hAnsi="Arial" w:cs="Arial"/>
                <w:b w:val="0"/>
                <w:i w:val="0"/>
                <w:color w:val="000000"/>
                <w:sz w:val="16"/>
                <w:u w:val="none"/>
              </w:rPr>
              <w:tab/>
              <w:t>(33)</w:t>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60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r>
      <w:tr>
        <w:tblPrEx>
          <w:tblW w:w="10260" w:type="dxa"/>
          <w:tblInd w:w="0" w:type="dxa"/>
          <w:tblLayout w:type="fixed"/>
          <w:tblCellMar>
            <w:left w:w="108" w:type="dxa"/>
            <w:right w:w="108" w:type="dxa"/>
          </w:tblCellMar>
        </w:tblPrEx>
        <w:trPr>
          <w:cantSplit/>
          <w:trHeight w:hRule="exact" w:val="405"/>
        </w:trPr>
        <w:tc>
          <w:tcPr>
            <w:tcW w:w="30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20"/>
              <w:jc w:val="left"/>
            </w:pPr>
            <w:r>
              <w:rPr>
                <w:rFonts w:ascii="Arial" w:eastAsia="Arial" w:hAnsi="Arial" w:cs="Arial"/>
                <w:b w:val="0"/>
                <w:i w:val="0"/>
                <w:color w:val="000000"/>
                <w:sz w:val="16"/>
                <w:u w:val="none"/>
              </w:rPr>
              <w:t>Amortization of fair value adjustments / Fair value adjustments</w:t>
            </w:r>
          </w:p>
        </w:tc>
        <w:tc>
          <w:tcPr>
            <w:tcW w:w="795" w:type="dxa"/>
            <w:tcBorders>
              <w:top w:val="nil"/>
              <w:left w:val="nil"/>
              <w:bottom w:val="nil"/>
              <w:right w:val="nil"/>
            </w:tcBorders>
            <w:tcMar>
              <w:top w:w="0" w:type="dxa"/>
              <w:left w:w="0" w:type="dxa"/>
              <w:bottom w:w="0" w:type="dxa"/>
              <w:right w:w="15" w:type="dxa"/>
            </w:tcMar>
            <w:vAlign w:val="bottom"/>
          </w:tcPr>
          <w:p>
            <w:pPr>
              <w:keepNext/>
              <w:pageBreakBefore w:val="0"/>
              <w:tabs>
                <w:tab w:val="left" w:pos="498"/>
                <w:tab w:val="left" w:pos="727"/>
              </w:tabs>
              <w:spacing w:before="53" w:after="30" w:line="240" w:lineRule="auto"/>
              <w:jc w:val="right"/>
            </w:pPr>
            <w:r>
              <w:rPr>
                <w:rFonts w:ascii="Arial" w:eastAsia="Arial" w:hAnsi="Arial" w:cs="Arial"/>
                <w:b w:val="0"/>
                <w:i w:val="0"/>
                <w:color w:val="000000"/>
                <w:sz w:val="16"/>
                <w:u w:val="none"/>
              </w:rPr>
              <w:tab/>
              <w:t>17</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353"/>
                <w:tab w:val="left" w:pos="757"/>
              </w:tabs>
              <w:spacing w:before="53" w:after="30" w:line="240" w:lineRule="auto"/>
              <w:jc w:val="right"/>
            </w:pPr>
            <w:r>
              <w:rPr>
                <w:rFonts w:ascii="Arial" w:eastAsia="Arial" w:hAnsi="Arial" w:cs="Arial"/>
                <w:b w:val="0"/>
                <w:i w:val="0"/>
                <w:color w:val="000000"/>
                <w:sz w:val="16"/>
                <w:u w:val="none"/>
              </w:rPr>
              <w:tab/>
              <w:t>(124)</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63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795" w:type="dxa"/>
            <w:tcBorders>
              <w:top w:val="nil"/>
              <w:left w:val="nil"/>
              <w:bottom w:val="nil"/>
              <w:right w:val="nil"/>
            </w:tcBorders>
            <w:tcMar>
              <w:top w:w="0" w:type="dxa"/>
              <w:left w:w="0" w:type="dxa"/>
              <w:bottom w:w="0" w:type="dxa"/>
              <w:right w:w="15" w:type="dxa"/>
            </w:tcMar>
            <w:vAlign w:val="bottom"/>
          </w:tcPr>
          <w:p>
            <w:pPr>
              <w:keepNext/>
              <w:pageBreakBefore w:val="0"/>
              <w:tabs>
                <w:tab w:val="left" w:pos="425"/>
              </w:tabs>
              <w:spacing w:before="53" w:after="30" w:line="240" w:lineRule="auto"/>
              <w:jc w:val="right"/>
            </w:pPr>
            <w:r>
              <w:rPr>
                <w:rFonts w:ascii="Arial" w:eastAsia="Arial" w:hAnsi="Arial" w:cs="Arial"/>
                <w:b w:val="0"/>
                <w:i w:val="0"/>
                <w:color w:val="000000"/>
                <w:sz w:val="16"/>
                <w:u w:val="none"/>
              </w:rPr>
              <w:tab/>
              <w:t>(18)</w:t>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366"/>
              </w:tabs>
              <w:spacing w:before="53" w:after="30" w:line="240" w:lineRule="auto"/>
              <w:jc w:val="right"/>
            </w:pPr>
            <w:r>
              <w:rPr>
                <w:rFonts w:ascii="Arial" w:eastAsia="Arial" w:hAnsi="Arial" w:cs="Arial"/>
                <w:b w:val="0"/>
                <w:i w:val="0"/>
                <w:color w:val="000000"/>
                <w:sz w:val="16"/>
                <w:u w:val="none"/>
              </w:rPr>
              <w:tab/>
              <w:t>(106)</w:t>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60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40" w:type="dxa"/>
            <w:tcBorders>
              <w:top w:val="nil"/>
              <w:left w:val="nil"/>
              <w:bottom w:val="nil"/>
              <w:right w:val="nil"/>
            </w:tcBorders>
            <w:tcMar>
              <w:top w:w="0" w:type="dxa"/>
              <w:left w:w="0" w:type="dxa"/>
              <w:bottom w:w="0" w:type="dxa"/>
              <w:right w:w="15" w:type="dxa"/>
            </w:tcMar>
            <w:vAlign w:val="bottom"/>
          </w:tcPr>
          <w:p>
            <w:pPr>
              <w:keepNext/>
              <w:pageBreakBefore w:val="0"/>
              <w:tabs>
                <w:tab w:val="left" w:pos="543"/>
                <w:tab w:val="left" w:pos="772"/>
              </w:tabs>
              <w:spacing w:before="53" w:after="30" w:line="240" w:lineRule="auto"/>
              <w:jc w:val="right"/>
            </w:pPr>
            <w:r>
              <w:rPr>
                <w:rFonts w:ascii="Arial" w:eastAsia="Arial" w:hAnsi="Arial" w:cs="Arial"/>
                <w:b w:val="0"/>
                <w:i w:val="0"/>
                <w:color w:val="000000"/>
                <w:sz w:val="16"/>
                <w:u w:val="none"/>
              </w:rPr>
              <w:tab/>
              <w:t>16</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366"/>
              </w:tabs>
              <w:spacing w:before="53" w:after="30" w:line="240" w:lineRule="auto"/>
              <w:jc w:val="right"/>
            </w:pPr>
            <w:r>
              <w:rPr>
                <w:rFonts w:ascii="Arial" w:eastAsia="Arial" w:hAnsi="Arial" w:cs="Arial"/>
                <w:b w:val="0"/>
                <w:i w:val="0"/>
                <w:color w:val="000000"/>
                <w:sz w:val="16"/>
                <w:u w:val="none"/>
              </w:rPr>
              <w:tab/>
              <w:t>(128)</w:t>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60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r>
      <w:tr>
        <w:tblPrEx>
          <w:tblW w:w="10260" w:type="dxa"/>
          <w:tblInd w:w="0" w:type="dxa"/>
          <w:tblLayout w:type="fixed"/>
          <w:tblCellMar>
            <w:left w:w="108" w:type="dxa"/>
            <w:right w:w="108" w:type="dxa"/>
          </w:tblCellMar>
        </w:tblPrEx>
        <w:trPr>
          <w:cantSplit/>
          <w:trHeight w:hRule="exact" w:val="405"/>
        </w:trPr>
        <w:tc>
          <w:tcPr>
            <w:tcW w:w="30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ind w:left="120"/>
              <w:jc w:val="left"/>
            </w:pPr>
            <w:r>
              <w:rPr>
                <w:rFonts w:ascii="Arial" w:eastAsia="Arial" w:hAnsi="Arial" w:cs="Arial"/>
                <w:b w:val="0"/>
                <w:i w:val="0"/>
                <w:color w:val="000000"/>
                <w:sz w:val="16"/>
                <w:u w:val="none"/>
              </w:rPr>
              <w:t>Net gain on purchase and sales of subsidiaries</w:t>
            </w:r>
          </w:p>
        </w:tc>
        <w:tc>
          <w:tcPr>
            <w:tcW w:w="795" w:type="dxa"/>
            <w:tcBorders>
              <w:top w:val="nil"/>
              <w:left w:val="nil"/>
              <w:bottom w:val="nil"/>
              <w:right w:val="nil"/>
            </w:tcBorders>
            <w:tcMar>
              <w:top w:w="0" w:type="dxa"/>
              <w:left w:w="0" w:type="dxa"/>
              <w:bottom w:w="0" w:type="dxa"/>
              <w:right w:w="15" w:type="dxa"/>
            </w:tcMar>
            <w:vAlign w:val="bottom"/>
          </w:tcPr>
          <w:p>
            <w:pPr>
              <w:keepNext/>
              <w:pageBreakBefore w:val="0"/>
              <w:tabs>
                <w:tab w:val="left" w:pos="516"/>
                <w:tab w:val="left" w:pos="727"/>
              </w:tabs>
              <w:spacing w:before="53" w:after="30" w:line="240" w:lineRule="auto"/>
              <w:jc w:val="right"/>
            </w:pPr>
            <w:r>
              <w:rPr>
                <w:rFonts w:ascii="Arial" w:eastAsia="Arial" w:hAnsi="Arial" w:cs="Arial"/>
                <w:b w:val="0"/>
                <w:i w:val="0"/>
                <w:color w:val="000000"/>
                <w:sz w:val="16"/>
                <w:u w:val="none"/>
              </w:rPr>
              <w:tab/>
              <w:t>—</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492"/>
                <w:tab w:val="left" w:pos="757"/>
              </w:tabs>
              <w:spacing w:before="53" w:after="30" w:line="240" w:lineRule="auto"/>
              <w:jc w:val="right"/>
            </w:pPr>
            <w:r>
              <w:rPr>
                <w:rFonts w:ascii="Arial" w:eastAsia="Arial" w:hAnsi="Arial" w:cs="Arial"/>
                <w:b w:val="0"/>
                <w:i w:val="0"/>
                <w:color w:val="000000"/>
                <w:sz w:val="20"/>
                <w:u w:val="none"/>
              </w:rPr>
              <w:tab/>
              <w:t>—</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63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795" w:type="dxa"/>
            <w:tcBorders>
              <w:top w:val="nil"/>
              <w:left w:val="nil"/>
              <w:bottom w:val="nil"/>
              <w:right w:val="nil"/>
            </w:tcBorders>
            <w:tcMar>
              <w:top w:w="0" w:type="dxa"/>
              <w:left w:w="0" w:type="dxa"/>
              <w:bottom w:w="0" w:type="dxa"/>
              <w:right w:w="15" w:type="dxa"/>
            </w:tcMar>
            <w:vAlign w:val="bottom"/>
          </w:tcPr>
          <w:p>
            <w:pPr>
              <w:keepNext/>
              <w:pageBreakBefore w:val="0"/>
              <w:tabs>
                <w:tab w:val="left" w:pos="516"/>
                <w:tab w:val="left" w:pos="727"/>
              </w:tabs>
              <w:spacing w:before="53" w:after="30" w:line="240" w:lineRule="auto"/>
              <w:jc w:val="right"/>
            </w:pPr>
            <w:r>
              <w:rPr>
                <w:rFonts w:ascii="Arial" w:eastAsia="Arial" w:hAnsi="Arial" w:cs="Arial"/>
                <w:b w:val="0"/>
                <w:i w:val="0"/>
                <w:color w:val="000000"/>
                <w:sz w:val="16"/>
                <w:u w:val="none"/>
              </w:rPr>
              <w:tab/>
              <w:t>—</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546"/>
                <w:tab w:val="left" w:pos="757"/>
              </w:tabs>
              <w:spacing w:before="53" w:after="30" w:line="240" w:lineRule="auto"/>
              <w:jc w:val="right"/>
            </w:pPr>
            <w:r>
              <w:rPr>
                <w:rFonts w:ascii="Arial" w:eastAsia="Arial" w:hAnsi="Arial" w:cs="Arial"/>
                <w:b w:val="0"/>
                <w:i w:val="0"/>
                <w:color w:val="000000"/>
                <w:sz w:val="16"/>
                <w:u w:val="none"/>
              </w:rPr>
              <w:tab/>
              <w:t>—</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60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40" w:type="dxa"/>
            <w:tcBorders>
              <w:top w:val="nil"/>
              <w:left w:val="nil"/>
              <w:bottom w:val="nil"/>
              <w:right w:val="nil"/>
            </w:tcBorders>
            <w:tcMar>
              <w:top w:w="0" w:type="dxa"/>
              <w:left w:w="0" w:type="dxa"/>
              <w:bottom w:w="0" w:type="dxa"/>
              <w:right w:w="15" w:type="dxa"/>
            </w:tcMar>
            <w:vAlign w:val="bottom"/>
          </w:tcPr>
          <w:p>
            <w:pPr>
              <w:keepNext/>
              <w:pageBreakBefore w:val="0"/>
              <w:tabs>
                <w:tab w:val="left" w:pos="470"/>
              </w:tabs>
              <w:spacing w:before="53" w:after="30" w:line="240" w:lineRule="auto"/>
              <w:jc w:val="right"/>
            </w:pPr>
            <w:r>
              <w:rPr>
                <w:rFonts w:ascii="Arial" w:eastAsia="Arial" w:hAnsi="Arial" w:cs="Arial"/>
                <w:b w:val="0"/>
                <w:i w:val="0"/>
                <w:color w:val="000000"/>
                <w:sz w:val="16"/>
                <w:u w:val="none"/>
              </w:rPr>
              <w:tab/>
              <w:t>(73)</w:t>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546"/>
                <w:tab w:val="left" w:pos="757"/>
              </w:tabs>
              <w:spacing w:before="53" w:after="30" w:line="240" w:lineRule="auto"/>
              <w:jc w:val="right"/>
            </w:pPr>
            <w:r>
              <w:rPr>
                <w:rFonts w:ascii="Arial" w:eastAsia="Arial" w:hAnsi="Arial" w:cs="Arial"/>
                <w:b w:val="0"/>
                <w:i w:val="0"/>
                <w:color w:val="000000"/>
                <w:sz w:val="16"/>
                <w:u w:val="none"/>
              </w:rPr>
              <w:tab/>
              <w:t>—</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600"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r>
      <w:tr>
        <w:tblPrEx>
          <w:tblW w:w="10260" w:type="dxa"/>
          <w:tblInd w:w="0" w:type="dxa"/>
          <w:tblLayout w:type="fixed"/>
          <w:tblCellMar>
            <w:left w:w="108" w:type="dxa"/>
            <w:right w:w="108" w:type="dxa"/>
          </w:tblCellMar>
        </w:tblPrEx>
        <w:trPr>
          <w:cantSplit/>
          <w:trHeight w:hRule="exact" w:val="240"/>
        </w:trPr>
        <w:tc>
          <w:tcPr>
            <w:tcW w:w="304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120" w:right="0" w:firstLine="0"/>
              <w:jc w:val="left"/>
              <w:outlineLvl w:val="9"/>
              <w:rPr>
                <w:rFonts w:ascii="Arial" w:eastAsia="Arial" w:hAnsi="Arial" w:cs="Arial"/>
                <w:b w:val="0"/>
                <w:i w:val="0"/>
                <w:sz w:val="16"/>
              </w:rPr>
            </w:pPr>
            <w:r>
              <w:rPr>
                <w:rFonts w:ascii="Arial" w:eastAsia="Arial" w:hAnsi="Arial" w:cs="Arial"/>
                <w:b w:val="0"/>
                <w:i w:val="0"/>
                <w:sz w:val="16"/>
              </w:rPr>
              <w:t>Tax effects of adjustments</w:t>
            </w:r>
            <w:r>
              <w:rPr>
                <w:rFonts w:ascii="Arial" w:eastAsia="Arial" w:hAnsi="Arial" w:cs="Arial"/>
                <w:b w:val="0"/>
                <w:i w:val="0"/>
                <w:sz w:val="16"/>
              </w:rPr>
              <w:t xml:space="preserve"> </w:t>
            </w:r>
            <w:r>
              <w:rPr>
                <w:rFonts w:ascii="Arial" w:eastAsia="Arial" w:hAnsi="Arial" w:cs="Arial"/>
                <w:b w:val="0"/>
                <w:i w:val="0"/>
                <w:sz w:val="16"/>
                <w:vertAlign w:val="superscript"/>
              </w:rPr>
              <w:t>(</w:t>
            </w:r>
            <w:r>
              <w:rPr>
                <w:rFonts w:ascii="Arial" w:eastAsia="Arial" w:hAnsi="Arial" w:cs="Arial"/>
                <w:b w:val="0"/>
                <w:i w:val="0"/>
                <w:sz w:val="16"/>
                <w:vertAlign w:val="superscript"/>
              </w:rPr>
              <w:t>6</w:t>
            </w:r>
            <w:r>
              <w:rPr>
                <w:rFonts w:ascii="Arial" w:eastAsia="Arial" w:hAnsi="Arial" w:cs="Arial"/>
                <w:b w:val="0"/>
                <w:i w:val="0"/>
                <w:sz w:val="16"/>
                <w:vertAlign w:val="superscript"/>
              </w:rPr>
              <w:t>)</w:t>
            </w:r>
          </w:p>
        </w:tc>
        <w:tc>
          <w:tcPr>
            <w:tcW w:w="795" w:type="dxa"/>
            <w:tcBorders>
              <w:top w:val="nil"/>
              <w:left w:val="nil"/>
              <w:bottom w:val="nil"/>
              <w:right w:val="nil"/>
            </w:tcBorders>
            <w:tcMar>
              <w:top w:w="0" w:type="dxa"/>
              <w:left w:w="0" w:type="dxa"/>
              <w:bottom w:w="0" w:type="dxa"/>
              <w:right w:w="15" w:type="dxa"/>
            </w:tcMar>
            <w:vAlign w:val="bottom"/>
          </w:tcPr>
          <w:p>
            <w:pPr>
              <w:keepNext/>
              <w:pageBreakBefore w:val="0"/>
              <w:tabs>
                <w:tab w:val="left" w:pos="514"/>
              </w:tabs>
              <w:spacing w:before="53" w:after="30" w:line="240" w:lineRule="auto"/>
              <w:jc w:val="right"/>
            </w:pPr>
            <w:r>
              <w:rPr>
                <w:rFonts w:ascii="Arial" w:eastAsia="Arial" w:hAnsi="Arial" w:cs="Arial"/>
                <w:b w:val="0"/>
                <w:i w:val="0"/>
                <w:color w:val="000000"/>
                <w:sz w:val="16"/>
                <w:u w:val="none"/>
              </w:rPr>
              <w:tab/>
              <w:t>(7)</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492"/>
                <w:tab w:val="left" w:pos="757"/>
              </w:tabs>
              <w:spacing w:before="53" w:after="30" w:line="240" w:lineRule="auto"/>
              <w:jc w:val="right"/>
            </w:pPr>
            <w:r>
              <w:rPr>
                <w:rFonts w:ascii="Arial" w:eastAsia="Arial" w:hAnsi="Arial" w:cs="Arial"/>
                <w:b w:val="0"/>
                <w:i w:val="0"/>
                <w:color w:val="000000"/>
                <w:sz w:val="20"/>
                <w:u w:val="none"/>
              </w:rPr>
              <w:tab/>
              <w:t>—</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3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95" w:type="dxa"/>
            <w:tcBorders>
              <w:top w:val="nil"/>
              <w:left w:val="nil"/>
              <w:bottom w:val="nil"/>
              <w:right w:val="nil"/>
            </w:tcBorders>
            <w:tcMar>
              <w:top w:w="0" w:type="dxa"/>
              <w:left w:w="0" w:type="dxa"/>
              <w:bottom w:w="0" w:type="dxa"/>
              <w:right w:w="15" w:type="dxa"/>
            </w:tcMar>
            <w:vAlign w:val="bottom"/>
          </w:tcPr>
          <w:p>
            <w:pPr>
              <w:keepNext/>
              <w:pageBreakBefore w:val="0"/>
              <w:tabs>
                <w:tab w:val="left" w:pos="514"/>
              </w:tabs>
              <w:spacing w:before="53" w:after="30" w:line="240" w:lineRule="auto"/>
              <w:jc w:val="right"/>
            </w:pPr>
            <w:r>
              <w:rPr>
                <w:rFonts w:ascii="Arial" w:eastAsia="Arial" w:hAnsi="Arial" w:cs="Arial"/>
                <w:b w:val="0"/>
                <w:i w:val="0"/>
                <w:color w:val="000000"/>
                <w:sz w:val="16"/>
                <w:u w:val="none"/>
              </w:rPr>
              <w:tab/>
              <w:t>(7)</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546"/>
                <w:tab w:val="left" w:pos="757"/>
              </w:tabs>
              <w:spacing w:before="53" w:after="30" w:line="240" w:lineRule="auto"/>
              <w:jc w:val="right"/>
            </w:pPr>
            <w:r>
              <w:rPr>
                <w:rFonts w:ascii="Arial" w:eastAsia="Arial" w:hAnsi="Arial" w:cs="Arial"/>
                <w:b w:val="0"/>
                <w:i w:val="0"/>
                <w:color w:val="000000"/>
                <w:sz w:val="16"/>
                <w:u w:val="none"/>
              </w:rPr>
              <w:tab/>
              <w:t>—</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40" w:type="dxa"/>
            <w:tcBorders>
              <w:top w:val="nil"/>
              <w:left w:val="nil"/>
              <w:bottom w:val="nil"/>
              <w:right w:val="nil"/>
            </w:tcBorders>
            <w:tcMar>
              <w:top w:w="0" w:type="dxa"/>
              <w:left w:w="0" w:type="dxa"/>
              <w:bottom w:w="0" w:type="dxa"/>
              <w:right w:w="15" w:type="dxa"/>
            </w:tcMar>
            <w:vAlign w:val="bottom"/>
          </w:tcPr>
          <w:p>
            <w:pPr>
              <w:keepNext/>
              <w:pageBreakBefore w:val="0"/>
              <w:tabs>
                <w:tab w:val="left" w:pos="470"/>
              </w:tabs>
              <w:spacing w:before="53" w:after="30" w:line="240" w:lineRule="auto"/>
              <w:jc w:val="right"/>
            </w:pPr>
            <w:r>
              <w:rPr>
                <w:rFonts w:ascii="Arial" w:eastAsia="Arial" w:hAnsi="Arial" w:cs="Arial"/>
                <w:b w:val="0"/>
                <w:i w:val="0"/>
                <w:color w:val="000000"/>
                <w:sz w:val="16"/>
                <w:u w:val="none"/>
              </w:rPr>
              <w:tab/>
              <w:t>(21)</w:t>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825" w:type="dxa"/>
            <w:tcBorders>
              <w:top w:val="nil"/>
              <w:left w:val="nil"/>
              <w:bottom w:val="nil"/>
              <w:right w:val="nil"/>
            </w:tcBorders>
            <w:tcMar>
              <w:top w:w="0" w:type="dxa"/>
              <w:left w:w="0" w:type="dxa"/>
              <w:bottom w:w="0" w:type="dxa"/>
              <w:right w:w="15" w:type="dxa"/>
            </w:tcMar>
            <w:vAlign w:val="bottom"/>
          </w:tcPr>
          <w:p>
            <w:pPr>
              <w:keepNext/>
              <w:pageBreakBefore w:val="0"/>
              <w:tabs>
                <w:tab w:val="left" w:pos="546"/>
                <w:tab w:val="left" w:pos="757"/>
              </w:tabs>
              <w:spacing w:before="53" w:after="30" w:line="240" w:lineRule="auto"/>
              <w:jc w:val="right"/>
            </w:pPr>
            <w:r>
              <w:rPr>
                <w:rFonts w:ascii="Arial" w:eastAsia="Arial" w:hAnsi="Arial" w:cs="Arial"/>
                <w:b w:val="0"/>
                <w:i w:val="0"/>
                <w:color w:val="000000"/>
                <w:sz w:val="16"/>
                <w:u w:val="none"/>
              </w:rPr>
              <w:tab/>
              <w:t>—</w:t>
              <w:tab/>
            </w:r>
          </w:p>
        </w:tc>
        <w:tc>
          <w:tcPr>
            <w:tcW w:w="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260" w:type="dxa"/>
          <w:tblInd w:w="0" w:type="dxa"/>
          <w:tblLayout w:type="fixed"/>
          <w:tblCellMar>
            <w:left w:w="108" w:type="dxa"/>
            <w:right w:w="108" w:type="dxa"/>
          </w:tblCellMar>
        </w:tblPrEx>
        <w:trPr>
          <w:cantSplit/>
          <w:trHeight w:hRule="exact" w:val="405"/>
        </w:trPr>
        <w:tc>
          <w:tcPr>
            <w:tcW w:w="3045"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120" w:right="0" w:firstLine="0"/>
              <w:jc w:val="left"/>
              <w:outlineLvl w:val="9"/>
              <w:rPr>
                <w:rFonts w:ascii="Arial" w:eastAsia="Arial" w:hAnsi="Arial" w:cs="Arial"/>
                <w:b w:val="0"/>
                <w:i w:val="0"/>
                <w:sz w:val="16"/>
              </w:rPr>
            </w:pPr>
            <w:r>
              <w:rPr>
                <w:rFonts w:ascii="Arial" w:eastAsia="Arial" w:hAnsi="Arial" w:cs="Arial"/>
                <w:b w:val="0"/>
                <w:i w:val="0"/>
                <w:sz w:val="16"/>
              </w:rPr>
              <w:t xml:space="preserve">Adjustments attributable to noncontrolling interests </w:t>
            </w:r>
            <w:r>
              <w:rPr>
                <w:rFonts w:ascii="Arial" w:eastAsia="Arial" w:hAnsi="Arial" w:cs="Arial"/>
                <w:b w:val="0"/>
                <w:i w:val="0"/>
                <w:sz w:val="16"/>
                <w:vertAlign w:val="superscript"/>
              </w:rPr>
              <w:t>(7)</w:t>
            </w:r>
          </w:p>
        </w:tc>
        <w:tc>
          <w:tcPr>
            <w:tcW w:w="79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14"/>
              </w:tabs>
              <w:spacing w:before="53" w:after="30" w:line="240" w:lineRule="auto"/>
              <w:jc w:val="right"/>
            </w:pPr>
            <w:r>
              <w:rPr>
                <w:rFonts w:ascii="Arial" w:eastAsia="Arial" w:hAnsi="Arial" w:cs="Arial"/>
                <w:b w:val="0"/>
                <w:i w:val="0"/>
                <w:color w:val="000000"/>
                <w:sz w:val="16"/>
                <w:u w:val="none"/>
              </w:rPr>
              <w:tab/>
              <w:t>(2)</w:t>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32"/>
                <w:tab w:val="left" w:pos="757"/>
              </w:tabs>
              <w:spacing w:before="53" w:after="30" w:line="240" w:lineRule="auto"/>
              <w:jc w:val="right"/>
            </w:pPr>
            <w:r>
              <w:rPr>
                <w:rFonts w:ascii="Arial" w:eastAsia="Arial" w:hAnsi="Arial" w:cs="Arial"/>
                <w:b w:val="0"/>
                <w:i w:val="0"/>
                <w:color w:val="000000"/>
                <w:sz w:val="16"/>
                <w:u w:val="none"/>
              </w:rPr>
              <w:tab/>
              <w:t>—</w:t>
              <w:tab/>
            </w:r>
          </w:p>
        </w:tc>
        <w:tc>
          <w:tcPr>
            <w:tcW w:w="60" w:type="dxa"/>
            <w:tcBorders>
              <w:top w:val="nil"/>
              <w:left w:val="nil"/>
              <w:bottom w:val="nil"/>
              <w:right w:val="nil"/>
            </w:tcBorders>
            <w:tcMar>
              <w:top w:w="0" w:type="dxa"/>
              <w:left w:w="30" w:type="dxa"/>
              <w:bottom w:w="0" w:type="dxa"/>
              <w:right w:w="30" w:type="dxa"/>
            </w:tcMar>
            <w:vAlign w:val="bottom"/>
          </w:tcPr>
          <w:p>
            <w:pPr>
              <w:keepNext/>
              <w:pageBreakBefore w:val="0"/>
              <w:spacing w:before="53" w:after="30" w:line="240" w:lineRule="auto"/>
              <w:jc w:val="left"/>
            </w:pPr>
          </w:p>
        </w:tc>
        <w:tc>
          <w:tcPr>
            <w:tcW w:w="630" w:type="dxa"/>
            <w:tcBorders>
              <w:top w:val="nil"/>
              <w:left w:val="nil"/>
              <w:bottom w:val="single" w:sz="8" w:space="0" w:color="000000"/>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30" w:type="dxa"/>
              <w:bottom w:w="0" w:type="dxa"/>
              <w:right w:w="30" w:type="dxa"/>
            </w:tcMar>
            <w:vAlign w:val="bottom"/>
          </w:tcPr>
          <w:p>
            <w:pPr>
              <w:keepNext/>
              <w:pageBreakBefore w:val="0"/>
              <w:spacing w:before="53" w:after="30" w:line="240" w:lineRule="auto"/>
              <w:jc w:val="left"/>
            </w:pPr>
          </w:p>
        </w:tc>
        <w:tc>
          <w:tcPr>
            <w:tcW w:w="79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336"/>
              </w:tabs>
              <w:spacing w:before="53" w:after="30" w:line="240" w:lineRule="auto"/>
              <w:jc w:val="right"/>
            </w:pPr>
            <w:r>
              <w:rPr>
                <w:rFonts w:ascii="Arial" w:eastAsia="Arial" w:hAnsi="Arial" w:cs="Arial"/>
                <w:b w:val="0"/>
                <w:i w:val="0"/>
                <w:color w:val="000000"/>
                <w:sz w:val="16"/>
                <w:u w:val="none"/>
              </w:rPr>
              <w:tab/>
              <w:t>(111)</w:t>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46"/>
                <w:tab w:val="left" w:pos="757"/>
              </w:tabs>
              <w:spacing w:before="53" w:after="30" w:line="240" w:lineRule="auto"/>
              <w:jc w:val="right"/>
            </w:pPr>
            <w:r>
              <w:rPr>
                <w:rFonts w:ascii="Arial" w:eastAsia="Arial" w:hAnsi="Arial" w:cs="Arial"/>
                <w:b w:val="0"/>
                <w:i w:val="0"/>
                <w:color w:val="000000"/>
                <w:sz w:val="16"/>
                <w:u w:val="none"/>
              </w:rPr>
              <w:tab/>
              <w:t>—</w:t>
              <w:tab/>
            </w:r>
          </w:p>
        </w:tc>
        <w:tc>
          <w:tcPr>
            <w:tcW w:w="60" w:type="dxa"/>
            <w:tcBorders>
              <w:top w:val="nil"/>
              <w:left w:val="nil"/>
              <w:bottom w:val="nil"/>
              <w:right w:val="nil"/>
            </w:tcBorders>
            <w:tcMar>
              <w:top w:w="0" w:type="dxa"/>
              <w:left w:w="30" w:type="dxa"/>
              <w:bottom w:w="0" w:type="dxa"/>
              <w:right w:w="30" w:type="dxa"/>
            </w:tcMar>
            <w:vAlign w:val="bottom"/>
          </w:tcPr>
          <w:p>
            <w:pPr>
              <w:keepNext/>
              <w:pageBreakBefore w:val="0"/>
              <w:spacing w:before="53" w:after="30" w:line="240" w:lineRule="auto"/>
              <w:jc w:val="left"/>
            </w:pPr>
          </w:p>
        </w:tc>
        <w:tc>
          <w:tcPr>
            <w:tcW w:w="600" w:type="dxa"/>
            <w:tcBorders>
              <w:top w:val="nil"/>
              <w:left w:val="nil"/>
              <w:bottom w:val="single" w:sz="8" w:space="0" w:color="000000"/>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40"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632"/>
                <w:tab w:val="left" w:pos="772"/>
              </w:tabs>
              <w:spacing w:before="53" w:after="30" w:line="240" w:lineRule="auto"/>
              <w:jc w:val="right"/>
            </w:pPr>
            <w:r>
              <w:rPr>
                <w:rFonts w:ascii="Arial" w:eastAsia="Arial" w:hAnsi="Arial" w:cs="Arial"/>
                <w:b w:val="0"/>
                <w:i w:val="0"/>
                <w:color w:val="000000"/>
                <w:sz w:val="16"/>
                <w:u w:val="none"/>
              </w:rPr>
              <w:tab/>
              <w:t>6</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82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546"/>
                <w:tab w:val="left" w:pos="757"/>
              </w:tabs>
              <w:spacing w:before="53" w:after="30" w:line="240" w:lineRule="auto"/>
              <w:jc w:val="right"/>
            </w:pPr>
            <w:r>
              <w:rPr>
                <w:rFonts w:ascii="Arial" w:eastAsia="Arial" w:hAnsi="Arial" w:cs="Arial"/>
                <w:b w:val="0"/>
                <w:i w:val="0"/>
                <w:color w:val="000000"/>
                <w:sz w:val="16"/>
                <w:u w:val="none"/>
              </w:rPr>
              <w:tab/>
              <w:t>—</w:t>
              <w:tab/>
            </w:r>
          </w:p>
        </w:tc>
        <w:tc>
          <w:tcPr>
            <w:tcW w:w="60" w:type="dxa"/>
            <w:tcBorders>
              <w:top w:val="nil"/>
              <w:left w:val="nil"/>
              <w:bottom w:val="nil"/>
              <w:right w:val="nil"/>
            </w:tcBorders>
            <w:tcMar>
              <w:top w:w="0" w:type="dxa"/>
              <w:left w:w="30" w:type="dxa"/>
              <w:bottom w:w="0" w:type="dxa"/>
              <w:right w:w="30" w:type="dxa"/>
            </w:tcMar>
            <w:vAlign w:val="bottom"/>
          </w:tcPr>
          <w:p>
            <w:pPr>
              <w:keepNext/>
              <w:pageBreakBefore w:val="0"/>
              <w:spacing w:before="53" w:after="30" w:line="240" w:lineRule="auto"/>
              <w:jc w:val="left"/>
            </w:pPr>
          </w:p>
        </w:tc>
        <w:tc>
          <w:tcPr>
            <w:tcW w:w="600" w:type="dxa"/>
            <w:tcBorders>
              <w:top w:val="nil"/>
              <w:left w:val="nil"/>
              <w:bottom w:val="single" w:sz="8" w:space="0" w:color="000000"/>
              <w:right w:val="nil"/>
            </w:tcBorders>
            <w:tcMar>
              <w:top w:w="0" w:type="dxa"/>
              <w:left w:w="53" w:type="dxa"/>
              <w:bottom w:w="0" w:type="dxa"/>
              <w:right w:w="15" w:type="dxa"/>
            </w:tcMar>
            <w:vAlign w:val="bottom"/>
          </w:tcPr>
          <w:p>
            <w:pPr>
              <w:keepNext/>
              <w:pageBreakBefore w:val="0"/>
              <w:spacing w:before="53" w:after="30" w:line="240" w:lineRule="auto"/>
              <w:jc w:val="left"/>
            </w:pPr>
          </w:p>
        </w:tc>
      </w:tr>
      <w:tr>
        <w:tblPrEx>
          <w:tblW w:w="10260" w:type="dxa"/>
          <w:tblInd w:w="0" w:type="dxa"/>
          <w:tblLayout w:type="fixed"/>
          <w:tblCellMar>
            <w:left w:w="108" w:type="dxa"/>
            <w:right w:w="108" w:type="dxa"/>
          </w:tblCellMar>
        </w:tblPrEx>
        <w:trPr>
          <w:cantSplit/>
          <w:trHeight w:hRule="exact" w:val="405"/>
        </w:trPr>
        <w:tc>
          <w:tcPr>
            <w:tcW w:w="3045" w:type="dxa"/>
            <w:tcBorders>
              <w:top w:val="nil"/>
              <w:left w:val="nil"/>
              <w:bottom w:val="nil"/>
              <w:right w:val="nil"/>
            </w:tcBorders>
            <w:tcMar>
              <w:top w:w="0" w:type="dxa"/>
              <w:left w:w="53" w:type="dxa"/>
              <w:bottom w:w="0" w:type="dxa"/>
              <w:right w:w="53" w:type="dxa"/>
            </w:tcMar>
            <w:vAlign w:val="bottom"/>
          </w:tcPr>
          <w:p>
            <w:pPr>
              <w:pageBreakBefore w:val="0"/>
              <w:spacing w:before="33" w:after="30" w:line="240" w:lineRule="auto"/>
              <w:jc w:val="left"/>
            </w:pPr>
            <w:r>
              <w:rPr>
                <w:rFonts w:ascii="Arial" w:eastAsia="Arial" w:hAnsi="Arial" w:cs="Arial"/>
                <w:b/>
                <w:i w:val="0"/>
                <w:color w:val="000000"/>
                <w:sz w:val="16"/>
                <w:u w:val="none"/>
              </w:rPr>
              <w:t>Adjusted net income (loss)/Adjusted opening equity/Adjusted ROE*</w:t>
            </w:r>
          </w:p>
        </w:tc>
        <w:tc>
          <w:tcPr>
            <w:tcW w:w="795" w:type="dxa"/>
            <w:tcBorders>
              <w:top w:val="single" w:sz="8" w:space="0" w:color="000000"/>
              <w:left w:val="nil"/>
              <w:bottom w:val="double" w:sz="8" w:space="0" w:color="000000"/>
              <w:right w:val="nil"/>
            </w:tcBorders>
            <w:tcMar>
              <w:top w:w="0" w:type="dxa"/>
              <w:left w:w="0" w:type="dxa"/>
              <w:bottom w:w="0" w:type="dxa"/>
              <w:right w:w="15" w:type="dxa"/>
            </w:tcMar>
            <w:vAlign w:val="bottom"/>
          </w:tcPr>
          <w:p>
            <w:pPr>
              <w:pageBreakBefore w:val="0"/>
              <w:tabs>
                <w:tab w:val="left" w:pos="276"/>
                <w:tab w:val="left" w:pos="727"/>
              </w:tabs>
              <w:spacing w:before="33" w:after="30" w:line="240" w:lineRule="auto"/>
              <w:jc w:val="right"/>
            </w:pPr>
            <w:r>
              <w:rPr>
                <w:rFonts w:ascii="Arial" w:eastAsia="Arial" w:hAnsi="Arial" w:cs="Arial"/>
                <w:b w:val="0"/>
                <w:i w:val="0"/>
                <w:color w:val="000000"/>
                <w:sz w:val="16"/>
                <w:u w:val="none"/>
              </w:rPr>
              <w:t>$</w:t>
              <w:tab/>
              <w:t>1,102</w:t>
              <w:tab/>
            </w:r>
          </w:p>
        </w:tc>
        <w:tc>
          <w:tcPr>
            <w:tcW w:w="60" w:type="dxa"/>
            <w:tcBorders>
              <w:top w:val="nil"/>
              <w:left w:val="nil"/>
              <w:bottom w:val="nil"/>
              <w:right w:val="nil"/>
            </w:tcBorders>
            <w:tcMar>
              <w:top w:w="0" w:type="dxa"/>
              <w:left w:w="47" w:type="dxa"/>
              <w:bottom w:w="0" w:type="dxa"/>
              <w:right w:w="13" w:type="dxa"/>
            </w:tcMar>
            <w:vAlign w:val="bottom"/>
          </w:tcPr>
          <w:p>
            <w:pPr>
              <w:pageBreakBefore w:val="0"/>
              <w:spacing w:before="33" w:after="30" w:line="240" w:lineRule="auto"/>
              <w:jc w:val="left"/>
            </w:pPr>
          </w:p>
        </w:tc>
        <w:tc>
          <w:tcPr>
            <w:tcW w:w="825" w:type="dxa"/>
            <w:tcBorders>
              <w:top w:val="single" w:sz="8" w:space="0" w:color="000000"/>
              <w:left w:val="nil"/>
              <w:bottom w:val="double" w:sz="8" w:space="0" w:color="000000"/>
              <w:right w:val="nil"/>
            </w:tcBorders>
            <w:tcMar>
              <w:top w:w="0" w:type="dxa"/>
              <w:left w:w="0" w:type="dxa"/>
              <w:bottom w:w="0" w:type="dxa"/>
              <w:right w:w="15" w:type="dxa"/>
            </w:tcMar>
            <w:vAlign w:val="bottom"/>
          </w:tcPr>
          <w:p>
            <w:pPr>
              <w:pageBreakBefore w:val="0"/>
              <w:tabs>
                <w:tab w:val="left" w:pos="293"/>
                <w:tab w:val="left" w:pos="757"/>
              </w:tabs>
              <w:spacing w:before="33" w:after="30" w:line="240" w:lineRule="auto"/>
              <w:jc w:val="right"/>
            </w:pPr>
            <w:r>
              <w:rPr>
                <w:rFonts w:ascii="Arial" w:eastAsia="Arial" w:hAnsi="Arial" w:cs="Arial"/>
                <w:b w:val="0"/>
                <w:i w:val="0"/>
                <w:color w:val="000000"/>
                <w:sz w:val="16"/>
                <w:u w:val="none"/>
              </w:rPr>
              <w:t>$</w:t>
              <w:tab/>
              <w:t>5,873</w:t>
              <w:tab/>
            </w:r>
          </w:p>
        </w:tc>
        <w:tc>
          <w:tcPr>
            <w:tcW w:w="60" w:type="dxa"/>
            <w:tcBorders>
              <w:top w:val="nil"/>
              <w:left w:val="nil"/>
              <w:bottom w:val="nil"/>
              <w:right w:val="nil"/>
            </w:tcBorders>
            <w:tcMar>
              <w:top w:w="0" w:type="dxa"/>
              <w:left w:w="30" w:type="dxa"/>
              <w:bottom w:w="0" w:type="dxa"/>
              <w:right w:w="30" w:type="dxa"/>
            </w:tcMar>
            <w:vAlign w:val="bottom"/>
          </w:tcPr>
          <w:p>
            <w:pPr>
              <w:pageBreakBefore w:val="0"/>
              <w:spacing w:before="33" w:after="30" w:line="240" w:lineRule="auto"/>
              <w:jc w:val="left"/>
            </w:pPr>
          </w:p>
        </w:tc>
        <w:tc>
          <w:tcPr>
            <w:tcW w:w="630" w:type="dxa"/>
            <w:tcBorders>
              <w:top w:val="single" w:sz="8" w:space="0" w:color="000000"/>
              <w:left w:val="nil"/>
              <w:bottom w:val="double" w:sz="8" w:space="0" w:color="000000"/>
              <w:right w:val="nil"/>
            </w:tcBorders>
            <w:tcMar>
              <w:top w:w="0" w:type="dxa"/>
              <w:left w:w="0" w:type="dxa"/>
              <w:bottom w:w="0" w:type="dxa"/>
              <w:right w:w="15" w:type="dxa"/>
            </w:tcMar>
            <w:vAlign w:val="bottom"/>
          </w:tcPr>
          <w:p>
            <w:pPr>
              <w:pageBreakBefore w:val="0"/>
              <w:tabs>
                <w:tab w:val="left" w:pos="1"/>
                <w:tab w:val="left" w:pos="367"/>
              </w:tabs>
              <w:spacing w:before="33" w:after="30" w:line="240" w:lineRule="auto"/>
              <w:jc w:val="right"/>
            </w:pPr>
            <w:r>
              <w:rPr>
                <w:rFonts w:ascii="Arial" w:eastAsia="Arial" w:hAnsi="Arial" w:cs="Arial"/>
                <w:b w:val="0"/>
                <w:i w:val="0"/>
                <w:color w:val="000000"/>
                <w:sz w:val="16"/>
                <w:u w:val="none"/>
              </w:rPr>
              <w:tab/>
              <w:t>18.8</w:t>
              <w:tab/>
              <w:t>%</w:t>
            </w:r>
          </w:p>
        </w:tc>
        <w:tc>
          <w:tcPr>
            <w:tcW w:w="60" w:type="dxa"/>
            <w:tcBorders>
              <w:top w:val="nil"/>
              <w:left w:val="nil"/>
              <w:bottom w:val="nil"/>
              <w:right w:val="nil"/>
            </w:tcBorders>
            <w:tcMar>
              <w:top w:w="0" w:type="dxa"/>
              <w:left w:w="30" w:type="dxa"/>
              <w:bottom w:w="0" w:type="dxa"/>
              <w:right w:w="30" w:type="dxa"/>
            </w:tcMar>
            <w:vAlign w:val="bottom"/>
          </w:tcPr>
          <w:p>
            <w:pPr>
              <w:pageBreakBefore w:val="0"/>
              <w:spacing w:before="33" w:after="30" w:line="240" w:lineRule="auto"/>
              <w:jc w:val="left"/>
            </w:pPr>
          </w:p>
        </w:tc>
        <w:tc>
          <w:tcPr>
            <w:tcW w:w="795" w:type="dxa"/>
            <w:tcBorders>
              <w:top w:val="single" w:sz="8" w:space="0" w:color="000000"/>
              <w:left w:val="nil"/>
              <w:bottom w:val="double" w:sz="8" w:space="0" w:color="000000"/>
              <w:right w:val="nil"/>
            </w:tcBorders>
            <w:tcMar>
              <w:top w:w="0" w:type="dxa"/>
              <w:left w:w="0" w:type="dxa"/>
              <w:bottom w:w="0" w:type="dxa"/>
              <w:right w:w="15" w:type="dxa"/>
            </w:tcMar>
            <w:vAlign w:val="bottom"/>
          </w:tcPr>
          <w:p>
            <w:pPr>
              <w:pageBreakBefore w:val="0"/>
              <w:tabs>
                <w:tab w:val="left" w:pos="425"/>
              </w:tabs>
              <w:spacing w:before="33" w:after="30" w:line="240" w:lineRule="auto"/>
              <w:jc w:val="right"/>
            </w:pPr>
            <w:r>
              <w:rPr>
                <w:rFonts w:ascii="Arial" w:eastAsia="Arial" w:hAnsi="Arial" w:cs="Arial"/>
                <w:b w:val="0"/>
                <w:i w:val="0"/>
                <w:color w:val="000000"/>
                <w:sz w:val="16"/>
                <w:u w:val="none"/>
              </w:rPr>
              <w:t>$</w:t>
              <w:tab/>
              <w:t>(61)</w:t>
            </w:r>
          </w:p>
        </w:tc>
        <w:tc>
          <w:tcPr>
            <w:tcW w:w="60" w:type="dxa"/>
            <w:tcBorders>
              <w:top w:val="nil"/>
              <w:left w:val="nil"/>
              <w:bottom w:val="nil"/>
              <w:right w:val="nil"/>
            </w:tcBorders>
            <w:tcMar>
              <w:top w:w="0" w:type="dxa"/>
              <w:left w:w="47" w:type="dxa"/>
              <w:bottom w:w="0" w:type="dxa"/>
              <w:right w:w="13" w:type="dxa"/>
            </w:tcMar>
            <w:vAlign w:val="bottom"/>
          </w:tcPr>
          <w:p>
            <w:pPr>
              <w:pageBreakBefore w:val="0"/>
              <w:spacing w:before="33" w:after="30" w:line="240" w:lineRule="auto"/>
              <w:jc w:val="left"/>
            </w:pPr>
          </w:p>
        </w:tc>
        <w:tc>
          <w:tcPr>
            <w:tcW w:w="825" w:type="dxa"/>
            <w:tcBorders>
              <w:top w:val="single" w:sz="8" w:space="0" w:color="000000"/>
              <w:left w:val="nil"/>
              <w:bottom w:val="double" w:sz="8" w:space="0" w:color="000000"/>
              <w:right w:val="nil"/>
            </w:tcBorders>
            <w:tcMar>
              <w:top w:w="0" w:type="dxa"/>
              <w:left w:w="0" w:type="dxa"/>
              <w:bottom w:w="0" w:type="dxa"/>
              <w:right w:w="15" w:type="dxa"/>
            </w:tcMar>
            <w:vAlign w:val="bottom"/>
          </w:tcPr>
          <w:p>
            <w:pPr>
              <w:pageBreakBefore w:val="0"/>
              <w:tabs>
                <w:tab w:val="left" w:pos="306"/>
                <w:tab w:val="left" w:pos="757"/>
              </w:tabs>
              <w:spacing w:before="33" w:after="30" w:line="240" w:lineRule="auto"/>
              <w:jc w:val="right"/>
            </w:pPr>
            <w:r>
              <w:rPr>
                <w:rFonts w:ascii="Arial" w:eastAsia="Arial" w:hAnsi="Arial" w:cs="Arial"/>
                <w:b w:val="0"/>
                <w:i w:val="0"/>
                <w:color w:val="000000"/>
                <w:sz w:val="16"/>
                <w:u w:val="none"/>
              </w:rPr>
              <w:t>$</w:t>
              <w:tab/>
              <w:t>5,511</w:t>
              <w:tab/>
            </w:r>
          </w:p>
        </w:tc>
        <w:tc>
          <w:tcPr>
            <w:tcW w:w="60" w:type="dxa"/>
            <w:tcBorders>
              <w:top w:val="nil"/>
              <w:left w:val="nil"/>
              <w:bottom w:val="nil"/>
              <w:right w:val="nil"/>
            </w:tcBorders>
            <w:tcMar>
              <w:top w:w="0" w:type="dxa"/>
              <w:left w:w="30" w:type="dxa"/>
              <w:bottom w:w="0" w:type="dxa"/>
              <w:right w:w="30" w:type="dxa"/>
            </w:tcMar>
            <w:vAlign w:val="bottom"/>
          </w:tcPr>
          <w:p>
            <w:pPr>
              <w:pageBreakBefore w:val="0"/>
              <w:spacing w:before="33" w:after="30" w:line="240" w:lineRule="auto"/>
              <w:jc w:val="left"/>
            </w:pPr>
          </w:p>
        </w:tc>
        <w:tc>
          <w:tcPr>
            <w:tcW w:w="600" w:type="dxa"/>
            <w:tcBorders>
              <w:top w:val="single" w:sz="8" w:space="0" w:color="000000"/>
              <w:left w:val="nil"/>
              <w:bottom w:val="double" w:sz="8" w:space="0" w:color="000000"/>
              <w:right w:val="nil"/>
            </w:tcBorders>
            <w:tcMar>
              <w:top w:w="0" w:type="dxa"/>
              <w:left w:w="0" w:type="dxa"/>
              <w:bottom w:w="0" w:type="dxa"/>
              <w:right w:w="15" w:type="dxa"/>
            </w:tcMar>
            <w:vAlign w:val="bottom"/>
          </w:tcPr>
          <w:p>
            <w:pPr>
              <w:pageBreakBefore w:val="0"/>
              <w:tabs>
                <w:tab w:val="left" w:pos="1"/>
                <w:tab w:val="left" w:pos="331"/>
              </w:tabs>
              <w:spacing w:before="33" w:after="30" w:line="240" w:lineRule="auto"/>
              <w:jc w:val="right"/>
            </w:pPr>
            <w:r>
              <w:rPr>
                <w:rFonts w:ascii="Arial" w:eastAsia="Arial" w:hAnsi="Arial" w:cs="Arial"/>
                <w:b w:val="0"/>
                <w:i w:val="0"/>
                <w:color w:val="000000"/>
                <w:sz w:val="16"/>
                <w:u w:val="none"/>
              </w:rPr>
              <w:tab/>
              <w:t>(1.1)</w:t>
              <w:tab/>
              <w:t>%</w:t>
            </w:r>
          </w:p>
        </w:tc>
        <w:tc>
          <w:tcPr>
            <w:tcW w:w="60" w:type="dxa"/>
            <w:tcBorders>
              <w:top w:val="nil"/>
              <w:left w:val="nil"/>
              <w:bottom w:val="nil"/>
              <w:right w:val="nil"/>
            </w:tcBorders>
            <w:tcMar>
              <w:top w:w="0" w:type="dxa"/>
              <w:left w:w="47" w:type="dxa"/>
              <w:bottom w:w="0" w:type="dxa"/>
              <w:right w:w="13" w:type="dxa"/>
            </w:tcMar>
            <w:vAlign w:val="bottom"/>
          </w:tcPr>
          <w:p>
            <w:pPr>
              <w:pageBreakBefore w:val="0"/>
              <w:spacing w:before="33" w:after="30" w:line="240" w:lineRule="auto"/>
              <w:jc w:val="left"/>
            </w:pPr>
          </w:p>
        </w:tc>
        <w:tc>
          <w:tcPr>
            <w:tcW w:w="840" w:type="dxa"/>
            <w:tcBorders>
              <w:top w:val="single" w:sz="8" w:space="0" w:color="000000"/>
              <w:left w:val="nil"/>
              <w:bottom w:val="double" w:sz="8" w:space="0" w:color="000000"/>
              <w:right w:val="nil"/>
            </w:tcBorders>
            <w:tcMar>
              <w:top w:w="0" w:type="dxa"/>
              <w:left w:w="0" w:type="dxa"/>
              <w:bottom w:w="0" w:type="dxa"/>
              <w:right w:w="15" w:type="dxa"/>
            </w:tcMar>
            <w:vAlign w:val="bottom"/>
          </w:tcPr>
          <w:p>
            <w:pPr>
              <w:pageBreakBefore w:val="0"/>
              <w:tabs>
                <w:tab w:val="left" w:pos="454"/>
                <w:tab w:val="left" w:pos="772"/>
              </w:tabs>
              <w:spacing w:before="33" w:after="30" w:line="240" w:lineRule="auto"/>
              <w:jc w:val="right"/>
            </w:pPr>
            <w:r>
              <w:rPr>
                <w:rFonts w:ascii="Arial" w:eastAsia="Arial" w:hAnsi="Arial" w:cs="Arial"/>
                <w:b w:val="0"/>
                <w:i w:val="0"/>
                <w:color w:val="000000"/>
                <w:sz w:val="16"/>
                <w:u w:val="none"/>
              </w:rPr>
              <w:t>$</w:t>
              <w:tab/>
              <w:t>565</w:t>
              <w:tab/>
            </w:r>
          </w:p>
        </w:tc>
        <w:tc>
          <w:tcPr>
            <w:tcW w:w="60" w:type="dxa"/>
            <w:tcBorders>
              <w:top w:val="nil"/>
              <w:left w:val="nil"/>
              <w:bottom w:val="nil"/>
              <w:right w:val="nil"/>
            </w:tcBorders>
            <w:tcMar>
              <w:top w:w="0" w:type="dxa"/>
              <w:left w:w="47" w:type="dxa"/>
              <w:bottom w:w="0" w:type="dxa"/>
              <w:right w:w="13" w:type="dxa"/>
            </w:tcMar>
            <w:vAlign w:val="bottom"/>
          </w:tcPr>
          <w:p>
            <w:pPr>
              <w:pageBreakBefore w:val="0"/>
              <w:spacing w:before="33" w:after="30" w:line="240" w:lineRule="auto"/>
              <w:jc w:val="left"/>
            </w:pPr>
          </w:p>
        </w:tc>
        <w:tc>
          <w:tcPr>
            <w:tcW w:w="825" w:type="dxa"/>
            <w:tcBorders>
              <w:top w:val="single" w:sz="8" w:space="0" w:color="000000"/>
              <w:left w:val="nil"/>
              <w:bottom w:val="double" w:sz="8" w:space="0" w:color="000000"/>
              <w:right w:val="nil"/>
            </w:tcBorders>
            <w:tcMar>
              <w:top w:w="0" w:type="dxa"/>
              <w:left w:w="0" w:type="dxa"/>
              <w:bottom w:w="0" w:type="dxa"/>
              <w:right w:w="15" w:type="dxa"/>
            </w:tcMar>
            <w:vAlign w:val="bottom"/>
          </w:tcPr>
          <w:p>
            <w:pPr>
              <w:pageBreakBefore w:val="0"/>
              <w:tabs>
                <w:tab w:val="left" w:pos="306"/>
                <w:tab w:val="left" w:pos="757"/>
              </w:tabs>
              <w:spacing w:before="33" w:after="30" w:line="240" w:lineRule="auto"/>
              <w:jc w:val="right"/>
            </w:pPr>
            <w:r>
              <w:rPr>
                <w:rFonts w:ascii="Arial" w:eastAsia="Arial" w:hAnsi="Arial" w:cs="Arial"/>
                <w:b w:val="0"/>
                <w:i w:val="0"/>
                <w:color w:val="000000"/>
                <w:sz w:val="16"/>
                <w:u w:val="none"/>
              </w:rPr>
              <w:t>$</w:t>
              <w:tab/>
              <w:t>5,605</w:t>
              <w:tab/>
            </w:r>
          </w:p>
        </w:tc>
        <w:tc>
          <w:tcPr>
            <w:tcW w:w="60" w:type="dxa"/>
            <w:tcBorders>
              <w:top w:val="nil"/>
              <w:left w:val="nil"/>
              <w:bottom w:val="nil"/>
              <w:right w:val="nil"/>
            </w:tcBorders>
            <w:tcMar>
              <w:top w:w="0" w:type="dxa"/>
              <w:left w:w="30" w:type="dxa"/>
              <w:bottom w:w="0" w:type="dxa"/>
              <w:right w:w="30" w:type="dxa"/>
            </w:tcMar>
            <w:vAlign w:val="bottom"/>
          </w:tcPr>
          <w:p>
            <w:pPr>
              <w:pageBreakBefore w:val="0"/>
              <w:spacing w:before="33" w:after="30" w:line="240" w:lineRule="auto"/>
              <w:jc w:val="left"/>
            </w:pPr>
          </w:p>
        </w:tc>
        <w:tc>
          <w:tcPr>
            <w:tcW w:w="600" w:type="dxa"/>
            <w:tcBorders>
              <w:top w:val="single" w:sz="8" w:space="0" w:color="000000"/>
              <w:left w:val="nil"/>
              <w:bottom w:val="double" w:sz="8" w:space="0" w:color="000000"/>
              <w:right w:val="nil"/>
            </w:tcBorders>
            <w:tcMar>
              <w:top w:w="0" w:type="dxa"/>
              <w:left w:w="0" w:type="dxa"/>
              <w:bottom w:w="0" w:type="dxa"/>
              <w:right w:w="15" w:type="dxa"/>
            </w:tcMar>
            <w:vAlign w:val="bottom"/>
          </w:tcPr>
          <w:p>
            <w:pPr>
              <w:pageBreakBefore w:val="0"/>
              <w:tabs>
                <w:tab w:val="left" w:pos="1"/>
                <w:tab w:val="left" w:pos="367"/>
              </w:tabs>
              <w:spacing w:before="33" w:after="30" w:line="240" w:lineRule="auto"/>
              <w:jc w:val="right"/>
            </w:pPr>
            <w:r>
              <w:rPr>
                <w:rFonts w:ascii="Arial" w:eastAsia="Arial" w:hAnsi="Arial" w:cs="Arial"/>
                <w:b w:val="0"/>
                <w:i w:val="0"/>
                <w:color w:val="000000"/>
                <w:sz w:val="16"/>
                <w:u w:val="none"/>
              </w:rPr>
              <w:tab/>
              <w:t>10.1</w:t>
              <w:tab/>
              <w:t>%</w:t>
            </w:r>
          </w:p>
        </w:tc>
      </w:tr>
    </w:tbl>
    <w:p>
      <w:pPr>
        <w:keepNext w:val="0"/>
        <w:keepLines w:val="0"/>
        <w:pageBreakBefore w:val="0"/>
        <w:widowControl/>
        <w:numPr>
          <w:ilvl w:val="0"/>
          <w:numId w:val="0"/>
        </w:numPr>
        <w:spacing w:before="120" w:after="60" w:line="288" w:lineRule="auto"/>
        <w:ind w:left="180" w:right="0" w:hanging="180"/>
        <w:jc w:val="both"/>
        <w:outlineLvl w:val="9"/>
        <w:rPr>
          <w:rFonts w:ascii="Arial" w:eastAsia="Arial" w:hAnsi="Arial" w:cs="Arial"/>
          <w:b w:val="0"/>
          <w:i w:val="0"/>
          <w:sz w:val="16"/>
        </w:rPr>
      </w:pPr>
      <w:r>
        <w:rPr>
          <w:rFonts w:ascii="Arial" w:eastAsia="Arial" w:hAnsi="Arial" w:cs="Arial"/>
          <w:b w:val="0"/>
          <w:i w:val="0"/>
          <w:sz w:val="16"/>
          <w:vertAlign w:val="superscript"/>
        </w:rPr>
        <w:t>(1)</w:t>
      </w:r>
      <w:r>
        <w:rPr>
          <w:rFonts w:ascii="Arial" w:eastAsia="Arial" w:hAnsi="Arial" w:cs="Arial"/>
          <w:b w:val="0"/>
          <w:i w:val="0"/>
          <w:sz w:val="16"/>
        </w:rPr>
        <w:t xml:space="preserve"> Net income (loss) comprises net income (loss) attributable to Enstar ordinary shareholders, prior to any non-GAAP adjustments. Opening equity comprises Enstar ordinary shareholders' equity, which is calculated as opening Enstar shareholders' equity less preferred shares (</w:t>
      </w:r>
      <w:r>
        <w:rPr>
          <w:rFonts w:ascii="Arial" w:eastAsia="Arial" w:hAnsi="Arial" w:cs="Arial"/>
          <w:b w:val="0"/>
          <w:i w:val="0"/>
          <w:sz w:val="16"/>
        </w:rPr>
        <w:t>$510</w:t>
      </w:r>
      <w:r>
        <w:rPr>
          <w:rFonts w:ascii="Arial" w:eastAsia="Arial" w:hAnsi="Arial" w:cs="Arial"/>
          <w:b w:val="0"/>
          <w:i w:val="0"/>
          <w:sz w:val="16"/>
        </w:rPr>
        <w:t xml:space="preserve"> million</w:t>
      </w:r>
      <w:r>
        <w:rPr>
          <w:rFonts w:ascii="Arial" w:eastAsia="Arial" w:hAnsi="Arial" w:cs="Arial"/>
          <w:b w:val="0"/>
          <w:i w:val="0"/>
          <w:sz w:val="16"/>
        </w:rPr>
        <w:t xml:space="preserve">), prior to any non-GAAP adjustments. </w:t>
      </w:r>
    </w:p>
    <w:p>
      <w:pPr>
        <w:keepNext w:val="0"/>
        <w:keepLines w:val="0"/>
        <w:pageBreakBefore w:val="0"/>
        <w:widowControl/>
        <w:numPr>
          <w:ilvl w:val="0"/>
          <w:numId w:val="0"/>
        </w:numPr>
        <w:spacing w:before="0" w:after="60" w:line="288" w:lineRule="auto"/>
        <w:ind w:left="180" w:right="0" w:hanging="180"/>
        <w:jc w:val="both"/>
        <w:outlineLvl w:val="9"/>
        <w:rPr>
          <w:rFonts w:ascii="Arial" w:eastAsia="Arial" w:hAnsi="Arial" w:cs="Arial"/>
          <w:b w:val="0"/>
          <w:i w:val="0"/>
          <w:color w:val="000000"/>
          <w:sz w:val="16"/>
          <w:u w:val="none"/>
          <w:shd w:val="clear" w:color="auto" w:fill="FFFF00"/>
          <w:vertAlign w:val="superscript"/>
        </w:rPr>
      </w:pPr>
      <w:r>
        <w:rPr>
          <w:rFonts w:ascii="Arial" w:eastAsia="Arial" w:hAnsi="Arial" w:cs="Arial"/>
          <w:b w:val="0"/>
          <w:i w:val="0"/>
          <w:sz w:val="16"/>
          <w:vertAlign w:val="superscript"/>
        </w:rPr>
        <w:t xml:space="preserve">(2) </w:t>
      </w:r>
      <w:r>
        <w:rPr>
          <w:rFonts w:ascii="Arial" w:eastAsia="Arial" w:hAnsi="Arial" w:cs="Arial"/>
          <w:b w:val="0"/>
          <w:i w:val="0"/>
          <w:sz w:val="16"/>
        </w:rPr>
        <w:t xml:space="preserve">Enstar ordinary shareholders’ equity as of December 31, 2022 has been retrospectively adjusted </w:t>
      </w:r>
      <w:r>
        <w:rPr>
          <w:rFonts w:ascii="Arial" w:eastAsia="Arial" w:hAnsi="Arial" w:cs="Arial"/>
          <w:b w:val="0"/>
          <w:i w:val="0"/>
          <w:sz w:val="16"/>
        </w:rPr>
        <w:t xml:space="preserve">by $273 million </w:t>
      </w:r>
      <w:r>
        <w:rPr>
          <w:rFonts w:ascii="Arial" w:eastAsia="Arial" w:hAnsi="Arial" w:cs="Arial"/>
          <w:b w:val="0"/>
          <w:i w:val="0"/>
          <w:sz w:val="16"/>
        </w:rPr>
        <w:t xml:space="preserve">for the impact of adopting ASU 2018-12. </w:t>
      </w:r>
    </w:p>
    <w:p>
      <w:pPr>
        <w:keepNext w:val="0"/>
        <w:keepLines w:val="0"/>
        <w:pageBreakBefore w:val="0"/>
        <w:widowControl/>
        <w:numPr>
          <w:ilvl w:val="0"/>
          <w:numId w:val="0"/>
        </w:numPr>
        <w:spacing w:before="0" w:after="60" w:line="288" w:lineRule="auto"/>
        <w:ind w:left="180" w:right="0" w:hanging="180"/>
        <w:jc w:val="both"/>
        <w:outlineLvl w:val="9"/>
        <w:rPr>
          <w:rFonts w:ascii="Arial" w:eastAsia="Arial" w:hAnsi="Arial" w:cs="Arial"/>
          <w:b w:val="0"/>
          <w:i w:val="0"/>
          <w:sz w:val="16"/>
        </w:rPr>
      </w:pPr>
      <w:r>
        <w:rPr>
          <w:rFonts w:ascii="Arial" w:eastAsia="Arial" w:hAnsi="Arial" w:cs="Arial"/>
          <w:b w:val="0"/>
          <w:i w:val="0"/>
          <w:sz w:val="16"/>
          <w:vertAlign w:val="superscript"/>
        </w:rPr>
        <w:t xml:space="preserve">(3) </w:t>
      </w:r>
      <w:r>
        <w:rPr>
          <w:rFonts w:ascii="Arial" w:eastAsia="Arial" w:hAnsi="Arial" w:cs="Arial"/>
          <w:b w:val="0"/>
          <w:i w:val="0"/>
          <w:sz w:val="16"/>
        </w:rPr>
        <w:t xml:space="preserve">Net realized gains (losses) on fixed maturities, AFS </w:t>
      </w:r>
      <w:r>
        <w:rPr>
          <w:rFonts w:ascii="Arial" w:eastAsia="Arial" w:hAnsi="Arial" w:cs="Arial"/>
          <w:b w:val="0"/>
          <w:i w:val="0"/>
          <w:sz w:val="16"/>
        </w:rPr>
        <w:t>and funds held - direc</w:t>
      </w:r>
      <w:r>
        <w:rPr>
          <w:rFonts w:ascii="Arial" w:eastAsia="Arial" w:hAnsi="Arial" w:cs="Arial"/>
          <w:b w:val="0"/>
          <w:i w:val="0"/>
          <w:sz w:val="16"/>
        </w:rPr>
        <w:t xml:space="preserve">tly managed </w:t>
      </w:r>
      <w:r>
        <w:rPr>
          <w:rFonts w:ascii="Arial" w:eastAsia="Arial" w:hAnsi="Arial" w:cs="Arial"/>
          <w:b w:val="0"/>
          <w:i w:val="0"/>
          <w:sz w:val="16"/>
        </w:rPr>
        <w:t xml:space="preserve">are included in net realized gains (losses) in our consolidated statements of operations. Net unrealized gains (losses) on fixed maturities, trading and funds held - directly managed are included in net unrealized gains (losses) in our consolidated statements of operations. </w:t>
      </w:r>
    </w:p>
    <w:p>
      <w:pPr>
        <w:keepNext w:val="0"/>
        <w:keepLines w:val="0"/>
        <w:pageBreakBefore w:val="0"/>
        <w:widowControl/>
        <w:numPr>
          <w:ilvl w:val="0"/>
          <w:numId w:val="0"/>
        </w:numPr>
        <w:spacing w:before="0" w:after="60" w:line="288" w:lineRule="auto"/>
        <w:ind w:left="360" w:right="0" w:hanging="360"/>
        <w:jc w:val="both"/>
        <w:outlineLvl w:val="9"/>
        <w:rPr>
          <w:rFonts w:ascii="Arial" w:eastAsia="Arial" w:hAnsi="Arial" w:cs="Arial"/>
          <w:b w:val="0"/>
          <w:i w:val="0"/>
          <w:sz w:val="16"/>
        </w:rPr>
      </w:pPr>
      <w:r>
        <w:rPr>
          <w:rFonts w:ascii="Arial" w:eastAsia="Arial" w:hAnsi="Arial" w:cs="Arial"/>
          <w:b w:val="0"/>
          <w:i w:val="0"/>
          <w:sz w:val="16"/>
          <w:vertAlign w:val="superscript"/>
        </w:rPr>
        <w:t xml:space="preserve">(4) </w:t>
      </w:r>
      <w:r>
        <w:rPr>
          <w:rFonts w:ascii="Arial" w:eastAsia="Arial" w:hAnsi="Arial" w:cs="Arial"/>
          <w:b w:val="0"/>
          <w:i w:val="0"/>
          <w:sz w:val="16"/>
        </w:rPr>
        <w:t>Our fixed maturities are held directly on our balance sheet and also within the "Funds held" balance.</w:t>
      </w:r>
    </w:p>
    <w:p>
      <w:pPr>
        <w:keepNext w:val="0"/>
        <w:keepLines w:val="0"/>
        <w:pageBreakBefore w:val="0"/>
        <w:widowControl/>
        <w:numPr>
          <w:ilvl w:val="0"/>
          <w:numId w:val="0"/>
        </w:numPr>
        <w:spacing w:before="0" w:after="60" w:line="288" w:lineRule="auto"/>
        <w:ind w:left="180" w:right="0" w:hanging="180"/>
        <w:jc w:val="both"/>
        <w:outlineLvl w:val="9"/>
        <w:rPr>
          <w:rFonts w:ascii="Arial" w:eastAsia="Arial" w:hAnsi="Arial" w:cs="Arial"/>
          <w:b w:val="0"/>
          <w:i w:val="0"/>
          <w:sz w:val="16"/>
        </w:rPr>
      </w:pPr>
      <w:r>
        <w:rPr>
          <w:rFonts w:ascii="Arial" w:eastAsia="Arial" w:hAnsi="Arial" w:cs="Arial"/>
          <w:b w:val="0"/>
          <w:i w:val="0"/>
          <w:sz w:val="16"/>
          <w:vertAlign w:val="superscript"/>
        </w:rPr>
        <w:t>(5)</w:t>
      </w:r>
      <w:r>
        <w:rPr>
          <w:rFonts w:ascii="Arial" w:eastAsia="Arial" w:hAnsi="Arial" w:cs="Arial"/>
          <w:b w:val="0"/>
          <w:i w:val="0"/>
          <w:sz w:val="16"/>
        </w:rPr>
        <w:t xml:space="preserve"> Comprises the discount rate and risk margin components. </w:t>
      </w:r>
    </w:p>
    <w:p>
      <w:pPr>
        <w:keepNext w:val="0"/>
        <w:keepLines w:val="0"/>
        <w:pageBreakBefore w:val="0"/>
        <w:widowControl/>
        <w:numPr>
          <w:ilvl w:val="0"/>
          <w:numId w:val="0"/>
        </w:numPr>
        <w:spacing w:before="0" w:after="60" w:line="288" w:lineRule="auto"/>
        <w:ind w:left="180" w:right="0" w:hanging="180"/>
        <w:jc w:val="both"/>
        <w:outlineLvl w:val="9"/>
        <w:rPr>
          <w:rFonts w:ascii="Arial" w:eastAsia="Arial" w:hAnsi="Arial" w:cs="Arial"/>
          <w:b w:val="0"/>
          <w:i w:val="0"/>
          <w:sz w:val="16"/>
        </w:rPr>
      </w:pPr>
      <w:r>
        <w:rPr>
          <w:rFonts w:ascii="Arial" w:eastAsia="Arial" w:hAnsi="Arial" w:cs="Arial"/>
          <w:b w:val="0"/>
          <w:i w:val="0"/>
          <w:sz w:val="16"/>
          <w:vertAlign w:val="superscript"/>
        </w:rPr>
        <w:t xml:space="preserve">(6) </w:t>
      </w:r>
      <w:r>
        <w:rPr>
          <w:rFonts w:ascii="Arial" w:eastAsia="Arial" w:hAnsi="Arial" w:cs="Arial"/>
          <w:b w:val="0"/>
          <w:i w:val="0"/>
          <w:sz w:val="16"/>
        </w:rPr>
        <w:t>Represents an aggregation of the tax expense or benefit associated with the specific country to which the pre-tax adjustment relates, calculated at the applicable jurisdictional tax rate.</w:t>
      </w:r>
    </w:p>
    <w:p>
      <w:pPr>
        <w:keepNext w:val="0"/>
        <w:keepLines w:val="0"/>
        <w:pageBreakBefore w:val="0"/>
        <w:widowControl/>
        <w:numPr>
          <w:ilvl w:val="0"/>
          <w:numId w:val="0"/>
        </w:numPr>
        <w:spacing w:before="0" w:after="60" w:line="288" w:lineRule="auto"/>
        <w:ind w:left="180" w:right="0" w:hanging="180"/>
        <w:jc w:val="both"/>
        <w:outlineLvl w:val="9"/>
        <w:rPr>
          <w:rFonts w:ascii="Arial" w:eastAsia="Arial" w:hAnsi="Arial" w:cs="Arial"/>
          <w:b w:val="0"/>
          <w:i w:val="0"/>
          <w:sz w:val="16"/>
        </w:rPr>
      </w:pPr>
      <w:r>
        <w:rPr>
          <w:rFonts w:ascii="Arial" w:eastAsia="Arial" w:hAnsi="Arial" w:cs="Arial"/>
          <w:b w:val="0"/>
          <w:i w:val="0"/>
          <w:sz w:val="16"/>
          <w:vertAlign w:val="superscript"/>
        </w:rPr>
        <w:t xml:space="preserve">(7) </w:t>
      </w:r>
      <w:r>
        <w:rPr>
          <w:rFonts w:ascii="Arial" w:eastAsia="Arial" w:hAnsi="Arial" w:cs="Arial"/>
          <w:b w:val="0"/>
          <w:i w:val="0"/>
          <w:sz w:val="16"/>
        </w:rPr>
        <w:t>Represents the impact of the adjustments on the net income (loss) attributable to noncontrolling interest associated with the specific subsidiaries to which the adjustments relate.</w:t>
      </w:r>
    </w:p>
    <w:p>
      <w:pPr>
        <w:keepNext w:val="0"/>
        <w:keepLines w:val="0"/>
        <w:pageBreakBefore w:val="0"/>
        <w:widowControl/>
        <w:numPr>
          <w:ilvl w:val="0"/>
          <w:numId w:val="0"/>
        </w:numPr>
        <w:spacing w:before="0" w:after="60" w:line="288" w:lineRule="auto"/>
        <w:ind w:left="0" w:right="0" w:firstLine="0"/>
        <w:jc w:val="left"/>
        <w:outlineLvl w:val="9"/>
        <w:rPr>
          <w:rFonts w:ascii="Arial" w:eastAsia="Arial" w:hAnsi="Arial" w:cs="Arial"/>
          <w:b/>
          <w:i w:val="0"/>
          <w:sz w:val="18"/>
        </w:rPr>
      </w:pPr>
      <w:r>
        <w:rPr>
          <w:rFonts w:ascii="Arial" w:eastAsia="Arial" w:hAnsi="Arial" w:cs="Arial"/>
          <w:b w:val="0"/>
          <w:i w:val="0"/>
          <w:sz w:val="20"/>
        </w:rPr>
        <w:t>*</w:t>
      </w:r>
      <w:r>
        <w:rPr>
          <w:rFonts w:ascii="Arial" w:eastAsia="Arial" w:hAnsi="Arial" w:cs="Arial"/>
          <w:b w:val="0"/>
          <w:i w:val="0"/>
          <w:sz w:val="16"/>
        </w:rPr>
        <w:t>Non-GAAP measure.</w:t>
      </w:r>
    </w:p>
    <w:p>
      <w:pPr>
        <w:keepNext w:val="0"/>
        <w:keepLines w:val="0"/>
        <w:pageBreakBefore w:val="0"/>
        <w:widowControl/>
        <w:numPr>
          <w:ilvl w:val="0"/>
          <w:numId w:val="0"/>
        </w:numPr>
        <w:spacing w:before="0" w:after="60" w:line="288" w:lineRule="auto"/>
        <w:ind w:left="360" w:right="0" w:hanging="360"/>
        <w:jc w:val="left"/>
        <w:outlineLvl w:val="9"/>
        <w:rPr>
          <w:rFonts w:ascii="Arial" w:eastAsia="Arial" w:hAnsi="Arial" w:cs="Arial"/>
          <w:b w:val="0"/>
          <w:i w:val="0"/>
          <w:color w:val="969698"/>
          <w:sz w:val="16"/>
          <w:u w:val="none"/>
        </w:rPr>
      </w:pPr>
    </w:p>
    <w:p>
      <w:pPr>
        <w:keepNext w:val="0"/>
        <w:keepLines w:val="0"/>
        <w:pageBreakBefore w:val="0"/>
        <w:widowControl/>
        <w:numPr>
          <w:ilvl w:val="0"/>
          <w:numId w:val="0"/>
        </w:numPr>
        <w:spacing w:before="0" w:after="120" w:line="30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table below </w:t>
      </w:r>
      <w:r>
        <w:rPr>
          <w:rFonts w:ascii="Arial" w:eastAsia="Arial" w:hAnsi="Arial" w:cs="Arial"/>
          <w:b w:val="0"/>
          <w:i w:val="0"/>
          <w:sz w:val="20"/>
        </w:rPr>
        <w:t xml:space="preserve">shows the impact of certain modifications made </w:t>
      </w:r>
      <w:r>
        <w:rPr>
          <w:rFonts w:ascii="Arial" w:eastAsia="Arial" w:hAnsi="Arial" w:cs="Arial"/>
          <w:b w:val="0"/>
          <w:i w:val="0"/>
          <w:sz w:val="20"/>
        </w:rPr>
        <w:t xml:space="preserve">by </w:t>
      </w:r>
      <w:r>
        <w:rPr>
          <w:rFonts w:ascii="Arial" w:eastAsia="Arial" w:hAnsi="Arial" w:cs="Arial"/>
          <w:b w:val="0"/>
          <w:i w:val="0"/>
          <w:sz w:val="20"/>
        </w:rPr>
        <w:t xml:space="preserve">Enstar's </w:t>
      </w:r>
      <w:r>
        <w:rPr>
          <w:rFonts w:ascii="Arial" w:eastAsia="Arial" w:hAnsi="Arial" w:cs="Arial"/>
          <w:b w:val="0"/>
          <w:i w:val="0"/>
          <w:sz w:val="20"/>
        </w:rPr>
        <w:t>Human Resou</w:t>
      </w:r>
      <w:r>
        <w:rPr>
          <w:rFonts w:ascii="Arial" w:eastAsia="Arial" w:hAnsi="Arial" w:cs="Arial"/>
          <w:b w:val="0"/>
          <w:i w:val="0"/>
          <w:sz w:val="20"/>
        </w:rPr>
        <w:t>rces and Compensation Committe</w:t>
      </w:r>
      <w:r>
        <w:rPr>
          <w:rFonts w:ascii="Arial" w:eastAsia="Arial" w:hAnsi="Arial" w:cs="Arial"/>
          <w:b w:val="0"/>
          <w:i w:val="0"/>
          <w:sz w:val="20"/>
        </w:rPr>
        <w:t>e</w:t>
      </w:r>
      <w:r>
        <w:rPr>
          <w:rFonts w:ascii="Arial" w:eastAsia="Arial" w:hAnsi="Arial" w:cs="Arial"/>
          <w:b w:val="0"/>
          <w:i w:val="0"/>
          <w:sz w:val="20"/>
        </w:rPr>
        <w:t xml:space="preserve"> </w:t>
      </w:r>
      <w:r>
        <w:rPr>
          <w:rFonts w:ascii="Arial" w:eastAsia="Arial" w:hAnsi="Arial" w:cs="Arial"/>
          <w:b w:val="0"/>
          <w:i w:val="0"/>
          <w:sz w:val="20"/>
        </w:rPr>
        <w:t xml:space="preserve">to the reported </w:t>
      </w:r>
      <w:r>
        <w:rPr>
          <w:rFonts w:ascii="Arial" w:eastAsia="Arial" w:hAnsi="Arial" w:cs="Arial"/>
          <w:b w:val="0"/>
          <w:i w:val="0"/>
          <w:sz w:val="20"/>
        </w:rPr>
        <w:t xml:space="preserve">Adjusted ROE* </w:t>
      </w:r>
      <w:r>
        <w:rPr>
          <w:rFonts w:ascii="Arial" w:eastAsia="Arial" w:hAnsi="Arial" w:cs="Arial"/>
          <w:b w:val="0"/>
          <w:i w:val="0"/>
          <w:sz w:val="20"/>
        </w:rPr>
        <w:t xml:space="preserve">in assessing </w:t>
      </w:r>
      <w:r>
        <w:rPr>
          <w:rFonts w:ascii="Arial" w:eastAsia="Arial" w:hAnsi="Arial" w:cs="Arial"/>
          <w:b w:val="0"/>
          <w:i w:val="0"/>
          <w:sz w:val="20"/>
        </w:rPr>
        <w:t xml:space="preserve">the </w:t>
      </w:r>
      <w:r>
        <w:rPr>
          <w:rFonts w:ascii="Arial" w:eastAsia="Arial" w:hAnsi="Arial" w:cs="Arial"/>
          <w:b w:val="0"/>
          <w:i w:val="0"/>
          <w:sz w:val="20"/>
        </w:rPr>
        <w:t>achievement of the Adjusted ROE* performance metric</w:t>
      </w:r>
      <w:r>
        <w:rPr>
          <w:rFonts w:ascii="Arial" w:eastAsia="Arial" w:hAnsi="Arial" w:cs="Arial"/>
          <w:b w:val="0"/>
          <w:i w:val="0"/>
          <w:sz w:val="20"/>
        </w:rPr>
        <w:t xml:space="preserve"> </w:t>
      </w:r>
      <w:r>
        <w:rPr>
          <w:rFonts w:ascii="Arial" w:eastAsia="Arial" w:hAnsi="Arial" w:cs="Arial"/>
          <w:b w:val="0"/>
          <w:i w:val="0"/>
          <w:sz w:val="20"/>
        </w:rPr>
        <w:t>for the year</w:t>
      </w:r>
      <w:r>
        <w:rPr>
          <w:rFonts w:ascii="Arial" w:eastAsia="Arial" w:hAnsi="Arial" w:cs="Arial"/>
          <w:b w:val="0"/>
          <w:i w:val="0"/>
          <w:sz w:val="20"/>
        </w:rPr>
        <w:t xml:space="preserve"> ended December 31, 2023</w:t>
      </w:r>
      <w:r>
        <w:rPr>
          <w:rFonts w:ascii="Arial" w:eastAsia="Arial" w:hAnsi="Arial" w:cs="Arial"/>
          <w:b w:val="0"/>
          <w:i w:val="0"/>
          <w:color w:val="000000"/>
          <w:sz w:val="20"/>
          <w:u w:val="none"/>
        </w:rPr>
        <w:t xml:space="preserve">: </w:t>
      </w:r>
    </w:p>
    <w:tbl>
      <w:tblPr>
        <w:tblW w:w="984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5265"/>
        <w:gridCol w:w="1545"/>
        <w:gridCol w:w="60"/>
        <w:gridCol w:w="1485"/>
        <w:gridCol w:w="60"/>
        <w:gridCol w:w="1425"/>
      </w:tblGrid>
      <w:tr>
        <w:tblPrEx>
          <w:tblW w:w="9840"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40"/>
          <w:jc w:val="left"/>
        </w:trPr>
        <w:tc>
          <w:tcPr>
            <w:tcW w:w="52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4575" w:type="dxa"/>
            <w:gridSpan w:val="5"/>
            <w:tcBorders>
              <w:top w:val="nil"/>
              <w:left w:val="nil"/>
              <w:bottom w:val="single" w:sz="8" w:space="0" w:color="000000"/>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i w:val="0"/>
                <w:color w:val="000000"/>
                <w:sz w:val="16"/>
                <w:u w:val="none"/>
              </w:rPr>
              <w:t>2023</w:t>
            </w:r>
          </w:p>
        </w:tc>
      </w:tr>
      <w:tr>
        <w:tblPrEx>
          <w:tblW w:w="9840" w:type="dxa"/>
          <w:jc w:val="left"/>
          <w:tblInd w:w="0" w:type="dxa"/>
          <w:tblLayout w:type="fixed"/>
          <w:tblCellMar>
            <w:left w:w="108" w:type="dxa"/>
            <w:right w:w="108" w:type="dxa"/>
          </w:tblCellMar>
        </w:tblPrEx>
        <w:trPr>
          <w:cantSplit/>
          <w:trHeight w:hRule="exact" w:val="720"/>
          <w:jc w:val="left"/>
        </w:trPr>
        <w:tc>
          <w:tcPr>
            <w:tcW w:w="526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1545" w:type="dxa"/>
            <w:tcBorders>
              <w:top w:val="nil"/>
              <w:left w:val="nil"/>
              <w:bottom w:val="single" w:sz="8" w:space="0" w:color="000000"/>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i w:val="0"/>
                <w:sz w:val="16"/>
              </w:rPr>
            </w:pPr>
            <w:r>
              <w:rPr>
                <w:rFonts w:ascii="Arial" w:eastAsia="Arial" w:hAnsi="Arial" w:cs="Arial"/>
                <w:b/>
                <w:i w:val="0"/>
                <w:sz w:val="16"/>
              </w:rPr>
              <w:t xml:space="preserve"> Net income (loss) </w:t>
            </w:r>
            <w:r>
              <w:rPr>
                <w:rFonts w:ascii="Arial" w:eastAsia="Arial" w:hAnsi="Arial" w:cs="Arial"/>
                <w:b/>
                <w:i w:val="0"/>
                <w:sz w:val="16"/>
                <w:vertAlign w:val="superscript"/>
              </w:rPr>
              <w:t>(1)</w:t>
            </w:r>
          </w:p>
        </w:tc>
        <w:tc>
          <w:tcPr>
            <w:tcW w:w="60" w:type="dxa"/>
            <w:tcBorders>
              <w:top w:val="single" w:sz="8" w:space="0" w:color="000000"/>
              <w:left w:val="nil"/>
              <w:bottom w:val="nil"/>
              <w:right w:val="nil"/>
            </w:tcBorders>
            <w:tcMar>
              <w:top w:w="0" w:type="dxa"/>
              <w:left w:w="30" w:type="dxa"/>
              <w:bottom w:w="0" w:type="dxa"/>
              <w:right w:w="30" w:type="dxa"/>
            </w:tcMar>
            <w:vAlign w:val="center"/>
          </w:tcPr>
          <w:p>
            <w:pPr>
              <w:keepNext/>
              <w:pageBreakBefore w:val="0"/>
              <w:spacing w:before="0" w:after="0" w:line="240" w:lineRule="auto"/>
              <w:jc w:val="center"/>
            </w:pPr>
          </w:p>
        </w:tc>
        <w:tc>
          <w:tcPr>
            <w:tcW w:w="1485" w:type="dxa"/>
            <w:tcBorders>
              <w:top w:val="single" w:sz="8" w:space="0" w:color="000000"/>
              <w:left w:val="nil"/>
              <w:bottom w:val="single" w:sz="8" w:space="0" w:color="000000"/>
              <w:right w:val="nil"/>
            </w:tcBorders>
            <w:tcMar>
              <w:top w:w="0" w:type="dxa"/>
              <w:left w:w="53" w:type="dxa"/>
              <w:bottom w:w="0" w:type="dxa"/>
              <w:right w:w="53" w:type="dxa"/>
            </w:tcMar>
            <w:vAlign w:val="center"/>
          </w:tcPr>
          <w:p>
            <w:pPr>
              <w:keepNext/>
              <w:pageBreakBefore w:val="0"/>
              <w:numPr>
                <w:ilvl w:val="0"/>
                <w:numId w:val="0"/>
              </w:numPr>
              <w:spacing w:before="0" w:after="0" w:line="240" w:lineRule="auto"/>
              <w:ind w:left="0" w:right="0" w:firstLine="0"/>
              <w:jc w:val="center"/>
              <w:outlineLvl w:val="9"/>
              <w:rPr>
                <w:rFonts w:ascii="Arial" w:eastAsia="Arial" w:hAnsi="Arial" w:cs="Arial"/>
                <w:b/>
                <w:i w:val="0"/>
                <w:sz w:val="16"/>
              </w:rPr>
            </w:pPr>
            <w:r>
              <w:rPr>
                <w:rFonts w:ascii="Arial" w:eastAsia="Arial" w:hAnsi="Arial" w:cs="Arial"/>
                <w:b/>
                <w:i w:val="0"/>
                <w:sz w:val="16"/>
              </w:rPr>
              <w:t xml:space="preserve"> Opening equity </w:t>
            </w:r>
          </w:p>
          <w:p>
            <w:pPr>
              <w:pageBreakBefore w:val="0"/>
              <w:numPr>
                <w:ilvl w:val="0"/>
                <w:numId w:val="0"/>
              </w:numPr>
              <w:spacing w:before="0" w:after="0" w:line="240" w:lineRule="auto"/>
              <w:ind w:left="0" w:right="0" w:firstLine="0"/>
              <w:jc w:val="center"/>
              <w:outlineLvl w:val="9"/>
              <w:rPr>
                <w:rFonts w:ascii="Arial" w:eastAsia="Arial" w:hAnsi="Arial" w:cs="Arial"/>
                <w:b/>
                <w:i w:val="0"/>
                <w:sz w:val="16"/>
              </w:rPr>
            </w:pPr>
            <w:r>
              <w:rPr>
                <w:rFonts w:ascii="Arial" w:eastAsia="Arial" w:hAnsi="Arial" w:cs="Arial"/>
                <w:b/>
                <w:i w:val="0"/>
                <w:sz w:val="16"/>
                <w:vertAlign w:val="superscript"/>
              </w:rPr>
              <w:t>(1)</w:t>
            </w:r>
          </w:p>
        </w:tc>
        <w:tc>
          <w:tcPr>
            <w:tcW w:w="60" w:type="dxa"/>
            <w:tcBorders>
              <w:top w:val="single" w:sz="8" w:space="0" w:color="000000"/>
              <w:left w:val="nil"/>
              <w:bottom w:val="nil"/>
              <w:right w:val="nil"/>
            </w:tcBorders>
            <w:tcMar>
              <w:top w:w="0" w:type="dxa"/>
              <w:left w:w="30" w:type="dxa"/>
              <w:bottom w:w="0" w:type="dxa"/>
              <w:right w:w="30" w:type="dxa"/>
            </w:tcMar>
            <w:vAlign w:val="center"/>
          </w:tcPr>
          <w:p>
            <w:pPr>
              <w:keepNext/>
              <w:pageBreakBefore w:val="0"/>
              <w:spacing w:before="0" w:after="0" w:line="240" w:lineRule="auto"/>
              <w:jc w:val="center"/>
            </w:pPr>
          </w:p>
        </w:tc>
        <w:tc>
          <w:tcPr>
            <w:tcW w:w="1425" w:type="dxa"/>
            <w:tcBorders>
              <w:top w:val="single" w:sz="8" w:space="0" w:color="000000"/>
              <w:left w:val="nil"/>
              <w:bottom w:val="single" w:sz="8" w:space="0" w:color="000000"/>
              <w:right w:val="nil"/>
            </w:tcBorders>
            <w:tcMar>
              <w:top w:w="0" w:type="dxa"/>
              <w:left w:w="53" w:type="dxa"/>
              <w:bottom w:w="0" w:type="dxa"/>
              <w:right w:w="53" w:type="dxa"/>
            </w:tcMar>
            <w:vAlign w:val="center"/>
          </w:tcPr>
          <w:p>
            <w:pPr>
              <w:keepNext/>
              <w:pageBreakBefore w:val="0"/>
              <w:spacing w:before="0" w:after="0" w:line="240" w:lineRule="auto"/>
              <w:jc w:val="center"/>
            </w:pPr>
            <w:r>
              <w:rPr>
                <w:rFonts w:ascii="Arial" w:eastAsia="Arial" w:hAnsi="Arial" w:cs="Arial"/>
                <w:b/>
                <w:i w:val="0"/>
                <w:color w:val="000000"/>
                <w:sz w:val="16"/>
                <w:u w:val="none"/>
              </w:rPr>
              <w:t>(Adj) ROE</w:t>
            </w:r>
          </w:p>
        </w:tc>
      </w:tr>
      <w:tr>
        <w:tblPrEx>
          <w:tblW w:w="9840" w:type="dxa"/>
          <w:jc w:val="left"/>
          <w:tblInd w:w="0" w:type="dxa"/>
          <w:tblLayout w:type="fixed"/>
          <w:tblCellMar>
            <w:left w:w="108" w:type="dxa"/>
            <w:right w:w="108" w:type="dxa"/>
          </w:tblCellMar>
        </w:tblPrEx>
        <w:trPr>
          <w:cantSplit/>
          <w:trHeight w:hRule="exact" w:val="240"/>
          <w:jc w:val="left"/>
        </w:trPr>
        <w:tc>
          <w:tcPr>
            <w:tcW w:w="5265" w:type="dxa"/>
            <w:tcBorders>
              <w:top w:val="nil"/>
              <w:left w:val="nil"/>
              <w:bottom w:val="nil"/>
              <w:right w:val="nil"/>
            </w:tcBorders>
            <w:tcMar>
              <w:top w:w="0" w:type="dxa"/>
              <w:left w:w="53" w:type="dxa"/>
              <w:bottom w:w="0" w:type="dxa"/>
              <w:right w:w="53" w:type="dxa"/>
            </w:tcMar>
            <w:vAlign w:val="bottom"/>
          </w:tcPr>
          <w:p>
            <w:pPr>
              <w:keepNext/>
              <w:pageBreakBefore w:val="0"/>
              <w:spacing w:before="33" w:after="30" w:line="240" w:lineRule="auto"/>
              <w:jc w:val="left"/>
            </w:pPr>
          </w:p>
        </w:tc>
        <w:tc>
          <w:tcPr>
            <w:tcW w:w="4575" w:type="dxa"/>
            <w:gridSpan w:val="5"/>
            <w:tcBorders>
              <w:top w:val="nil"/>
              <w:left w:val="nil"/>
              <w:bottom w:val="nil"/>
              <w:right w:val="nil"/>
            </w:tcBorders>
            <w:tcMar>
              <w:top w:w="0" w:type="dxa"/>
              <w:left w:w="53" w:type="dxa"/>
              <w:bottom w:w="0" w:type="dxa"/>
              <w:right w:w="15" w:type="dxa"/>
            </w:tcMar>
            <w:vAlign w:val="bottom"/>
          </w:tcPr>
          <w:p>
            <w:pPr>
              <w:keepNext/>
              <w:pageBreakBefore w:val="0"/>
              <w:spacing w:before="33" w:after="30" w:line="240" w:lineRule="auto"/>
              <w:jc w:val="center"/>
            </w:pPr>
            <w:r>
              <w:rPr>
                <w:rFonts w:ascii="Arial" w:eastAsia="Arial" w:hAnsi="Arial" w:cs="Arial"/>
                <w:b/>
                <w:i w:val="0"/>
                <w:color w:val="000000"/>
                <w:sz w:val="16"/>
                <w:u w:val="none"/>
              </w:rPr>
              <w:t>(in millions of U.S. dollars)</w:t>
            </w:r>
          </w:p>
        </w:tc>
      </w:tr>
      <w:tr>
        <w:tblPrEx>
          <w:tblW w:w="9840" w:type="dxa"/>
          <w:jc w:val="left"/>
          <w:tblInd w:w="0" w:type="dxa"/>
          <w:tblLayout w:type="fixed"/>
          <w:tblCellMar>
            <w:left w:w="108" w:type="dxa"/>
            <w:right w:w="108" w:type="dxa"/>
          </w:tblCellMar>
        </w:tblPrEx>
        <w:trPr>
          <w:cantSplit/>
          <w:trHeight w:hRule="exact" w:val="405"/>
          <w:jc w:val="left"/>
        </w:trPr>
        <w:tc>
          <w:tcPr>
            <w:tcW w:w="52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6"/>
                <w:u w:val="none"/>
              </w:rPr>
              <w:t>Adjusted net income (loss)/Adjusted opening equity/Adjusted ROE*</w:t>
            </w:r>
          </w:p>
        </w:tc>
        <w:tc>
          <w:tcPr>
            <w:tcW w:w="1545" w:type="dxa"/>
            <w:tcBorders>
              <w:top w:val="nil"/>
              <w:left w:val="nil"/>
              <w:bottom w:val="nil"/>
              <w:right w:val="nil"/>
            </w:tcBorders>
            <w:tcMar>
              <w:top w:w="0" w:type="dxa"/>
              <w:left w:w="0" w:type="dxa"/>
              <w:bottom w:w="0" w:type="dxa"/>
              <w:right w:w="15" w:type="dxa"/>
            </w:tcMar>
            <w:vAlign w:val="bottom"/>
          </w:tcPr>
          <w:p>
            <w:pPr>
              <w:keepNext/>
              <w:pageBreakBefore w:val="0"/>
              <w:tabs>
                <w:tab w:val="left" w:pos="1026"/>
                <w:tab w:val="left" w:pos="1477"/>
              </w:tabs>
              <w:spacing w:before="53" w:after="30" w:line="240" w:lineRule="auto"/>
              <w:jc w:val="right"/>
            </w:pPr>
            <w:r>
              <w:rPr>
                <w:rFonts w:ascii="Arial" w:eastAsia="Arial" w:hAnsi="Arial" w:cs="Arial"/>
                <w:b/>
                <w:i w:val="0"/>
                <w:color w:val="000000"/>
                <w:sz w:val="16"/>
                <w:u w:val="none"/>
              </w:rPr>
              <w:t>$</w:t>
              <w:tab/>
              <w:t>1,102</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1485" w:type="dxa"/>
            <w:tcBorders>
              <w:top w:val="nil"/>
              <w:left w:val="nil"/>
              <w:bottom w:val="nil"/>
              <w:right w:val="nil"/>
            </w:tcBorders>
            <w:tcMar>
              <w:top w:w="0" w:type="dxa"/>
              <w:left w:w="0" w:type="dxa"/>
              <w:bottom w:w="0" w:type="dxa"/>
              <w:right w:w="15" w:type="dxa"/>
            </w:tcMar>
            <w:vAlign w:val="bottom"/>
          </w:tcPr>
          <w:p>
            <w:pPr>
              <w:keepNext/>
              <w:pageBreakBefore w:val="0"/>
              <w:tabs>
                <w:tab w:val="left" w:pos="966"/>
                <w:tab w:val="left" w:pos="1417"/>
              </w:tabs>
              <w:spacing w:before="53" w:after="30" w:line="240" w:lineRule="auto"/>
              <w:jc w:val="right"/>
            </w:pPr>
            <w:r>
              <w:rPr>
                <w:rFonts w:ascii="Arial" w:eastAsia="Arial" w:hAnsi="Arial" w:cs="Arial"/>
                <w:b/>
                <w:i w:val="0"/>
                <w:color w:val="000000"/>
                <w:sz w:val="16"/>
                <w:u w:val="none"/>
              </w:rPr>
              <w:t>$</w:t>
              <w:tab/>
              <w:t>5,873</w:t>
              <w:tab/>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1425" w:type="dxa"/>
            <w:tcBorders>
              <w:top w:val="nil"/>
              <w:left w:val="nil"/>
              <w:bottom w:val="nil"/>
              <w:right w:val="nil"/>
            </w:tcBorders>
            <w:tcMar>
              <w:top w:w="0" w:type="dxa"/>
              <w:left w:w="0" w:type="dxa"/>
              <w:bottom w:w="0" w:type="dxa"/>
              <w:right w:w="15" w:type="dxa"/>
            </w:tcMar>
            <w:vAlign w:val="bottom"/>
          </w:tcPr>
          <w:p>
            <w:pPr>
              <w:keepNext/>
              <w:pageBreakBefore w:val="0"/>
              <w:tabs>
                <w:tab w:val="left" w:pos="1"/>
                <w:tab w:val="left" w:pos="367"/>
              </w:tabs>
              <w:spacing w:before="53" w:after="30" w:line="240" w:lineRule="auto"/>
              <w:jc w:val="right"/>
            </w:pPr>
            <w:r>
              <w:rPr>
                <w:rFonts w:ascii="Arial" w:eastAsia="Arial" w:hAnsi="Arial" w:cs="Arial"/>
                <w:b/>
                <w:i w:val="0"/>
                <w:color w:val="000000"/>
                <w:sz w:val="16"/>
                <w:u w:val="none"/>
              </w:rPr>
              <w:tab/>
              <w:t>18.8</w:t>
              <w:tab/>
              <w:t>%</w:t>
            </w:r>
          </w:p>
        </w:tc>
      </w:tr>
      <w:tr>
        <w:tblPrEx>
          <w:tblW w:w="9840" w:type="dxa"/>
          <w:jc w:val="left"/>
          <w:tblInd w:w="0" w:type="dxa"/>
          <w:tblLayout w:type="fixed"/>
          <w:tblCellMar>
            <w:left w:w="108" w:type="dxa"/>
            <w:right w:w="108" w:type="dxa"/>
          </w:tblCellMar>
        </w:tblPrEx>
        <w:trPr>
          <w:cantSplit/>
          <w:trHeight w:hRule="exact" w:val="405"/>
          <w:jc w:val="left"/>
        </w:trPr>
        <w:tc>
          <w:tcPr>
            <w:tcW w:w="52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val="0"/>
                <w:i w:val="0"/>
                <w:color w:val="000000"/>
                <w:sz w:val="16"/>
                <w:u w:val="none"/>
              </w:rPr>
              <w:t>Adjustment for share repurchases</w:t>
            </w:r>
          </w:p>
        </w:tc>
        <w:tc>
          <w:tcPr>
            <w:tcW w:w="154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1485" w:type="dxa"/>
            <w:tcBorders>
              <w:top w:val="nil"/>
              <w:left w:val="nil"/>
              <w:bottom w:val="nil"/>
              <w:right w:val="nil"/>
            </w:tcBorders>
            <w:tcMar>
              <w:top w:w="0" w:type="dxa"/>
              <w:left w:w="0" w:type="dxa"/>
              <w:bottom w:w="0" w:type="dxa"/>
              <w:right w:w="15" w:type="dxa"/>
            </w:tcMar>
            <w:vAlign w:val="bottom"/>
          </w:tcPr>
          <w:p>
            <w:pPr>
              <w:keepNext/>
              <w:pageBreakBefore w:val="0"/>
              <w:tabs>
                <w:tab w:val="left" w:pos="1026"/>
              </w:tabs>
              <w:spacing w:before="53" w:after="30" w:line="240" w:lineRule="auto"/>
              <w:jc w:val="right"/>
            </w:pPr>
            <w:r>
              <w:rPr>
                <w:rFonts w:ascii="Arial" w:eastAsia="Arial" w:hAnsi="Arial" w:cs="Arial"/>
                <w:b w:val="0"/>
                <w:i w:val="0"/>
                <w:color w:val="000000"/>
                <w:sz w:val="16"/>
                <w:u w:val="none"/>
              </w:rPr>
              <w:tab/>
              <w:t>(283)</w:t>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1425" w:type="dxa"/>
            <w:tcBorders>
              <w:top w:val="nil"/>
              <w:left w:val="nil"/>
              <w:bottom w:val="nil"/>
              <w:right w:val="nil"/>
            </w:tcBorders>
            <w:tcMar>
              <w:top w:w="0" w:type="dxa"/>
              <w:left w:w="53" w:type="dxa"/>
              <w:bottom w:w="0" w:type="dxa"/>
              <w:right w:w="15" w:type="dxa"/>
            </w:tcMar>
            <w:vAlign w:val="bottom"/>
          </w:tcPr>
          <w:p>
            <w:pPr>
              <w:keepNext/>
              <w:pageBreakBefore w:val="0"/>
              <w:spacing w:before="53" w:after="30" w:line="240" w:lineRule="auto"/>
              <w:jc w:val="left"/>
            </w:pPr>
          </w:p>
        </w:tc>
      </w:tr>
      <w:tr>
        <w:tblPrEx>
          <w:tblW w:w="9840" w:type="dxa"/>
          <w:jc w:val="left"/>
          <w:tblInd w:w="0" w:type="dxa"/>
          <w:tblLayout w:type="fixed"/>
          <w:tblCellMar>
            <w:left w:w="108" w:type="dxa"/>
            <w:right w:w="108" w:type="dxa"/>
          </w:tblCellMar>
        </w:tblPrEx>
        <w:trPr>
          <w:cantSplit/>
          <w:trHeight w:hRule="exact" w:val="555"/>
          <w:jc w:val="left"/>
        </w:trPr>
        <w:tc>
          <w:tcPr>
            <w:tcW w:w="5265"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val="0"/>
                <w:i w:val="0"/>
                <w:color w:val="000000"/>
                <w:sz w:val="16"/>
                <w:u w:val="none"/>
              </w:rPr>
              <w:t>Adjustment for impact of adoption of Bermuda Economic Transition Adjustment</w:t>
            </w:r>
          </w:p>
        </w:tc>
        <w:tc>
          <w:tcPr>
            <w:tcW w:w="1545" w:type="dxa"/>
            <w:tcBorders>
              <w:top w:val="nil"/>
              <w:left w:val="nil"/>
              <w:bottom w:val="single" w:sz="8" w:space="0" w:color="000000"/>
              <w:right w:val="nil"/>
            </w:tcBorders>
            <w:tcMar>
              <w:top w:w="0" w:type="dxa"/>
              <w:left w:w="0" w:type="dxa"/>
              <w:bottom w:w="0" w:type="dxa"/>
              <w:right w:w="15" w:type="dxa"/>
            </w:tcMar>
            <w:vAlign w:val="bottom"/>
          </w:tcPr>
          <w:p>
            <w:pPr>
              <w:keepNext/>
              <w:pageBreakBefore w:val="0"/>
              <w:tabs>
                <w:tab w:val="left" w:pos="1086"/>
              </w:tabs>
              <w:spacing w:before="53" w:after="30" w:line="240" w:lineRule="auto"/>
              <w:jc w:val="right"/>
            </w:pPr>
            <w:r>
              <w:rPr>
                <w:rFonts w:ascii="Arial" w:eastAsia="Arial" w:hAnsi="Arial" w:cs="Arial"/>
                <w:b w:val="0"/>
                <w:i w:val="0"/>
                <w:color w:val="000000"/>
                <w:sz w:val="16"/>
                <w:u w:val="none"/>
              </w:rPr>
              <w:tab/>
              <w:t>(205)</w:t>
            </w: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1485" w:type="dxa"/>
            <w:tcBorders>
              <w:top w:val="nil"/>
              <w:left w:val="nil"/>
              <w:bottom w:val="single" w:sz="8" w:space="0" w:color="000000"/>
              <w:right w:val="nil"/>
            </w:tcBorders>
            <w:tcMar>
              <w:top w:w="0" w:type="dxa"/>
              <w:left w:w="53" w:type="dxa"/>
              <w:bottom w:w="0" w:type="dxa"/>
              <w:right w:w="15" w:type="dxa"/>
            </w:tcMar>
            <w:vAlign w:val="bottom"/>
          </w:tcPr>
          <w:p>
            <w:pPr>
              <w:keepNext/>
              <w:pageBreakBefore w:val="0"/>
              <w:spacing w:before="53" w:after="30" w:line="240" w:lineRule="auto"/>
              <w:jc w:val="left"/>
            </w:pPr>
          </w:p>
        </w:tc>
        <w:tc>
          <w:tcPr>
            <w:tcW w:w="60" w:type="dxa"/>
            <w:tcBorders>
              <w:top w:val="nil"/>
              <w:left w:val="nil"/>
              <w:bottom w:val="nil"/>
              <w:right w:val="nil"/>
            </w:tcBorders>
            <w:tcMar>
              <w:top w:w="0" w:type="dxa"/>
              <w:left w:w="47" w:type="dxa"/>
              <w:bottom w:w="0" w:type="dxa"/>
              <w:right w:w="13" w:type="dxa"/>
            </w:tcMar>
            <w:vAlign w:val="bottom"/>
          </w:tcPr>
          <w:p>
            <w:pPr>
              <w:keepNext/>
              <w:pageBreakBefore w:val="0"/>
              <w:spacing w:before="53" w:after="30" w:line="240" w:lineRule="auto"/>
              <w:jc w:val="left"/>
            </w:pPr>
          </w:p>
        </w:tc>
        <w:tc>
          <w:tcPr>
            <w:tcW w:w="1425" w:type="dxa"/>
            <w:tcBorders>
              <w:top w:val="nil"/>
              <w:left w:val="nil"/>
              <w:bottom w:val="single" w:sz="8" w:space="0" w:color="000000"/>
              <w:right w:val="nil"/>
            </w:tcBorders>
            <w:tcMar>
              <w:top w:w="0" w:type="dxa"/>
              <w:left w:w="53" w:type="dxa"/>
              <w:bottom w:w="0" w:type="dxa"/>
              <w:right w:w="15" w:type="dxa"/>
            </w:tcMar>
            <w:vAlign w:val="bottom"/>
          </w:tcPr>
          <w:p>
            <w:pPr>
              <w:keepNext/>
              <w:pageBreakBefore w:val="0"/>
              <w:spacing w:before="53" w:after="30" w:line="240" w:lineRule="auto"/>
              <w:jc w:val="left"/>
            </w:pPr>
          </w:p>
        </w:tc>
      </w:tr>
      <w:tr>
        <w:tblPrEx>
          <w:tblW w:w="9840" w:type="dxa"/>
          <w:jc w:val="left"/>
          <w:tblInd w:w="0" w:type="dxa"/>
          <w:tblLayout w:type="fixed"/>
          <w:tblCellMar>
            <w:left w:w="108" w:type="dxa"/>
            <w:right w:w="108" w:type="dxa"/>
          </w:tblCellMar>
        </w:tblPrEx>
        <w:trPr>
          <w:cantSplit/>
          <w:trHeight w:hRule="exact" w:val="720"/>
          <w:jc w:val="left"/>
        </w:trPr>
        <w:tc>
          <w:tcPr>
            <w:tcW w:w="5265" w:type="dxa"/>
            <w:tcBorders>
              <w:top w:val="nil"/>
              <w:left w:val="nil"/>
              <w:bottom w:val="nil"/>
              <w:right w:val="nil"/>
            </w:tcBorders>
            <w:tcMar>
              <w:top w:w="0" w:type="dxa"/>
              <w:left w:w="53" w:type="dxa"/>
              <w:bottom w:w="0" w:type="dxa"/>
              <w:right w:w="53" w:type="dxa"/>
            </w:tcMar>
            <w:vAlign w:val="bottom"/>
          </w:tcPr>
          <w:p>
            <w:pPr>
              <w:pageBreakBefore w:val="0"/>
              <w:spacing w:before="33" w:after="30" w:line="240" w:lineRule="auto"/>
              <w:jc w:val="left"/>
            </w:pPr>
            <w:r>
              <w:rPr>
                <w:rFonts w:ascii="Arial" w:eastAsia="Arial" w:hAnsi="Arial" w:cs="Arial"/>
                <w:b/>
                <w:i w:val="0"/>
                <w:color w:val="000000"/>
                <w:sz w:val="16"/>
                <w:u w:val="none"/>
              </w:rPr>
              <w:t>Adjusted net income (loss)/Adjusted opening equity/Adjusted ROE* for Assessing Financial Performance Levels</w:t>
            </w:r>
          </w:p>
        </w:tc>
        <w:tc>
          <w:tcPr>
            <w:tcW w:w="1545" w:type="dxa"/>
            <w:tcBorders>
              <w:top w:val="single" w:sz="8" w:space="0" w:color="000000"/>
              <w:left w:val="nil"/>
              <w:bottom w:val="double" w:sz="8" w:space="0" w:color="000000"/>
              <w:right w:val="nil"/>
            </w:tcBorders>
            <w:tcMar>
              <w:top w:w="0" w:type="dxa"/>
              <w:left w:w="0" w:type="dxa"/>
              <w:bottom w:w="0" w:type="dxa"/>
              <w:right w:w="15" w:type="dxa"/>
            </w:tcMar>
            <w:vAlign w:val="bottom"/>
          </w:tcPr>
          <w:p>
            <w:pPr>
              <w:pageBreakBefore w:val="0"/>
              <w:tabs>
                <w:tab w:val="left" w:pos="1159"/>
                <w:tab w:val="left" w:pos="1477"/>
              </w:tabs>
              <w:spacing w:before="33" w:after="30" w:line="240" w:lineRule="auto"/>
              <w:jc w:val="right"/>
            </w:pPr>
            <w:r>
              <w:rPr>
                <w:rFonts w:ascii="Arial" w:eastAsia="Arial" w:hAnsi="Arial" w:cs="Arial"/>
                <w:b/>
                <w:i w:val="0"/>
                <w:color w:val="000000"/>
                <w:sz w:val="16"/>
                <w:u w:val="none"/>
              </w:rPr>
              <w:t>$</w:t>
              <w:tab/>
              <w:t>897</w:t>
              <w:tab/>
            </w:r>
          </w:p>
        </w:tc>
        <w:tc>
          <w:tcPr>
            <w:tcW w:w="60" w:type="dxa"/>
            <w:tcBorders>
              <w:top w:val="nil"/>
              <w:left w:val="nil"/>
              <w:bottom w:val="nil"/>
              <w:right w:val="nil"/>
            </w:tcBorders>
            <w:tcMar>
              <w:top w:w="0" w:type="dxa"/>
              <w:left w:w="47" w:type="dxa"/>
              <w:bottom w:w="0" w:type="dxa"/>
              <w:right w:w="13" w:type="dxa"/>
            </w:tcMar>
            <w:vAlign w:val="bottom"/>
          </w:tcPr>
          <w:p>
            <w:pPr>
              <w:pageBreakBefore w:val="0"/>
              <w:spacing w:before="33" w:after="30" w:line="240" w:lineRule="auto"/>
              <w:jc w:val="left"/>
            </w:pPr>
          </w:p>
        </w:tc>
        <w:tc>
          <w:tcPr>
            <w:tcW w:w="1485" w:type="dxa"/>
            <w:tcBorders>
              <w:top w:val="single" w:sz="8" w:space="0" w:color="000000"/>
              <w:left w:val="nil"/>
              <w:bottom w:val="double" w:sz="8" w:space="0" w:color="000000"/>
              <w:right w:val="nil"/>
            </w:tcBorders>
            <w:tcMar>
              <w:top w:w="0" w:type="dxa"/>
              <w:left w:w="0" w:type="dxa"/>
              <w:bottom w:w="0" w:type="dxa"/>
              <w:right w:w="15" w:type="dxa"/>
            </w:tcMar>
            <w:vAlign w:val="bottom"/>
          </w:tcPr>
          <w:p>
            <w:pPr>
              <w:pageBreakBefore w:val="0"/>
              <w:tabs>
                <w:tab w:val="left" w:pos="966"/>
                <w:tab w:val="left" w:pos="1417"/>
              </w:tabs>
              <w:spacing w:before="33" w:after="30" w:line="240" w:lineRule="auto"/>
              <w:jc w:val="right"/>
            </w:pPr>
            <w:r>
              <w:rPr>
                <w:rFonts w:ascii="Arial" w:eastAsia="Arial" w:hAnsi="Arial" w:cs="Arial"/>
                <w:b/>
                <w:i w:val="0"/>
                <w:color w:val="000000"/>
                <w:sz w:val="16"/>
                <w:u w:val="none"/>
              </w:rPr>
              <w:t>$</w:t>
              <w:tab/>
              <w:t>5,590</w:t>
              <w:tab/>
            </w:r>
          </w:p>
        </w:tc>
        <w:tc>
          <w:tcPr>
            <w:tcW w:w="60" w:type="dxa"/>
            <w:tcBorders>
              <w:top w:val="nil"/>
              <w:left w:val="nil"/>
              <w:bottom w:val="nil"/>
              <w:right w:val="nil"/>
            </w:tcBorders>
            <w:tcMar>
              <w:top w:w="0" w:type="dxa"/>
              <w:left w:w="30" w:type="dxa"/>
              <w:bottom w:w="0" w:type="dxa"/>
              <w:right w:w="30" w:type="dxa"/>
            </w:tcMar>
            <w:vAlign w:val="bottom"/>
          </w:tcPr>
          <w:p>
            <w:pPr>
              <w:pageBreakBefore w:val="0"/>
              <w:spacing w:before="33" w:after="30" w:line="240" w:lineRule="auto"/>
              <w:jc w:val="left"/>
            </w:pPr>
          </w:p>
        </w:tc>
        <w:tc>
          <w:tcPr>
            <w:tcW w:w="1425" w:type="dxa"/>
            <w:tcBorders>
              <w:top w:val="single" w:sz="8" w:space="0" w:color="000000"/>
              <w:left w:val="nil"/>
              <w:bottom w:val="double" w:sz="8" w:space="0" w:color="000000"/>
              <w:right w:val="nil"/>
            </w:tcBorders>
            <w:tcMar>
              <w:top w:w="0" w:type="dxa"/>
              <w:left w:w="0" w:type="dxa"/>
              <w:bottom w:w="0" w:type="dxa"/>
              <w:right w:w="15" w:type="dxa"/>
            </w:tcMar>
            <w:vAlign w:val="bottom"/>
          </w:tcPr>
          <w:p>
            <w:pPr>
              <w:pageBreakBefore w:val="0"/>
              <w:tabs>
                <w:tab w:val="left" w:pos="1"/>
                <w:tab w:val="left" w:pos="367"/>
              </w:tabs>
              <w:spacing w:before="33" w:after="30" w:line="240" w:lineRule="auto"/>
              <w:jc w:val="right"/>
            </w:pPr>
            <w:r>
              <w:rPr>
                <w:rFonts w:ascii="Arial" w:eastAsia="Arial" w:hAnsi="Arial" w:cs="Arial"/>
                <w:b/>
                <w:i w:val="0"/>
                <w:color w:val="000000"/>
                <w:sz w:val="16"/>
                <w:u w:val="none"/>
              </w:rPr>
              <w:tab/>
              <w:t>16.0</w:t>
              <w:tab/>
              <w:t>%</w:t>
            </w:r>
          </w:p>
        </w:tc>
      </w:tr>
    </w:tbl>
    <w:p>
      <w:pPr>
        <w:keepNext w:val="0"/>
        <w:keepLines w:val="0"/>
        <w:pageBreakBefore w:val="0"/>
        <w:widowControl/>
        <w:numPr>
          <w:ilvl w:val="0"/>
          <w:numId w:val="0"/>
        </w:numPr>
        <w:spacing w:before="60" w:after="60" w:line="288" w:lineRule="auto"/>
        <w:ind w:left="180" w:right="0" w:hanging="180"/>
        <w:jc w:val="both"/>
        <w:outlineLvl w:val="9"/>
        <w:rPr>
          <w:rFonts w:ascii="Arial" w:eastAsia="Arial" w:hAnsi="Arial" w:cs="Arial"/>
          <w:b w:val="0"/>
          <w:i w:val="0"/>
          <w:sz w:val="16"/>
        </w:rPr>
      </w:pPr>
      <w:r>
        <w:rPr>
          <w:rFonts w:ascii="Arial" w:eastAsia="Arial" w:hAnsi="Arial" w:cs="Arial"/>
          <w:b w:val="0"/>
          <w:i w:val="0"/>
          <w:sz w:val="16"/>
          <w:vertAlign w:val="superscript"/>
        </w:rPr>
        <w:t>(1)</w:t>
      </w:r>
      <w:r>
        <w:rPr>
          <w:rFonts w:ascii="Arial" w:eastAsia="Arial" w:hAnsi="Arial" w:cs="Arial"/>
          <w:b w:val="0"/>
          <w:i w:val="0"/>
          <w:sz w:val="16"/>
        </w:rPr>
        <w:t xml:space="preserve"> Net income (loss) comprises net income (loss) attributable to Enstar ordinary shareholders, prior to any non-GAAP adjustments. Opening equity comprises Enstar ordinary shareholders' equity, which is calculated as opening Enstar shareholders' equity less preferred shares ($510 million</w:t>
      </w:r>
      <w:r>
        <w:rPr>
          <w:rFonts w:ascii="Arial" w:eastAsia="Arial" w:hAnsi="Arial" w:cs="Arial"/>
          <w:b w:val="0"/>
          <w:i w:val="0"/>
          <w:sz w:val="16"/>
        </w:rPr>
        <w:t>), prior to any non-GAAP adjustments.</w:t>
      </w:r>
    </w:p>
    <w:p>
      <w:pPr>
        <w:keepNext w:val="0"/>
        <w:keepLines w:val="0"/>
        <w:pageBreakBefore w:val="0"/>
        <w:widowControl/>
        <w:numPr>
          <w:ilvl w:val="0"/>
          <w:numId w:val="0"/>
        </w:numPr>
        <w:spacing w:before="0" w:after="60" w:line="288" w:lineRule="auto"/>
        <w:ind w:left="360" w:right="0" w:hanging="360"/>
        <w:jc w:val="both"/>
        <w:outlineLvl w:val="9"/>
        <w:rPr>
          <w:rFonts w:ascii="Arial" w:eastAsia="Arial" w:hAnsi="Arial" w:cs="Arial"/>
          <w:b w:val="0"/>
          <w:i w:val="0"/>
          <w:color w:val="969698"/>
          <w:sz w:val="16"/>
          <w:u w:val="none"/>
        </w:rPr>
      </w:pPr>
    </w:p>
    <w:p>
      <w:pPr>
        <w:keepNext w:val="0"/>
        <w:keepLines w:val="0"/>
        <w:pageBreakBefore w:val="0"/>
        <w:widowControl/>
        <w:numPr>
          <w:ilvl w:val="0"/>
          <w:numId w:val="0"/>
        </w:numPr>
        <w:spacing w:before="0" w:after="60" w:line="288" w:lineRule="auto"/>
        <w:ind w:left="0" w:right="0" w:firstLine="0"/>
        <w:jc w:val="both"/>
        <w:outlineLvl w:val="9"/>
        <w:rPr>
          <w:rFonts w:ascii="Arial" w:eastAsia="Arial" w:hAnsi="Arial" w:cs="Arial"/>
          <w:b/>
          <w:i w:val="0"/>
          <w:sz w:val="18"/>
        </w:rPr>
      </w:pPr>
      <w:r>
        <w:rPr>
          <w:rFonts w:ascii="Arial" w:eastAsia="Arial" w:hAnsi="Arial" w:cs="Arial"/>
          <w:b w:val="0"/>
          <w:i w:val="0"/>
          <w:sz w:val="20"/>
        </w:rPr>
        <w:t>*</w:t>
      </w:r>
      <w:r>
        <w:rPr>
          <w:rFonts w:ascii="Arial" w:eastAsia="Arial" w:hAnsi="Arial" w:cs="Arial"/>
          <w:b w:val="0"/>
          <w:i w:val="0"/>
          <w:sz w:val="16"/>
        </w:rPr>
        <w:t>Non-GAAP measure.</w:t>
      </w:r>
    </w:p>
    <w:p>
      <w:pPr>
        <w:keepNext w:val="0"/>
        <w:keepLines w:val="0"/>
        <w:pageBreakBefore w:val="0"/>
        <w:widowControl/>
        <w:numPr>
          <w:ilvl w:val="0"/>
          <w:numId w:val="0"/>
        </w:numPr>
        <w:spacing w:before="0" w:after="60" w:line="288" w:lineRule="auto"/>
        <w:ind w:left="0" w:right="0" w:firstLine="0"/>
        <w:jc w:val="both"/>
        <w:outlineLvl w:val="9"/>
        <w:rPr>
          <w:rFonts w:ascii="Arial" w:eastAsia="Arial" w:hAnsi="Arial" w:cs="Arial"/>
          <w:b w:val="0"/>
          <w:i w:val="0"/>
          <w:sz w:val="16"/>
        </w:rPr>
        <w:sectPr>
          <w:headerReference w:type="default" r:id="rId416"/>
          <w:footerReference w:type="default" r:id="rId417"/>
          <w:pgSz w:w="12240" w:h="15840"/>
          <w:pgMar w:top="855" w:right="990" w:bottom="855" w:left="1080" w:header="0" w:footer="270"/>
          <w:pgNumType w:start="1"/>
          <w:cols w:space="708"/>
        </w:sectPr>
      </w:pPr>
    </w:p>
    <w:tbl>
      <w:tblPr>
        <w:tblW w:w="10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4207"/>
        <w:gridCol w:w="96"/>
        <w:gridCol w:w="6482"/>
      </w:tblGrid>
      <w:tr>
        <w:tblPrEx>
          <w:tblW w:w="10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5055"/>
          <w:jc w:val="center"/>
        </w:trPr>
        <w:tc>
          <w:tcPr>
            <w:tcW w:w="4215" w:type="dxa"/>
            <w:tcBorders>
              <w:top w:val="nil"/>
              <w:left w:val="nil"/>
              <w:bottom w:val="nil"/>
              <w:right w:val="nil"/>
            </w:tcBorders>
            <w:tcMar>
              <w:top w:w="0" w:type="dxa"/>
              <w:left w:w="53" w:type="dxa"/>
              <w:bottom w:w="0" w:type="dxa"/>
              <w:right w:w="53" w:type="dxa"/>
            </w:tcMar>
            <w:vAlign w:val="top"/>
          </w:tcPr>
          <w:p>
            <w:pPr>
              <w:pageBreakBefore w:val="0"/>
              <w:spacing w:before="53" w:line="240" w:lineRule="auto"/>
              <w:jc w:val="left"/>
            </w:pPr>
          </w:p>
          <w:p>
            <w:pPr>
              <w:spacing w:line="240" w:lineRule="auto"/>
              <w:jc w:val="left"/>
            </w:pPr>
          </w:p>
          <w:p>
            <w:pPr>
              <w:spacing w:line="240" w:lineRule="auto"/>
              <w:jc w:val="left"/>
            </w:pPr>
          </w:p>
          <w:p>
            <w:pPr>
              <w:spacing w:line="240" w:lineRule="auto"/>
              <w:jc w:val="left"/>
            </w:pPr>
          </w:p>
          <w:p>
            <w:pPr>
              <w:spacing w:line="240" w:lineRule="auto"/>
              <w:jc w:val="left"/>
            </w:pPr>
            <w:r>
              <w:rPr>
                <w:rFonts w:ascii="Arial" w:eastAsia="Arial" w:hAnsi="Arial" w:cs="Arial"/>
                <w:b/>
                <w:i/>
                <w:color w:val="000000"/>
                <w:sz w:val="16"/>
                <w:u w:val="none"/>
              </w:rPr>
              <w:t>ENSTAR GROUP LIMITED</w:t>
            </w:r>
          </w:p>
          <w:p>
            <w:pPr>
              <w:spacing w:line="240" w:lineRule="auto"/>
              <w:jc w:val="left"/>
            </w:pPr>
            <w:r>
              <w:rPr>
                <w:rFonts w:ascii="Arial" w:eastAsia="Arial" w:hAnsi="Arial" w:cs="Arial"/>
                <w:b/>
                <w:i/>
                <w:color w:val="000000"/>
                <w:sz w:val="16"/>
                <w:u w:val="none"/>
              </w:rPr>
              <w:t>150 2ND AVENUE N</w:t>
            </w:r>
          </w:p>
          <w:p>
            <w:pPr>
              <w:spacing w:after="30" w:line="240" w:lineRule="auto"/>
              <w:jc w:val="left"/>
            </w:pPr>
            <w:r>
              <w:rPr>
                <w:rFonts w:ascii="Arial" w:eastAsia="Arial" w:hAnsi="Arial" w:cs="Arial"/>
                <w:b/>
                <w:i/>
                <w:color w:val="000000"/>
                <w:sz w:val="16"/>
                <w:u w:val="none"/>
              </w:rPr>
              <w:t>ST. PETERSBURG, FL 33701</w:t>
            </w:r>
          </w:p>
        </w:tc>
        <w:tc>
          <w:tcPr>
            <w:tcW w:w="75" w:type="dxa"/>
            <w:tcBorders>
              <w:top w:val="nil"/>
              <w:left w:val="nil"/>
              <w:bottom w:val="nil"/>
              <w:right w:val="nil"/>
            </w:tcBorders>
            <w:tcMar>
              <w:top w:w="0" w:type="dxa"/>
              <w:left w:w="38" w:type="dxa"/>
              <w:bottom w:w="0" w:type="dxa"/>
              <w:right w:w="38" w:type="dxa"/>
            </w:tcMar>
            <w:vAlign w:val="bottom"/>
          </w:tcPr>
          <w:p>
            <w:pPr>
              <w:pageBreakBefore w:val="0"/>
              <w:spacing w:before="53" w:after="30" w:line="240" w:lineRule="auto"/>
              <w:jc w:val="left"/>
            </w:pPr>
            <w:r>
              <w:rPr>
                <w:rFonts w:ascii="Arial" w:eastAsia="Arial" w:hAnsi="Arial" w:cs="Arial"/>
                <w:b w:val="0"/>
                <w:i w:val="0"/>
                <w:color w:val="000000"/>
                <w:sz w:val="16"/>
                <w:u w:val="none"/>
              </w:rPr>
              <w:t>  </w:t>
            </w:r>
          </w:p>
        </w:tc>
        <w:tc>
          <w:tcPr>
            <w:tcW w:w="6495" w:type="dxa"/>
            <w:tcBorders>
              <w:top w:val="nil"/>
              <w:left w:val="nil"/>
              <w:bottom w:val="nil"/>
              <w:right w:val="nil"/>
            </w:tcBorders>
            <w:tcMar>
              <w:top w:w="0" w:type="dxa"/>
              <w:left w:w="53" w:type="dxa"/>
              <w:bottom w:w="0" w:type="dxa"/>
              <w:right w:w="53" w:type="dxa"/>
            </w:tcMar>
            <w:vAlign w:val="top"/>
          </w:tcPr>
          <w:p>
            <w:pPr>
              <w:pageBreakBefore w:val="0"/>
              <w:numPr>
                <w:ilvl w:val="0"/>
                <w:numId w:val="0"/>
              </w:numPr>
              <w:spacing w:before="53" w:after="0" w:line="240" w:lineRule="auto"/>
              <w:ind w:left="0" w:right="0" w:firstLine="0"/>
              <w:jc w:val="both"/>
              <w:outlineLvl w:val="0"/>
              <w:rPr>
                <w:rFonts w:ascii="Arial" w:eastAsia="Arial" w:hAnsi="Arial" w:cs="Arial"/>
                <w:b/>
                <w:i w:val="0"/>
                <w:sz w:val="16"/>
              </w:rPr>
            </w:pPr>
            <w:r>
              <w:rPr>
                <w:rFonts w:ascii="Arial" w:eastAsia="Arial" w:hAnsi="Arial" w:cs="Arial"/>
                <w:b/>
                <w:i w:val="0"/>
                <w:sz w:val="16"/>
              </w:rPr>
              <w:t xml:space="preserve">VOTE BY INTERNET - </w:t>
            </w:r>
            <w:r>
              <w:rPr>
                <w:rFonts w:ascii="Arial" w:eastAsia="Arial" w:hAnsi="Arial" w:cs="Arial"/>
                <w:b/>
                <w:i w:val="0"/>
                <w:color w:val="211D1E"/>
                <w:sz w:val="16"/>
                <w:u w:val="single"/>
              </w:rPr>
              <w:t>www.proxyvote.com</w:t>
            </w:r>
          </w:p>
          <w:p>
            <w:pPr>
              <w:pageBreakBefore w:val="0"/>
              <w:numPr>
                <w:ilvl w:val="0"/>
                <w:numId w:val="0"/>
              </w:numPr>
              <w:spacing w:before="0" w:after="0" w:line="240" w:lineRule="auto"/>
              <w:ind w:left="0" w:right="0" w:firstLine="0"/>
              <w:jc w:val="both"/>
              <w:outlineLvl w:val="9"/>
              <w:rPr>
                <w:rFonts w:ascii="Arial" w:eastAsia="Arial" w:hAnsi="Arial" w:cs="Arial"/>
                <w:b w:val="0"/>
                <w:i w:val="0"/>
                <w:sz w:val="16"/>
              </w:rPr>
            </w:pPr>
          </w:p>
          <w:p>
            <w:pPr>
              <w:pageBreakBefore w:val="0"/>
              <w:numPr>
                <w:ilvl w:val="0"/>
                <w:numId w:val="0"/>
              </w:numPr>
              <w:spacing w:before="0" w:after="0" w:line="240" w:lineRule="auto"/>
              <w:ind w:left="0" w:right="0" w:firstLine="0"/>
              <w:jc w:val="both"/>
              <w:outlineLvl w:val="9"/>
              <w:rPr>
                <w:rFonts w:ascii="Arial" w:eastAsia="Arial" w:hAnsi="Arial" w:cs="Arial"/>
                <w:b w:val="0"/>
                <w:i w:val="0"/>
                <w:sz w:val="16"/>
              </w:rPr>
            </w:pPr>
            <w:r>
              <w:rPr>
                <w:rFonts w:ascii="Arial" w:eastAsia="Arial" w:hAnsi="Arial" w:cs="Arial"/>
                <w:b w:val="0"/>
                <w:i w:val="0"/>
                <w:sz w:val="16"/>
              </w:rPr>
              <w:t xml:space="preserve">Use the Internet to transmit your voting instructions and for electronic delivery of information up until 11:59 p.m. Eastern Time on </w:t>
            </w:r>
            <w:r>
              <w:rPr>
                <w:rFonts w:ascii="Arial" w:eastAsia="Arial" w:hAnsi="Arial" w:cs="Arial"/>
                <w:b w:val="0"/>
                <w:i w:val="0"/>
                <w:sz w:val="16"/>
              </w:rPr>
              <w:t>June</w:t>
            </w:r>
            <w:r>
              <w:rPr>
                <w:rFonts w:ascii="Arial" w:eastAsia="Arial" w:hAnsi="Arial" w:cs="Arial"/>
                <w:b w:val="0"/>
                <w:i w:val="0"/>
                <w:sz w:val="16"/>
              </w:rPr>
              <w:t xml:space="preserve"> 5</w:t>
            </w:r>
            <w:r>
              <w:rPr>
                <w:rFonts w:ascii="Arial" w:eastAsia="Arial" w:hAnsi="Arial" w:cs="Arial"/>
                <w:b w:val="0"/>
                <w:i w:val="0"/>
                <w:sz w:val="16"/>
              </w:rPr>
              <w:t>, 202</w:t>
            </w:r>
            <w:r>
              <w:rPr>
                <w:rFonts w:ascii="Arial" w:eastAsia="Arial" w:hAnsi="Arial" w:cs="Arial"/>
                <w:b w:val="0"/>
                <w:i w:val="0"/>
                <w:sz w:val="16"/>
              </w:rPr>
              <w:t>4</w:t>
            </w:r>
            <w:r>
              <w:rPr>
                <w:rFonts w:ascii="Arial" w:eastAsia="Arial" w:hAnsi="Arial" w:cs="Arial"/>
                <w:b w:val="0"/>
                <w:i w:val="0"/>
                <w:sz w:val="16"/>
              </w:rPr>
              <w:t xml:space="preserve"> for shares held directly and by 11:59 p.m. Eastern Time on </w:t>
            </w:r>
            <w:r>
              <w:rPr>
                <w:rFonts w:ascii="Arial" w:eastAsia="Arial" w:hAnsi="Arial" w:cs="Arial"/>
                <w:b w:val="0"/>
                <w:i w:val="0"/>
                <w:sz w:val="16"/>
              </w:rPr>
              <w:t>June 3</w:t>
            </w:r>
            <w:r>
              <w:rPr>
                <w:rFonts w:ascii="Arial" w:eastAsia="Arial" w:hAnsi="Arial" w:cs="Arial"/>
                <w:b w:val="0"/>
                <w:i w:val="0"/>
                <w:sz w:val="16"/>
              </w:rPr>
              <w:t>, 202</w:t>
            </w:r>
            <w:r>
              <w:rPr>
                <w:rFonts w:ascii="Arial" w:eastAsia="Arial" w:hAnsi="Arial" w:cs="Arial"/>
                <w:b w:val="0"/>
                <w:i w:val="0"/>
                <w:sz w:val="16"/>
              </w:rPr>
              <w:t>4</w:t>
            </w:r>
            <w:r>
              <w:rPr>
                <w:rFonts w:ascii="Arial" w:eastAsia="Arial" w:hAnsi="Arial" w:cs="Arial"/>
                <w:b w:val="0"/>
                <w:i w:val="0"/>
                <w:sz w:val="16"/>
              </w:rPr>
              <w:t xml:space="preserve"> for shares held in a Plan. Have your proxy card in hand when you access the web site and follow the instructions to obtain your records and to create an electronic voting instruction form.</w:t>
            </w:r>
          </w:p>
          <w:p>
            <w:pPr>
              <w:pageBreakBefore w:val="0"/>
              <w:numPr>
                <w:ilvl w:val="0"/>
                <w:numId w:val="0"/>
              </w:numPr>
              <w:spacing w:before="0" w:after="0" w:line="240" w:lineRule="auto"/>
              <w:ind w:left="0" w:right="0" w:firstLine="0"/>
              <w:jc w:val="both"/>
              <w:outlineLvl w:val="9"/>
              <w:rPr>
                <w:rFonts w:ascii="Arial" w:eastAsia="Arial" w:hAnsi="Arial" w:cs="Arial"/>
                <w:b w:val="0"/>
                <w:i w:val="0"/>
                <w:sz w:val="16"/>
              </w:rPr>
            </w:pPr>
          </w:p>
          <w:p>
            <w:pPr>
              <w:pageBreakBefore w:val="0"/>
              <w:numPr>
                <w:ilvl w:val="0"/>
                <w:numId w:val="0"/>
              </w:numPr>
              <w:spacing w:before="0" w:after="0" w:line="240" w:lineRule="auto"/>
              <w:ind w:left="0" w:right="0" w:firstLine="0"/>
              <w:jc w:val="both"/>
              <w:outlineLvl w:val="9"/>
              <w:rPr>
                <w:rFonts w:ascii="Arial" w:eastAsia="Arial" w:hAnsi="Arial" w:cs="Arial"/>
                <w:b/>
                <w:i w:val="0"/>
                <w:sz w:val="16"/>
              </w:rPr>
            </w:pPr>
            <w:r>
              <w:rPr>
                <w:rFonts w:ascii="Arial" w:eastAsia="Arial" w:hAnsi="Arial" w:cs="Arial"/>
                <w:b w:val="0"/>
                <w:i/>
                <w:sz w:val="16"/>
              </w:rPr>
              <w:t>During the Meeting</w:t>
            </w:r>
            <w:r>
              <w:rPr>
                <w:rFonts w:ascii="Arial" w:eastAsia="Arial" w:hAnsi="Arial" w:cs="Arial"/>
                <w:b w:val="0"/>
                <w:i w:val="0"/>
                <w:sz w:val="16"/>
              </w:rPr>
              <w:t xml:space="preserve"> - Go to</w:t>
            </w:r>
            <w:r>
              <w:rPr>
                <w:rFonts w:ascii="Arial" w:eastAsia="Arial" w:hAnsi="Arial" w:cs="Arial"/>
                <w:b/>
                <w:i w:val="0"/>
                <w:sz w:val="16"/>
              </w:rPr>
              <w:t xml:space="preserve"> </w:t>
            </w:r>
            <w:r>
              <w:rPr>
                <w:rFonts w:ascii="Arial" w:eastAsia="Arial" w:hAnsi="Arial" w:cs="Arial"/>
                <w:b/>
                <w:i w:val="0"/>
                <w:color w:val="000000"/>
                <w:sz w:val="16"/>
                <w:u w:val="single"/>
              </w:rPr>
              <w:t>www.virtualshareholdermeeting.com/ESGR202</w:t>
            </w:r>
            <w:r>
              <w:rPr>
                <w:rFonts w:ascii="Arial" w:eastAsia="Arial" w:hAnsi="Arial" w:cs="Arial"/>
                <w:b/>
                <w:i w:val="0"/>
                <w:color w:val="000000"/>
                <w:sz w:val="16"/>
                <w:u w:val="single"/>
              </w:rPr>
              <w:t>4</w:t>
            </w:r>
          </w:p>
          <w:p>
            <w:pPr>
              <w:pageBreakBefore w:val="0"/>
              <w:numPr>
                <w:ilvl w:val="0"/>
                <w:numId w:val="0"/>
              </w:numPr>
              <w:spacing w:before="0" w:after="0" w:line="240" w:lineRule="auto"/>
              <w:ind w:left="0" w:right="0" w:firstLine="0"/>
              <w:jc w:val="both"/>
              <w:outlineLvl w:val="9"/>
              <w:rPr>
                <w:rFonts w:ascii="Arial" w:eastAsia="Arial" w:hAnsi="Arial" w:cs="Arial"/>
                <w:b w:val="0"/>
                <w:i w:val="0"/>
                <w:sz w:val="16"/>
              </w:rPr>
            </w:pPr>
          </w:p>
          <w:p>
            <w:pPr>
              <w:pageBreakBefore w:val="0"/>
              <w:numPr>
                <w:ilvl w:val="0"/>
                <w:numId w:val="0"/>
              </w:numPr>
              <w:spacing w:before="0" w:after="0" w:line="240" w:lineRule="auto"/>
              <w:ind w:left="0" w:right="0" w:firstLine="0"/>
              <w:jc w:val="both"/>
              <w:outlineLvl w:val="9"/>
              <w:rPr>
                <w:rFonts w:ascii="Arial" w:eastAsia="Arial" w:hAnsi="Arial" w:cs="Arial"/>
                <w:b w:val="0"/>
                <w:i w:val="0"/>
                <w:sz w:val="16"/>
              </w:rPr>
            </w:pPr>
            <w:r>
              <w:rPr>
                <w:rFonts w:ascii="Arial" w:eastAsia="Arial" w:hAnsi="Arial" w:cs="Arial"/>
                <w:b w:val="0"/>
                <w:i w:val="0"/>
                <w:sz w:val="16"/>
              </w:rPr>
              <w:t>You may attend the meeting via the Internet and vote during the meeting. Have the information that is printed in the box marked by the arrow available and follow the instructions.</w:t>
            </w:r>
          </w:p>
          <w:p>
            <w:pPr>
              <w:pageBreakBefore w:val="0"/>
              <w:numPr>
                <w:ilvl w:val="0"/>
                <w:numId w:val="0"/>
              </w:numPr>
              <w:spacing w:before="0" w:after="0" w:line="240" w:lineRule="auto"/>
              <w:ind w:left="0" w:right="0" w:firstLine="0"/>
              <w:jc w:val="both"/>
              <w:outlineLvl w:val="9"/>
              <w:rPr>
                <w:rFonts w:ascii="Arial" w:eastAsia="Arial" w:hAnsi="Arial" w:cs="Arial"/>
                <w:b w:val="0"/>
                <w:i w:val="0"/>
                <w:sz w:val="16"/>
              </w:rPr>
            </w:pPr>
          </w:p>
          <w:p>
            <w:pPr>
              <w:pageBreakBefore w:val="0"/>
              <w:numPr>
                <w:ilvl w:val="0"/>
                <w:numId w:val="0"/>
              </w:numPr>
              <w:spacing w:before="0" w:after="0" w:line="240" w:lineRule="auto"/>
              <w:ind w:left="0" w:right="0" w:firstLine="0"/>
              <w:jc w:val="both"/>
              <w:outlineLvl w:val="9"/>
              <w:rPr>
                <w:rFonts w:ascii="Arial" w:eastAsia="Arial" w:hAnsi="Arial" w:cs="Arial"/>
                <w:b/>
                <w:i w:val="0"/>
                <w:sz w:val="16"/>
              </w:rPr>
            </w:pPr>
            <w:r>
              <w:rPr>
                <w:rFonts w:ascii="Arial" w:eastAsia="Arial" w:hAnsi="Arial" w:cs="Arial"/>
                <w:b/>
                <w:i w:val="0"/>
                <w:color w:val="211D1E"/>
                <w:sz w:val="16"/>
                <w:u w:val="none"/>
              </w:rPr>
              <w:t xml:space="preserve">VOTE BY PHONE - 1-800-690-6903 </w:t>
            </w:r>
          </w:p>
          <w:p>
            <w:pPr>
              <w:pageBreakBefore w:val="0"/>
              <w:numPr>
                <w:ilvl w:val="0"/>
                <w:numId w:val="0"/>
              </w:numPr>
              <w:spacing w:before="0" w:after="0" w:line="240" w:lineRule="auto"/>
              <w:ind w:left="0" w:right="0" w:firstLine="0"/>
              <w:jc w:val="both"/>
              <w:outlineLvl w:val="9"/>
              <w:rPr>
                <w:rFonts w:ascii="Arial" w:eastAsia="Arial" w:hAnsi="Arial" w:cs="Arial"/>
                <w:b w:val="0"/>
                <w:i w:val="0"/>
                <w:sz w:val="16"/>
              </w:rPr>
            </w:pPr>
            <w:r>
              <w:rPr>
                <w:rFonts w:ascii="Arial" w:eastAsia="Arial" w:hAnsi="Arial" w:cs="Arial"/>
                <w:b w:val="0"/>
                <w:i w:val="0"/>
                <w:sz w:val="16"/>
              </w:rPr>
              <w:t xml:space="preserve">Use any touch-tone telephone to transmit your voting instructions. Vote by 11:59 p.m. Eastern Time on </w:t>
            </w:r>
            <w:r>
              <w:rPr>
                <w:rFonts w:ascii="Arial" w:eastAsia="Arial" w:hAnsi="Arial" w:cs="Arial"/>
                <w:b w:val="0"/>
                <w:i w:val="0"/>
                <w:sz w:val="16"/>
              </w:rPr>
              <w:t>June 5</w:t>
            </w:r>
            <w:r>
              <w:rPr>
                <w:rFonts w:ascii="Arial" w:eastAsia="Arial" w:hAnsi="Arial" w:cs="Arial"/>
                <w:b w:val="0"/>
                <w:i w:val="0"/>
                <w:sz w:val="16"/>
              </w:rPr>
              <w:t>, 202</w:t>
            </w:r>
            <w:r>
              <w:rPr>
                <w:rFonts w:ascii="Arial" w:eastAsia="Arial" w:hAnsi="Arial" w:cs="Arial"/>
                <w:b w:val="0"/>
                <w:i w:val="0"/>
                <w:sz w:val="16"/>
              </w:rPr>
              <w:t>4</w:t>
            </w:r>
            <w:r>
              <w:rPr>
                <w:rFonts w:ascii="Arial" w:eastAsia="Arial" w:hAnsi="Arial" w:cs="Arial"/>
                <w:b w:val="0"/>
                <w:i w:val="0"/>
                <w:sz w:val="16"/>
              </w:rPr>
              <w:t xml:space="preserve"> for shares held directly and by 11:59 p.m. Eastern Time on </w:t>
            </w:r>
            <w:r>
              <w:rPr>
                <w:rFonts w:ascii="Arial" w:eastAsia="Arial" w:hAnsi="Arial" w:cs="Arial"/>
                <w:b w:val="0"/>
                <w:i w:val="0"/>
                <w:sz w:val="16"/>
              </w:rPr>
              <w:t>June 3</w:t>
            </w:r>
            <w:r>
              <w:rPr>
                <w:rFonts w:ascii="Arial" w:eastAsia="Arial" w:hAnsi="Arial" w:cs="Arial"/>
                <w:b w:val="0"/>
                <w:i w:val="0"/>
                <w:sz w:val="16"/>
              </w:rPr>
              <w:t>, 202</w:t>
            </w:r>
            <w:r>
              <w:rPr>
                <w:rFonts w:ascii="Arial" w:eastAsia="Arial" w:hAnsi="Arial" w:cs="Arial"/>
                <w:b w:val="0"/>
                <w:i w:val="0"/>
                <w:sz w:val="16"/>
              </w:rPr>
              <w:t>4</w:t>
            </w:r>
            <w:r>
              <w:rPr>
                <w:rFonts w:ascii="Arial" w:eastAsia="Arial" w:hAnsi="Arial" w:cs="Arial"/>
                <w:b w:val="0"/>
                <w:i w:val="0"/>
                <w:sz w:val="16"/>
              </w:rPr>
              <w:t xml:space="preserve"> for shares held in a Plan. Have your proxy card in hand when you call and then follow the instructions.</w:t>
            </w:r>
          </w:p>
          <w:p>
            <w:pPr>
              <w:pageBreakBefore w:val="0"/>
              <w:numPr>
                <w:ilvl w:val="0"/>
                <w:numId w:val="0"/>
              </w:numPr>
              <w:spacing w:before="0" w:after="0" w:line="240" w:lineRule="auto"/>
              <w:ind w:left="0" w:right="0" w:firstLine="0"/>
              <w:jc w:val="both"/>
              <w:outlineLvl w:val="9"/>
              <w:rPr>
                <w:rFonts w:ascii="Arial" w:eastAsia="Arial" w:hAnsi="Arial" w:cs="Arial"/>
                <w:b w:val="0"/>
                <w:i w:val="0"/>
                <w:sz w:val="16"/>
              </w:rPr>
            </w:pPr>
          </w:p>
          <w:p>
            <w:pPr>
              <w:pageBreakBefore w:val="0"/>
              <w:numPr>
                <w:ilvl w:val="0"/>
                <w:numId w:val="0"/>
              </w:numPr>
              <w:spacing w:before="0" w:after="0" w:line="240" w:lineRule="auto"/>
              <w:ind w:left="0" w:right="0" w:firstLine="0"/>
              <w:jc w:val="both"/>
              <w:outlineLvl w:val="9"/>
              <w:rPr>
                <w:rFonts w:ascii="Arial" w:eastAsia="Arial" w:hAnsi="Arial" w:cs="Arial"/>
                <w:b/>
                <w:i w:val="0"/>
                <w:sz w:val="16"/>
              </w:rPr>
            </w:pPr>
            <w:r>
              <w:rPr>
                <w:rFonts w:ascii="Arial" w:eastAsia="Arial" w:hAnsi="Arial" w:cs="Arial"/>
                <w:b/>
                <w:i w:val="0"/>
                <w:color w:val="211D1E"/>
                <w:sz w:val="16"/>
                <w:u w:val="none"/>
              </w:rPr>
              <w:t xml:space="preserve">VOTE BY MAIL </w:t>
            </w:r>
          </w:p>
          <w:p>
            <w:pPr>
              <w:pageBreakBefore w:val="0"/>
              <w:numPr>
                <w:ilvl w:val="0"/>
                <w:numId w:val="0"/>
              </w:numPr>
              <w:spacing w:before="0" w:after="30" w:line="240" w:lineRule="auto"/>
              <w:ind w:left="0" w:right="0" w:firstLine="0"/>
              <w:jc w:val="both"/>
              <w:outlineLvl w:val="9"/>
              <w:rPr>
                <w:rFonts w:ascii="Arial" w:eastAsia="Arial" w:hAnsi="Arial" w:cs="Arial"/>
                <w:b w:val="0"/>
                <w:i w:val="0"/>
                <w:sz w:val="16"/>
              </w:rPr>
            </w:pPr>
            <w:r>
              <w:rPr>
                <w:rFonts w:ascii="Arial" w:eastAsia="Arial" w:hAnsi="Arial" w:cs="Arial"/>
                <w:b w:val="0"/>
                <w:i w:val="0"/>
                <w:color w:val="211D1E"/>
                <w:sz w:val="16"/>
                <w:u w:val="none"/>
              </w:rPr>
              <w:t>Mark, sign and date your proxy card and return it in the postage-paid envelope we have provided or return it to Vote Processing, c/o Broadridge, 51 Mercedes Way, Edgewood, NY 11717.</w:t>
            </w:r>
          </w:p>
        </w:tc>
      </w:tr>
    </w:tbl>
    <w:p>
      <w:pPr>
        <w:keepNext/>
        <w:keepLines w:val="0"/>
        <w:pageBreakBefore w:val="0"/>
        <w:widowControl/>
        <w:numPr>
          <w:ilvl w:val="0"/>
          <w:numId w:val="0"/>
        </w:numPr>
        <w:spacing w:before="120" w:after="0" w:line="288" w:lineRule="auto"/>
        <w:ind w:left="0" w:right="0" w:firstLine="0"/>
        <w:jc w:val="center"/>
        <w:outlineLvl w:val="9"/>
        <w:rPr>
          <w:rFonts w:ascii="Times New Roman" w:eastAsia="Times New Roman" w:hAnsi="Times New Roman" w:cs="Times New Roman"/>
          <w:b w:val="0"/>
          <w:i w:val="0"/>
          <w:color w:val="FF0090"/>
          <w:sz w:val="10"/>
          <w:u w:val="none"/>
        </w:rPr>
      </w:pPr>
    </w:p>
    <w:tbl>
      <w:tblPr>
        <w:tblW w:w="10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5295"/>
        <w:gridCol w:w="1380"/>
        <w:gridCol w:w="3480"/>
      </w:tblGrid>
      <w:tr>
        <w:tblPrEx>
          <w:tblW w:w="10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40"/>
          <w:jc w:val="center"/>
        </w:trPr>
        <w:tc>
          <w:tcPr>
            <w:tcW w:w="6675" w:type="dxa"/>
            <w:gridSpan w:val="2"/>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left"/>
              <w:outlineLvl w:val="9"/>
              <w:rPr>
                <w:rFonts w:ascii="Arial" w:eastAsia="Arial" w:hAnsi="Arial" w:cs="Arial"/>
                <w:b w:val="0"/>
                <w:i w:val="0"/>
                <w:sz w:val="16"/>
              </w:rPr>
            </w:pPr>
            <w:r>
              <w:rPr>
                <w:rFonts w:ascii="Arial" w:eastAsia="Arial" w:hAnsi="Arial" w:cs="Arial"/>
                <w:b w:val="0"/>
                <w:i w:val="0"/>
                <w:sz w:val="16"/>
              </w:rPr>
              <w:t xml:space="preserve">TO VOTE, MARK BLOCKS BELOW IN BLUE OR BLACK INK AS FOLLOWS: </w:t>
            </w:r>
            <w:r>
              <w:rPr>
                <w:rFonts w:ascii="Wingdings" w:eastAsia="Wingdings" w:hAnsi="Wingdings" w:cs="Wingdings"/>
                <w:b w:val="0"/>
                <w:i w:val="0"/>
                <w:sz w:val="16"/>
              </w:rPr>
              <w:t>x</w:t>
            </w:r>
          </w:p>
        </w:tc>
        <w:tc>
          <w:tcPr>
            <w:tcW w:w="34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55" w:type="dxa"/>
          <w:jc w:val="center"/>
          <w:tblLayout w:type="fixed"/>
          <w:tblCellMar>
            <w:left w:w="108" w:type="dxa"/>
            <w:right w:w="108" w:type="dxa"/>
          </w:tblCellMar>
        </w:tblPrEx>
        <w:trPr>
          <w:cantSplit/>
          <w:trHeight w:hRule="exact" w:val="240"/>
          <w:jc w:val="center"/>
        </w:trPr>
        <w:tc>
          <w:tcPr>
            <w:tcW w:w="52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138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480" w:type="dxa"/>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center"/>
            </w:pPr>
            <w:r>
              <w:rPr>
                <w:rFonts w:ascii="Arial" w:eastAsia="Arial" w:hAnsi="Arial" w:cs="Arial"/>
                <w:b w:val="0"/>
                <w:i w:val="0"/>
                <w:color w:val="000000"/>
                <w:sz w:val="16"/>
                <w:u w:val="none"/>
              </w:rPr>
              <w:t>KEEP THIS PORTION FOR YOUR RECORDS</w:t>
            </w:r>
          </w:p>
        </w:tc>
      </w:tr>
      <w:tr>
        <w:tblPrEx>
          <w:tblW w:w="10155" w:type="dxa"/>
          <w:jc w:val="center"/>
          <w:tblLayout w:type="fixed"/>
          <w:tblCellMar>
            <w:left w:w="108" w:type="dxa"/>
            <w:right w:w="108" w:type="dxa"/>
          </w:tblCellMar>
        </w:tblPrEx>
        <w:trPr>
          <w:cantSplit/>
          <w:trHeight w:hRule="exact" w:val="240"/>
          <w:jc w:val="center"/>
        </w:trPr>
        <w:tc>
          <w:tcPr>
            <w:tcW w:w="10155" w:type="dxa"/>
            <w:gridSpan w:val="3"/>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center"/>
              <w:outlineLvl w:val="9"/>
              <w:rPr>
                <w:rFonts w:ascii="Arial" w:eastAsia="Arial" w:hAnsi="Arial" w:cs="Arial"/>
                <w:b w:val="0"/>
                <w:i w:val="0"/>
                <w:sz w:val="16"/>
              </w:rPr>
            </w:pPr>
            <w:r>
              <w:rPr>
                <w:rFonts w:ascii="Arial" w:eastAsia="Arial" w:hAnsi="Arial" w:cs="Arial"/>
                <w:b w:val="0"/>
                <w:i w:val="0"/>
                <w:sz w:val="16"/>
              </w:rPr>
              <w:t xml:space="preserve">— — — — — — — — — — — — — — — — — — — — — — — — — — — — — — — — — — — — — — — — — — — — — — — — — </w:t>
            </w:r>
          </w:p>
        </w:tc>
      </w:tr>
      <w:tr>
        <w:tblPrEx>
          <w:tblW w:w="10155" w:type="dxa"/>
          <w:jc w:val="center"/>
          <w:tblLayout w:type="fixed"/>
          <w:tblCellMar>
            <w:left w:w="108" w:type="dxa"/>
            <w:right w:w="108" w:type="dxa"/>
          </w:tblCellMar>
        </w:tblPrEx>
        <w:trPr>
          <w:cantSplit/>
          <w:trHeight w:hRule="exact" w:val="225"/>
          <w:jc w:val="center"/>
        </w:trPr>
        <w:tc>
          <w:tcPr>
            <w:tcW w:w="529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4860" w:type="dxa"/>
            <w:gridSpan w:val="2"/>
            <w:tcBorders>
              <w:top w:val="nil"/>
              <w:left w:val="nil"/>
              <w:bottom w:val="nil"/>
              <w:right w:val="nil"/>
            </w:tcBorders>
            <w:tcMar>
              <w:top w:w="0" w:type="dxa"/>
              <w:left w:w="0" w:type="dxa"/>
              <w:bottom w:w="0" w:type="dxa"/>
              <w:right w:w="53" w:type="dxa"/>
            </w:tcMar>
            <w:vAlign w:val="bottom"/>
          </w:tcPr>
          <w:p>
            <w:pPr>
              <w:keepNext/>
              <w:pageBreakBefore w:val="0"/>
              <w:spacing w:before="53" w:after="30" w:line="240" w:lineRule="auto"/>
              <w:jc w:val="right"/>
            </w:pPr>
            <w:r>
              <w:rPr>
                <w:rFonts w:ascii="Arial" w:eastAsia="Arial" w:hAnsi="Arial" w:cs="Arial"/>
                <w:b w:val="0"/>
                <w:i w:val="0"/>
                <w:color w:val="000000"/>
                <w:sz w:val="16"/>
                <w:u w:val="none"/>
              </w:rPr>
              <w:t>DETACH AND RETURN THIS PORTION  ONLY</w:t>
            </w:r>
          </w:p>
        </w:tc>
      </w:tr>
      <w:tr>
        <w:tblPrEx>
          <w:tblW w:w="10155" w:type="dxa"/>
          <w:jc w:val="center"/>
          <w:tblLayout w:type="fixed"/>
          <w:tblCellMar>
            <w:left w:w="108" w:type="dxa"/>
            <w:right w:w="108" w:type="dxa"/>
          </w:tblCellMar>
        </w:tblPrEx>
        <w:trPr>
          <w:cantSplit/>
          <w:trHeight w:hRule="exact" w:val="240"/>
          <w:jc w:val="center"/>
        </w:trPr>
        <w:tc>
          <w:tcPr>
            <w:tcW w:w="10155" w:type="dxa"/>
            <w:gridSpan w:val="3"/>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center"/>
              <w:outlineLvl w:val="9"/>
              <w:rPr>
                <w:rFonts w:ascii="Arial" w:eastAsia="Arial" w:hAnsi="Arial" w:cs="Arial"/>
                <w:b w:val="0"/>
                <w:i w:val="0"/>
                <w:sz w:val="16"/>
              </w:rPr>
            </w:pPr>
            <w:r>
              <w:rPr>
                <w:rFonts w:ascii="Arial" w:eastAsia="Arial" w:hAnsi="Arial" w:cs="Arial"/>
                <w:b w:val="0"/>
                <w:i w:val="0"/>
                <w:sz w:val="16"/>
              </w:rPr>
              <w:t> </w:t>
            </w:r>
            <w:r>
              <w:rPr>
                <w:rFonts w:ascii="Arial" w:eastAsia="Arial" w:hAnsi="Arial" w:cs="Arial"/>
                <w:b/>
                <w:i w:val="0"/>
                <w:sz w:val="16"/>
              </w:rPr>
              <w:t>THIS PROXY CARD IS VALID ONLY WHEN  SIGNED AND DATED.</w:t>
            </w:r>
          </w:p>
        </w:tc>
      </w:tr>
    </w:tbl>
    <w:p>
      <w:pPr>
        <w:keepNext/>
        <w:keepLines w:val="0"/>
        <w:pageBreakBefore w:val="0"/>
        <w:widowControl/>
        <w:numPr>
          <w:ilvl w:val="0"/>
          <w:numId w:val="0"/>
        </w:numPr>
        <w:spacing w:before="120" w:after="0" w:line="288" w:lineRule="auto"/>
        <w:ind w:left="0" w:right="0" w:firstLine="0"/>
        <w:jc w:val="center"/>
        <w:outlineLvl w:val="9"/>
        <w:rPr>
          <w:rFonts w:ascii="Times New Roman" w:eastAsia="Times New Roman" w:hAnsi="Times New Roman" w:cs="Times New Roman"/>
          <w:b w:val="0"/>
          <w:i w:val="0"/>
          <w:color w:val="FF0090"/>
          <w:sz w:val="10"/>
          <w:u w:val="none"/>
        </w:rPr>
      </w:pPr>
    </w:p>
    <w:tbl>
      <w:tblPr>
        <w:tblW w:w="10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75"/>
        <w:gridCol w:w="300"/>
        <w:gridCol w:w="3960"/>
        <w:gridCol w:w="735"/>
        <w:gridCol w:w="735"/>
        <w:gridCol w:w="735"/>
        <w:gridCol w:w="600"/>
        <w:gridCol w:w="735"/>
        <w:gridCol w:w="675"/>
        <w:gridCol w:w="720"/>
        <w:gridCol w:w="765"/>
        <w:gridCol w:w="75"/>
      </w:tblGrid>
      <w:tr>
        <w:tblPrEx>
          <w:tblW w:w="10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4335" w:type="dxa"/>
            <w:gridSpan w:val="3"/>
            <w:tcBorders>
              <w:top w:val="nil"/>
              <w:left w:val="nil"/>
              <w:bottom w:val="nil"/>
              <w:right w:val="nil"/>
            </w:tcBorders>
            <w:tcMar>
              <w:top w:w="0" w:type="dxa"/>
              <w:left w:w="38" w:type="dxa"/>
              <w:bottom w:w="0" w:type="dxa"/>
              <w:right w:w="38" w:type="dxa"/>
            </w:tcMar>
            <w:vAlign w:val="bottom"/>
          </w:tcPr>
          <w:p>
            <w:pPr>
              <w:keepNext/>
              <w:pageBreakBefore w:val="0"/>
              <w:spacing w:before="53" w:after="30" w:line="240" w:lineRule="auto"/>
              <w:jc w:val="left"/>
            </w:pPr>
            <w:r>
              <w:rPr>
                <w:rFonts w:ascii="Arial" w:eastAsia="Arial" w:hAnsi="Arial" w:cs="Arial"/>
                <w:b/>
                <w:i w:val="0"/>
                <w:color w:val="000000"/>
                <w:sz w:val="16"/>
                <w:u w:val="none"/>
              </w:rPr>
              <w:t>ENSTAR GROUP LIMITED</w:t>
            </w: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7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800" w:type="dxa"/>
            <w:gridSpan w:val="7"/>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25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800" w:type="dxa"/>
            <w:gridSpan w:val="7"/>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left"/>
            </w:pPr>
            <w:r>
              <w:rPr>
                <w:rFonts w:ascii="Arial" w:eastAsia="Arial" w:hAnsi="Arial" w:cs="Arial"/>
                <w:b/>
                <w:i w:val="0"/>
                <w:color w:val="000000"/>
                <w:sz w:val="16"/>
                <w:u w:val="none"/>
              </w:rPr>
              <w:t>The Board of Directors recommends you vote FOR the nominees for directors.</w:t>
            </w: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720"/>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val="0"/>
                <w:i w:val="0"/>
                <w:color w:val="000000"/>
                <w:sz w:val="16"/>
                <w:u w:val="none"/>
              </w:rPr>
              <w:t>1.</w:t>
            </w:r>
          </w:p>
        </w:tc>
        <w:tc>
          <w:tcPr>
            <w:tcW w:w="396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val="0"/>
                <w:i w:val="0"/>
                <w:color w:val="000000"/>
                <w:sz w:val="16"/>
                <w:u w:val="none"/>
              </w:rPr>
              <w:t>Election of Directors: To elect twelve directors nominated by our Board to hold office until 2025.</w:t>
            </w: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25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i w:val="0"/>
                <w:color w:val="000000"/>
                <w:sz w:val="16"/>
                <w:u w:val="none"/>
              </w:rPr>
              <w:t>Nominees:</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i w:val="0"/>
                <w:color w:val="000000"/>
                <w:sz w:val="16"/>
                <w:u w:val="none"/>
              </w:rPr>
              <w:t>For</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i w:val="0"/>
                <w:color w:val="000000"/>
                <w:sz w:val="16"/>
                <w:u w:val="none"/>
              </w:rPr>
              <w:t>Against</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i w:val="0"/>
                <w:color w:val="000000"/>
                <w:sz w:val="16"/>
                <w:u w:val="none"/>
              </w:rPr>
              <w:t>Abstain</w:t>
            </w: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7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25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val="0"/>
                <w:i w:val="0"/>
                <w:color w:val="000000"/>
                <w:sz w:val="16"/>
                <w:u w:val="none"/>
              </w:rPr>
              <w:t>1a. Robert J. Campbell</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7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25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val="0"/>
                <w:i w:val="0"/>
                <w:color w:val="000000"/>
                <w:sz w:val="16"/>
                <w:u w:val="none"/>
              </w:rPr>
              <w:t>1b. B. Frederick Becker</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7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25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val="0"/>
                <w:i w:val="0"/>
                <w:color w:val="000000"/>
                <w:sz w:val="16"/>
                <w:u w:val="none"/>
              </w:rPr>
              <w:t>1c. Sharon A. Beesley</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7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25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val="0"/>
                <w:i w:val="0"/>
                <w:color w:val="000000"/>
                <w:sz w:val="16"/>
                <w:u w:val="none"/>
              </w:rPr>
              <w:t>1d. James D. Carey</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7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240"/>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val="0"/>
                <w:i w:val="0"/>
                <w:color w:val="000000"/>
                <w:sz w:val="16"/>
                <w:u w:val="none"/>
              </w:rPr>
              <w:t>1e. Susan L. Cross</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7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240"/>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val="0"/>
                <w:i w:val="0"/>
                <w:color w:val="000000"/>
                <w:sz w:val="16"/>
                <w:u w:val="none"/>
              </w:rPr>
              <w:t>1f. Hans-Peter Gerhardt</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7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240"/>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val="0"/>
                <w:i w:val="0"/>
                <w:color w:val="000000"/>
                <w:sz w:val="16"/>
                <w:u w:val="none"/>
              </w:rPr>
              <w:t>1g. Orla Gregory</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7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240"/>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val="0"/>
                <w:i w:val="0"/>
                <w:color w:val="000000"/>
                <w:sz w:val="16"/>
                <w:u w:val="none"/>
              </w:rPr>
              <w:t>1h. Myron Hendry</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7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240"/>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val="0"/>
                <w:i w:val="0"/>
                <w:color w:val="000000"/>
                <w:sz w:val="16"/>
                <w:u w:val="none"/>
              </w:rPr>
              <w:t>1i. Paul J. O'Shea</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7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240"/>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val="0"/>
                <w:i w:val="0"/>
                <w:color w:val="000000"/>
                <w:sz w:val="16"/>
                <w:u w:val="none"/>
              </w:rPr>
              <w:t>1j. Hitesh Patel</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7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240"/>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val="0"/>
                <w:i w:val="0"/>
                <w:color w:val="000000"/>
                <w:sz w:val="16"/>
                <w:u w:val="none"/>
              </w:rPr>
              <w:t>1k. Dominic Silvester</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7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240"/>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val="0"/>
                <w:i w:val="0"/>
                <w:color w:val="000000"/>
                <w:sz w:val="16"/>
                <w:u w:val="none"/>
              </w:rPr>
              <w:t>1l. Poul A. Winslow</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3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7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25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465" w:type="dxa"/>
            <w:gridSpan w:val="5"/>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i w:val="0"/>
                <w:color w:val="000000"/>
                <w:sz w:val="16"/>
                <w:u w:val="none"/>
              </w:rPr>
              <w:t>The Board of Directors recommends you vote FOR Proposal No. 2.</w:t>
            </w: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i w:val="0"/>
                <w:color w:val="000000"/>
                <w:sz w:val="16"/>
                <w:u w:val="none"/>
              </w:rPr>
              <w:t>For</w:t>
            </w:r>
          </w:p>
        </w:tc>
        <w:tc>
          <w:tcPr>
            <w:tcW w:w="72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i w:val="0"/>
                <w:color w:val="000000"/>
                <w:sz w:val="16"/>
                <w:u w:val="none"/>
              </w:rPr>
              <w:t>Against</w:t>
            </w:r>
          </w:p>
        </w:tc>
        <w:tc>
          <w:tcPr>
            <w:tcW w:w="76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i w:val="0"/>
                <w:color w:val="000000"/>
                <w:sz w:val="16"/>
                <w:u w:val="none"/>
              </w:rPr>
              <w:t>Abstain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60"/>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25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val="0"/>
                <w:i w:val="0"/>
                <w:color w:val="000000"/>
                <w:sz w:val="16"/>
                <w:u w:val="none"/>
              </w:rPr>
              <w:t>2.</w:t>
            </w:r>
          </w:p>
        </w:tc>
        <w:tc>
          <w:tcPr>
            <w:tcW w:w="7500" w:type="dxa"/>
            <w:gridSpan w:val="6"/>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val="0"/>
                <w:i w:val="0"/>
                <w:color w:val="000000"/>
                <w:sz w:val="16"/>
                <w:u w:val="none"/>
              </w:rPr>
              <w:t xml:space="preserve">Advisory vote to approve executive compensation. </w:t>
            </w:r>
          </w:p>
        </w:tc>
        <w:tc>
          <w:tcPr>
            <w:tcW w:w="67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2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6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7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22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465" w:type="dxa"/>
            <w:gridSpan w:val="5"/>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i w:val="0"/>
                <w:color w:val="000000"/>
                <w:sz w:val="16"/>
                <w:u w:val="none"/>
              </w:rPr>
              <w:t>The Board of Directors recommends you vote FOR Proposal No. 3.</w:t>
            </w: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i w:val="0"/>
                <w:color w:val="000000"/>
                <w:sz w:val="16"/>
                <w:u w:val="none"/>
              </w:rPr>
              <w:t>For</w:t>
            </w:r>
          </w:p>
        </w:tc>
        <w:tc>
          <w:tcPr>
            <w:tcW w:w="72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i w:val="0"/>
                <w:color w:val="000000"/>
                <w:sz w:val="16"/>
                <w:u w:val="none"/>
              </w:rPr>
              <w:t>Against</w:t>
            </w:r>
          </w:p>
        </w:tc>
        <w:tc>
          <w:tcPr>
            <w:tcW w:w="76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Arial" w:eastAsia="Arial" w:hAnsi="Arial" w:cs="Arial"/>
                <w:b/>
                <w:i w:val="0"/>
                <w:color w:val="000000"/>
                <w:sz w:val="16"/>
                <w:u w:val="none"/>
              </w:rPr>
              <w:t>Abstain</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13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55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left"/>
            </w:pPr>
            <w:r>
              <w:rPr>
                <w:rFonts w:ascii="Arial" w:eastAsia="Arial" w:hAnsi="Arial" w:cs="Arial"/>
                <w:b w:val="0"/>
                <w:i w:val="0"/>
                <w:color w:val="000000"/>
                <w:sz w:val="16"/>
                <w:u w:val="none"/>
              </w:rPr>
              <w:t>3.</w:t>
            </w:r>
          </w:p>
        </w:tc>
        <w:tc>
          <w:tcPr>
            <w:tcW w:w="7500" w:type="dxa"/>
            <w:gridSpan w:val="6"/>
            <w:tcBorders>
              <w:top w:val="nil"/>
              <w:left w:val="nil"/>
              <w:bottom w:val="nil"/>
              <w:right w:val="nil"/>
            </w:tcBorders>
            <w:tcMar>
              <w:top w:w="0" w:type="dxa"/>
              <w:left w:w="53" w:type="dxa"/>
              <w:bottom w:w="0" w:type="dxa"/>
              <w:right w:w="53" w:type="dxa"/>
            </w:tcMar>
            <w:vAlign w:val="top"/>
          </w:tcPr>
          <w:p>
            <w:pPr>
              <w:keepNext/>
              <w:pageBreakBefore w:val="0"/>
              <w:numPr>
                <w:ilvl w:val="0"/>
                <w:numId w:val="0"/>
              </w:numPr>
              <w:spacing w:before="53" w:after="30" w:line="240" w:lineRule="auto"/>
              <w:ind w:left="0" w:right="0" w:firstLine="0"/>
              <w:jc w:val="both"/>
              <w:outlineLvl w:val="9"/>
              <w:rPr>
                <w:rFonts w:ascii="Arial" w:eastAsia="Arial" w:hAnsi="Arial" w:cs="Arial"/>
                <w:b w:val="0"/>
                <w:i w:val="0"/>
                <w:sz w:val="16"/>
              </w:rPr>
            </w:pPr>
            <w:r>
              <w:rPr>
                <w:rFonts w:ascii="Arial" w:eastAsia="Arial" w:hAnsi="Arial" w:cs="Arial"/>
                <w:b w:val="0"/>
                <w:i w:val="0"/>
                <w:sz w:val="16"/>
              </w:rPr>
              <w:t>To ratify the appointment of PricewaterhouseCoopers LLP as our independent registered public accounting firm for 202</w:t>
            </w:r>
            <w:r>
              <w:rPr>
                <w:rFonts w:ascii="Arial" w:eastAsia="Arial" w:hAnsi="Arial" w:cs="Arial"/>
                <w:b w:val="0"/>
                <w:i w:val="0"/>
                <w:sz w:val="16"/>
              </w:rPr>
              <w:t>4</w:t>
            </w:r>
            <w:r>
              <w:rPr>
                <w:rFonts w:ascii="Arial" w:eastAsia="Arial" w:hAnsi="Arial" w:cs="Arial"/>
                <w:b w:val="0"/>
                <w:i w:val="0"/>
                <w:sz w:val="16"/>
              </w:rPr>
              <w:t xml:space="preserve"> and to authorize the Board of Directors, </w:t>
            </w:r>
            <w:r>
              <w:rPr>
                <w:rFonts w:ascii="Arial" w:eastAsia="Arial" w:hAnsi="Arial" w:cs="Arial"/>
                <w:b w:val="0"/>
                <w:i w:val="0"/>
                <w:color w:val="211D1E"/>
                <w:sz w:val="16"/>
                <w:u w:val="none"/>
              </w:rPr>
              <w:t xml:space="preserve">acting through the Audit Committee, to approve the fees for the independent registered public accounting firm. </w:t>
            </w:r>
          </w:p>
        </w:tc>
        <w:tc>
          <w:tcPr>
            <w:tcW w:w="67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20"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65" w:type="dxa"/>
            <w:tcBorders>
              <w:top w:val="nil"/>
              <w:left w:val="nil"/>
              <w:bottom w:val="nil"/>
              <w:right w:val="nil"/>
            </w:tcBorders>
            <w:tcMar>
              <w:top w:w="0" w:type="dxa"/>
              <w:left w:w="53" w:type="dxa"/>
              <w:bottom w:w="0" w:type="dxa"/>
              <w:right w:w="53" w:type="dxa"/>
            </w:tcMar>
            <w:vAlign w:val="top"/>
          </w:tcPr>
          <w:p>
            <w:pPr>
              <w:keepNext/>
              <w:pageBreakBefore w:val="0"/>
              <w:spacing w:before="53" w:after="30" w:line="240" w:lineRule="auto"/>
              <w:jc w:val="center"/>
            </w:pPr>
            <w:r>
              <w:rPr>
                <w:rFonts w:ascii="Webdings" w:eastAsia="Webdings" w:hAnsi="Webdings" w:cs="Webdings"/>
                <w:b w:val="0"/>
                <w:i w:val="0"/>
                <w:color w:val="000000"/>
                <w:sz w:val="16"/>
                <w:u w:val="none"/>
              </w:rPr>
              <w:t>c</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7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19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800" w:type="dxa"/>
            <w:gridSpan w:val="7"/>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420"/>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960" w:type="dxa"/>
            <w:gridSpan w:val="10"/>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both"/>
              <w:outlineLvl w:val="9"/>
              <w:rPr>
                <w:rFonts w:ascii="Arial" w:eastAsia="Arial" w:hAnsi="Arial" w:cs="Arial"/>
                <w:b/>
                <w:i w:val="0"/>
                <w:sz w:val="16"/>
              </w:rPr>
            </w:pPr>
            <w:r>
              <w:rPr>
                <w:rFonts w:ascii="Arial" w:eastAsia="Arial" w:hAnsi="Arial" w:cs="Arial"/>
                <w:b/>
                <w:i w:val="0"/>
                <w:sz w:val="16"/>
              </w:rPr>
              <w:t xml:space="preserve">NOTE: </w:t>
            </w:r>
            <w:r>
              <w:rPr>
                <w:rFonts w:ascii="Arial" w:eastAsia="Arial" w:hAnsi="Arial" w:cs="Arial"/>
                <w:b w:val="0"/>
                <w:i w:val="0"/>
                <w:sz w:val="16"/>
              </w:rPr>
              <w:t>In their discretion, the proxies are authorized to vote upon such other matters as may properly come before the meeting and any adjournment or postponement thereof.</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7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58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9960" w:type="dxa"/>
            <w:gridSpan w:val="10"/>
            <w:tcBorders>
              <w:top w:val="nil"/>
              <w:left w:val="nil"/>
              <w:bottom w:val="nil"/>
              <w:right w:val="nil"/>
            </w:tcBorders>
            <w:tcMar>
              <w:top w:w="0" w:type="dxa"/>
              <w:left w:w="53" w:type="dxa"/>
              <w:bottom w:w="0" w:type="dxa"/>
              <w:right w:w="53" w:type="dxa"/>
            </w:tcMar>
            <w:vAlign w:val="bottom"/>
          </w:tcPr>
          <w:p>
            <w:pPr>
              <w:keepNext/>
              <w:pageBreakBefore w:val="0"/>
              <w:spacing w:before="53" w:after="30" w:line="240" w:lineRule="auto"/>
              <w:jc w:val="both"/>
            </w:pPr>
            <w:r>
              <w:rPr>
                <w:rFonts w:ascii="Arial" w:eastAsia="Arial" w:hAnsi="Arial" w:cs="Arial"/>
                <w:b w:val="0"/>
                <w:i w:val="0"/>
                <w:color w:val="000000"/>
                <w:sz w:val="16"/>
                <w:u w:val="none"/>
              </w:rPr>
              <w:t>Please sign exactly as your name(s) appear(s) hereon. When signing as attorney, executor, administrator, or other fiduciary, please give full title as such. Joint owners should each sign personally. All holders must sign. If a corporation or partnership, please sign in full corporate or partnership name by authorized officer.</w:t>
            </w: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75"/>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60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675"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300"/>
          <w:jc w:val="center"/>
        </w:trPr>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3960" w:type="dxa"/>
            <w:tcBorders>
              <w:top w:val="single" w:sz="8" w:space="0" w:color="000000"/>
              <w:left w:val="single" w:sz="8" w:space="0" w:color="000000"/>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single" w:sz="8" w:space="0" w:color="000000"/>
              <w:bottom w:val="nil"/>
              <w:right w:val="nil"/>
            </w:tcBorders>
            <w:tcMar>
              <w:top w:w="0" w:type="dxa"/>
              <w:left w:w="0" w:type="dxa"/>
              <w:bottom w:w="0" w:type="dxa"/>
              <w:right w:w="0" w:type="dxa"/>
            </w:tcMar>
            <w:vAlign w:val="bottom"/>
          </w:tcPr>
          <w:p>
            <w:pPr>
              <w:keepNext/>
              <w:pageBreakBefore w:val="0"/>
              <w:spacing w:before="0" w:after="0"/>
            </w:pPr>
          </w:p>
        </w:tc>
        <w:tc>
          <w:tcPr>
            <w:tcW w:w="73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2745" w:type="dxa"/>
            <w:gridSpan w:val="4"/>
            <w:tcBorders>
              <w:top w:val="nil"/>
              <w:left w:val="single" w:sz="8" w:space="0" w:color="000000"/>
              <w:bottom w:val="single" w:sz="8" w:space="0" w:color="000000"/>
              <w:right w:val="nil"/>
            </w:tcBorders>
            <w:tcMar>
              <w:top w:w="0" w:type="dxa"/>
              <w:left w:w="0" w:type="dxa"/>
              <w:bottom w:w="0" w:type="dxa"/>
              <w:right w:w="0" w:type="dxa"/>
            </w:tcMar>
            <w:vAlign w:val="bottom"/>
          </w:tcPr>
          <w:p>
            <w:pPr>
              <w:keepNext/>
              <w:pageBreakBefore w:val="0"/>
              <w:spacing w:before="0" w:after="0"/>
            </w:pPr>
          </w:p>
        </w:tc>
        <w:tc>
          <w:tcPr>
            <w:tcW w:w="720" w:type="dxa"/>
            <w:tcBorders>
              <w:top w:val="nil"/>
              <w:left w:val="single" w:sz="8" w:space="0" w:color="000000"/>
              <w:bottom w:val="nil"/>
              <w:right w:val="nil"/>
            </w:tcBorders>
            <w:tcMar>
              <w:top w:w="0" w:type="dxa"/>
              <w:left w:w="0" w:type="dxa"/>
              <w:bottom w:w="0" w:type="dxa"/>
              <w:right w:w="0" w:type="dxa"/>
            </w:tcMar>
            <w:vAlign w:val="bottom"/>
          </w:tcPr>
          <w:p>
            <w:pPr>
              <w:keepNext/>
              <w:pageBreakBefore w:val="0"/>
              <w:spacing w:before="0" w:after="0"/>
            </w:pPr>
          </w:p>
        </w:tc>
        <w:tc>
          <w:tcPr>
            <w:tcW w:w="76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keepNext/>
              <w:pageBreakBefore w:val="0"/>
              <w:spacing w:before="0" w:after="0"/>
            </w:pPr>
          </w:p>
        </w:tc>
      </w:tr>
      <w:tr>
        <w:tblPrEx>
          <w:tblW w:w="10110" w:type="dxa"/>
          <w:jc w:val="center"/>
          <w:tblLayout w:type="fixed"/>
          <w:tblCellMar>
            <w:left w:w="108" w:type="dxa"/>
            <w:right w:w="108" w:type="dxa"/>
          </w:tblCellMar>
        </w:tblPrEx>
        <w:trPr>
          <w:cantSplit/>
          <w:trHeight w:hRule="exact" w:val="255"/>
          <w:jc w:val="center"/>
        </w:trPr>
        <w:tc>
          <w:tcPr>
            <w:tcW w:w="7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300"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3960" w:type="dxa"/>
            <w:tcBorders>
              <w:top w:val="single" w:sz="8" w:space="0" w:color="000000"/>
              <w:left w:val="nil"/>
              <w:bottom w:val="nil"/>
              <w:right w:val="nil"/>
            </w:tcBorders>
            <w:tcMar>
              <w:top w:w="0" w:type="dxa"/>
              <w:left w:w="53" w:type="dxa"/>
              <w:bottom w:w="0" w:type="dxa"/>
              <w:right w:w="53" w:type="dxa"/>
            </w:tcMar>
            <w:vAlign w:val="bottom"/>
          </w:tcPr>
          <w:p>
            <w:pPr>
              <w:pageBreakBefore w:val="0"/>
              <w:spacing w:before="33" w:after="30" w:line="240" w:lineRule="auto"/>
              <w:jc w:val="left"/>
            </w:pPr>
            <w:r>
              <w:rPr>
                <w:rFonts w:ascii="Arial" w:eastAsia="Arial" w:hAnsi="Arial" w:cs="Arial"/>
                <w:b w:val="0"/>
                <w:i w:val="0"/>
                <w:color w:val="000000"/>
                <w:sz w:val="16"/>
                <w:u w:val="none"/>
              </w:rPr>
              <w:t>Signature [PLEASE SIGN WITHIN BOX]</w:t>
            </w:r>
          </w:p>
        </w:tc>
        <w:tc>
          <w:tcPr>
            <w:tcW w:w="735" w:type="dxa"/>
            <w:tcBorders>
              <w:top w:val="nil"/>
              <w:left w:val="nil"/>
              <w:bottom w:val="nil"/>
              <w:right w:val="nil"/>
            </w:tcBorders>
            <w:tcMar>
              <w:top w:w="0" w:type="dxa"/>
              <w:left w:w="53" w:type="dxa"/>
              <w:bottom w:w="0" w:type="dxa"/>
              <w:right w:w="53" w:type="dxa"/>
            </w:tcMar>
            <w:vAlign w:val="bottom"/>
          </w:tcPr>
          <w:p>
            <w:pPr>
              <w:pageBreakBefore w:val="0"/>
              <w:spacing w:before="33" w:after="30" w:line="240" w:lineRule="auto"/>
              <w:jc w:val="left"/>
            </w:pPr>
            <w:r>
              <w:rPr>
                <w:rFonts w:ascii="Arial" w:eastAsia="Arial" w:hAnsi="Arial" w:cs="Arial"/>
                <w:b w:val="0"/>
                <w:i w:val="0"/>
                <w:color w:val="000000"/>
                <w:sz w:val="16"/>
                <w:u w:val="none"/>
              </w:rPr>
              <w:t>Date</w:t>
            </w:r>
          </w:p>
        </w:tc>
        <w:tc>
          <w:tcPr>
            <w:tcW w:w="73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2745" w:type="dxa"/>
            <w:gridSpan w:val="4"/>
            <w:tcBorders>
              <w:top w:val="nil"/>
              <w:left w:val="nil"/>
              <w:bottom w:val="nil"/>
              <w:right w:val="nil"/>
            </w:tcBorders>
            <w:tcMar>
              <w:top w:w="0" w:type="dxa"/>
              <w:left w:w="53" w:type="dxa"/>
              <w:bottom w:w="0" w:type="dxa"/>
              <w:right w:w="53" w:type="dxa"/>
            </w:tcMar>
            <w:vAlign w:val="bottom"/>
          </w:tcPr>
          <w:p>
            <w:pPr>
              <w:pageBreakBefore w:val="0"/>
              <w:spacing w:before="33" w:after="30" w:line="240" w:lineRule="auto"/>
              <w:jc w:val="left"/>
            </w:pPr>
            <w:r>
              <w:rPr>
                <w:rFonts w:ascii="Arial" w:eastAsia="Arial" w:hAnsi="Arial" w:cs="Arial"/>
                <w:b w:val="0"/>
                <w:i w:val="0"/>
                <w:color w:val="000000"/>
                <w:sz w:val="16"/>
                <w:u w:val="none"/>
              </w:rPr>
              <w:t>Signature (Joint Owners)</w:t>
            </w:r>
          </w:p>
        </w:tc>
        <w:tc>
          <w:tcPr>
            <w:tcW w:w="720" w:type="dxa"/>
            <w:tcBorders>
              <w:top w:val="nil"/>
              <w:left w:val="nil"/>
              <w:bottom w:val="nil"/>
              <w:right w:val="nil"/>
            </w:tcBorders>
            <w:tcMar>
              <w:top w:w="0" w:type="dxa"/>
              <w:left w:w="53" w:type="dxa"/>
              <w:bottom w:w="0" w:type="dxa"/>
              <w:right w:w="53" w:type="dxa"/>
            </w:tcMar>
            <w:vAlign w:val="bottom"/>
          </w:tcPr>
          <w:p>
            <w:pPr>
              <w:pageBreakBefore w:val="0"/>
              <w:spacing w:before="33" w:after="30" w:line="240" w:lineRule="auto"/>
              <w:jc w:val="left"/>
            </w:pPr>
            <w:r>
              <w:rPr>
                <w:rFonts w:ascii="Arial" w:eastAsia="Arial" w:hAnsi="Arial" w:cs="Arial"/>
                <w:b w:val="0"/>
                <w:i w:val="0"/>
                <w:color w:val="000000"/>
                <w:sz w:val="16"/>
                <w:u w:val="none"/>
              </w:rPr>
              <w:t>Date</w:t>
            </w:r>
          </w:p>
        </w:tc>
        <w:tc>
          <w:tcPr>
            <w:tcW w:w="76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75"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bl>
    <w:p>
      <w:pPr>
        <w:keepNext w:val="0"/>
        <w:keepLines w:val="0"/>
        <w:pageBreakBefore w:val="0"/>
        <w:widowControl/>
        <w:numPr>
          <w:ilvl w:val="0"/>
          <w:numId w:val="0"/>
        </w:numPr>
        <w:spacing w:before="120" w:after="120" w:line="288" w:lineRule="auto"/>
        <w:ind w:left="0" w:right="0" w:firstLine="0"/>
        <w:jc w:val="both"/>
        <w:outlineLvl w:val="9"/>
        <w:rPr>
          <w:rFonts w:ascii="Times New Roman" w:eastAsia="Times New Roman" w:hAnsi="Times New Roman" w:cs="Times New Roman"/>
          <w:b/>
          <w:i w:val="0"/>
          <w:color w:val="FF0090"/>
          <w:sz w:val="40"/>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i w:val="0"/>
          <w:color w:val="FF0090"/>
          <w:sz w:val="40"/>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i w:val="0"/>
          <w:color w:val="FF0090"/>
          <w:sz w:val="40"/>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i w:val="0"/>
          <w:color w:val="FF0090"/>
          <w:sz w:val="40"/>
          <w:u w:val="none"/>
        </w:rPr>
      </w:pPr>
    </w:p>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i w:val="0"/>
          <w:color w:val="FF0090"/>
          <w:sz w:val="40"/>
          <w:u w:val="none"/>
        </w:rPr>
      </w:pPr>
    </w:p>
    <w:p>
      <w:pPr>
        <w:keepNext/>
        <w:keepLines w:val="0"/>
        <w:pageBreakBefore w:val="0"/>
        <w:widowControl/>
        <w:numPr>
          <w:ilvl w:val="0"/>
          <w:numId w:val="0"/>
        </w:numPr>
        <w:spacing w:before="0" w:after="0" w:line="300" w:lineRule="auto"/>
        <w:ind w:left="0" w:right="0" w:firstLine="0"/>
        <w:jc w:val="center"/>
        <w:outlineLvl w:val="9"/>
        <w:rPr>
          <w:rFonts w:ascii="Arial" w:eastAsia="Arial" w:hAnsi="Arial" w:cs="Arial"/>
          <w:b/>
          <w:i w:val="0"/>
          <w:color w:val="FF0090"/>
          <w:sz w:val="20"/>
          <w:u w:val="none"/>
        </w:rPr>
      </w:pPr>
      <w:r>
        <w:rPr>
          <w:rFonts w:ascii="Arial" w:eastAsia="Arial" w:hAnsi="Arial" w:cs="Arial"/>
          <w:b/>
          <w:i w:val="0"/>
          <w:sz w:val="20"/>
        </w:rPr>
        <w:t xml:space="preserve">Important Notice Regarding the Availability of Proxy Materials for the Annual Meeting: </w:t>
      </w:r>
    </w:p>
    <w:p>
      <w:pPr>
        <w:keepNext/>
        <w:keepLines w:val="0"/>
        <w:pageBreakBefore w:val="0"/>
        <w:widowControl/>
        <w:numPr>
          <w:ilvl w:val="0"/>
          <w:numId w:val="0"/>
        </w:numPr>
        <w:spacing w:before="0" w:after="0" w:line="300" w:lineRule="auto"/>
        <w:ind w:left="0" w:right="0" w:firstLine="0"/>
        <w:jc w:val="center"/>
        <w:outlineLvl w:val="9"/>
        <w:rPr>
          <w:rFonts w:ascii="Arial" w:eastAsia="Arial" w:hAnsi="Arial" w:cs="Arial"/>
          <w:b w:val="0"/>
          <w:i w:val="0"/>
          <w:color w:val="FF0090"/>
          <w:sz w:val="20"/>
          <w:u w:val="none"/>
        </w:rPr>
      </w:pPr>
      <w:r>
        <w:rPr>
          <w:rFonts w:ascii="Arial" w:eastAsia="Arial" w:hAnsi="Arial" w:cs="Arial"/>
          <w:b w:val="0"/>
          <w:i w:val="0"/>
          <w:sz w:val="20"/>
        </w:rPr>
        <w:t xml:space="preserve">The Notice and Proxy Statement and Annual Report are available at www.proxyvote.com. </w:t>
      </w:r>
    </w:p>
    <w:p>
      <w:pPr>
        <w:keepNext/>
        <w:keepLines w:val="0"/>
        <w:pageBreakBefore w:val="0"/>
        <w:widowControl/>
        <w:numPr>
          <w:ilvl w:val="0"/>
          <w:numId w:val="0"/>
        </w:numPr>
        <w:spacing w:before="0" w:after="120" w:line="288" w:lineRule="auto"/>
        <w:ind w:left="0" w:right="0" w:firstLine="0"/>
        <w:jc w:val="center"/>
        <w:outlineLvl w:val="9"/>
        <w:rPr>
          <w:rFonts w:ascii="Times New Roman" w:eastAsia="Times New Roman" w:hAnsi="Times New Roman" w:cs="Times New Roman"/>
          <w:b w:val="0"/>
          <w:i w:val="0"/>
          <w:color w:val="FF0090"/>
          <w:sz w:val="20"/>
          <w:u w:val="none"/>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026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40"/>
          <w:jc w:val="center"/>
        </w:trPr>
        <w:tc>
          <w:tcPr>
            <w:tcW w:w="10260" w:type="dxa"/>
            <w:tcBorders>
              <w:top w:val="nil"/>
              <w:left w:val="nil"/>
              <w:bottom w:val="nil"/>
              <w:right w:val="nil"/>
            </w:tcBorders>
            <w:tcMar>
              <w:top w:w="0" w:type="dxa"/>
              <w:left w:w="53" w:type="dxa"/>
              <w:bottom w:w="0" w:type="dxa"/>
              <w:right w:w="53" w:type="dxa"/>
            </w:tcMar>
            <w:vAlign w:val="bottom"/>
          </w:tcPr>
          <w:p>
            <w:pPr>
              <w:keepNext/>
              <w:pageBreakBefore w:val="0"/>
              <w:numPr>
                <w:ilvl w:val="0"/>
                <w:numId w:val="0"/>
              </w:numPr>
              <w:spacing w:before="53" w:after="30" w:line="240" w:lineRule="auto"/>
              <w:ind w:left="0" w:right="0" w:firstLine="0"/>
              <w:jc w:val="center"/>
              <w:outlineLvl w:val="9"/>
              <w:rPr>
                <w:rFonts w:ascii="Arial" w:eastAsia="Arial" w:hAnsi="Arial" w:cs="Arial"/>
                <w:b w:val="0"/>
                <w:i w:val="0"/>
                <w:sz w:val="20"/>
              </w:rPr>
            </w:pPr>
            <w:r>
              <w:rPr>
                <w:rFonts w:ascii="Arial" w:eastAsia="Arial" w:hAnsi="Arial" w:cs="Arial"/>
                <w:b w:val="0"/>
                <w:i w:val="0"/>
                <w:sz w:val="20"/>
              </w:rPr>
              <w:t>— — — — — — — — — — — — — —  — — — — — — — — — — — — — — — — — — — — — — — — —</w:t>
            </w:r>
          </w:p>
        </w:tc>
      </w:tr>
      <w:tr>
        <w:tblPrEx>
          <w:tblW w:w="10260" w:type="dxa"/>
          <w:jc w:val="center"/>
          <w:tblLayout w:type="fixed"/>
          <w:tblCellMar>
            <w:left w:w="108" w:type="dxa"/>
            <w:right w:w="108" w:type="dxa"/>
          </w:tblCellMar>
        </w:tblPrEx>
        <w:trPr>
          <w:cantSplit/>
          <w:trHeight w:hRule="exact" w:val="255"/>
          <w:jc w:val="center"/>
        </w:trPr>
        <w:tc>
          <w:tcPr>
            <w:tcW w:w="10260" w:type="dxa"/>
            <w:tcBorders>
              <w:top w:val="nil"/>
              <w:left w:val="nil"/>
              <w:bottom w:val="single" w:sz="8" w:space="0" w:color="000000"/>
              <w:right w:val="nil"/>
            </w:tcBorders>
            <w:tcMar>
              <w:top w:w="0" w:type="dxa"/>
              <w:left w:w="0" w:type="dxa"/>
              <w:bottom w:w="0" w:type="dxa"/>
              <w:right w:w="0" w:type="dxa"/>
            </w:tcMar>
            <w:vAlign w:val="bottom"/>
          </w:tcPr>
          <w:p>
            <w:pPr>
              <w:keepNext/>
              <w:pageBreakBefore w:val="0"/>
              <w:spacing w:before="0" w:after="0"/>
            </w:pPr>
          </w:p>
        </w:tc>
      </w:tr>
      <w:tr>
        <w:tblPrEx>
          <w:tblW w:w="10260" w:type="dxa"/>
          <w:jc w:val="center"/>
          <w:tblLayout w:type="fixed"/>
          <w:tblCellMar>
            <w:left w:w="108" w:type="dxa"/>
            <w:right w:w="108" w:type="dxa"/>
          </w:tblCellMar>
        </w:tblPrEx>
        <w:trPr>
          <w:cantSplit/>
          <w:trHeight w:hRule="exact" w:val="1425"/>
          <w:jc w:val="center"/>
        </w:trPr>
        <w:tc>
          <w:tcPr>
            <w:tcW w:w="10260" w:type="dxa"/>
            <w:tcBorders>
              <w:top w:val="single" w:sz="8" w:space="0" w:color="000000"/>
              <w:left w:val="single" w:sz="8" w:space="0" w:color="000000"/>
              <w:bottom w:val="single" w:sz="8" w:space="0" w:color="000000"/>
              <w:right w:val="single" w:sz="8" w:space="0" w:color="000000"/>
            </w:tcBorders>
            <w:tcMar>
              <w:top w:w="0" w:type="dxa"/>
              <w:left w:w="53" w:type="dxa"/>
              <w:bottom w:w="0" w:type="dxa"/>
              <w:right w:w="53" w:type="dxa"/>
            </w:tcMar>
            <w:vAlign w:val="center"/>
          </w:tcPr>
          <w:p>
            <w:pPr>
              <w:keepNext/>
              <w:pageBreakBefore w:val="0"/>
              <w:spacing w:before="0" w:line="240" w:lineRule="auto"/>
              <w:jc w:val="center"/>
            </w:pPr>
          </w:p>
          <w:p>
            <w:pPr>
              <w:spacing w:line="240" w:lineRule="auto"/>
              <w:jc w:val="center"/>
            </w:pPr>
            <w:r>
              <w:rPr>
                <w:rFonts w:ascii="Arial" w:eastAsia="Arial" w:hAnsi="Arial" w:cs="Arial"/>
                <w:b/>
                <w:i w:val="0"/>
                <w:color w:val="000000"/>
                <w:sz w:val="24"/>
                <w:u w:val="none"/>
              </w:rPr>
              <w:t>ENSTAR GROUP LIMITED</w:t>
            </w:r>
          </w:p>
          <w:p>
            <w:pPr>
              <w:spacing w:line="240" w:lineRule="auto"/>
              <w:jc w:val="center"/>
            </w:pPr>
            <w:r>
              <w:rPr>
                <w:rFonts w:ascii="Arial" w:eastAsia="Arial" w:hAnsi="Arial" w:cs="Arial"/>
                <w:b/>
                <w:i w:val="0"/>
                <w:color w:val="000000"/>
                <w:sz w:val="24"/>
                <w:u w:val="none"/>
              </w:rPr>
              <w:t>Annual General Meeting of Shareholders</w:t>
            </w:r>
          </w:p>
          <w:p>
            <w:pPr>
              <w:spacing w:line="240" w:lineRule="auto"/>
              <w:jc w:val="center"/>
            </w:pPr>
            <w:r>
              <w:rPr>
                <w:rFonts w:ascii="Arial" w:eastAsia="Arial" w:hAnsi="Arial" w:cs="Arial"/>
                <w:b/>
                <w:i w:val="0"/>
                <w:color w:val="000000"/>
                <w:sz w:val="24"/>
                <w:u w:val="none"/>
              </w:rPr>
              <w:t>June 6, 2024</w:t>
            </w:r>
          </w:p>
          <w:p>
            <w:pPr>
              <w:spacing w:after="0" w:line="240" w:lineRule="auto"/>
              <w:jc w:val="center"/>
            </w:pPr>
            <w:r>
              <w:rPr>
                <w:rFonts w:ascii="Arial" w:eastAsia="Arial" w:hAnsi="Arial" w:cs="Arial"/>
                <w:b/>
                <w:i w:val="0"/>
                <w:color w:val="000000"/>
                <w:sz w:val="24"/>
                <w:u w:val="none"/>
              </w:rPr>
              <w:t>This proxy is solicited by the Board of Directors</w:t>
            </w:r>
          </w:p>
        </w:tc>
      </w:tr>
      <w:tr>
        <w:tblPrEx>
          <w:tblW w:w="10260" w:type="dxa"/>
          <w:jc w:val="center"/>
          <w:tblLayout w:type="fixed"/>
          <w:tblCellMar>
            <w:left w:w="108" w:type="dxa"/>
            <w:right w:w="108" w:type="dxa"/>
          </w:tblCellMar>
        </w:tblPrEx>
        <w:trPr>
          <w:cantSplit/>
          <w:trHeight w:hRule="exact" w:val="5220"/>
          <w:jc w:val="center"/>
        </w:trPr>
        <w:tc>
          <w:tcPr>
            <w:tcW w:w="10260" w:type="dxa"/>
            <w:tcBorders>
              <w:top w:val="single" w:sz="8" w:space="0" w:color="000000"/>
              <w:left w:val="single" w:sz="8" w:space="0" w:color="000000"/>
              <w:bottom w:val="single" w:sz="8" w:space="0" w:color="000000"/>
              <w:right w:val="single" w:sz="8" w:space="0" w:color="000000"/>
            </w:tcBorders>
            <w:tcMar>
              <w:top w:w="0" w:type="dxa"/>
              <w:left w:w="53" w:type="dxa"/>
              <w:bottom w:w="0" w:type="dxa"/>
              <w:right w:w="53" w:type="dxa"/>
            </w:tcMar>
            <w:vAlign w:val="top"/>
          </w:tcPr>
          <w:p>
            <w:pPr>
              <w:keepNext/>
              <w:pageBreakBefore w:val="0"/>
              <w:numPr>
                <w:ilvl w:val="0"/>
                <w:numId w:val="0"/>
              </w:numPr>
              <w:spacing w:before="33" w:after="0" w:line="240" w:lineRule="auto"/>
              <w:ind w:left="0" w:right="0" w:firstLine="0"/>
              <w:jc w:val="both"/>
              <w:outlineLvl w:val="9"/>
              <w:rPr>
                <w:rFonts w:ascii="Arial" w:eastAsia="Arial" w:hAnsi="Arial" w:cs="Arial"/>
                <w:b w:val="0"/>
                <w:i w:val="0"/>
                <w:sz w:val="20"/>
              </w:rPr>
            </w:pPr>
          </w:p>
          <w:p>
            <w:pPr>
              <w:pageBreakBefore w:val="0"/>
              <w:numPr>
                <w:ilvl w:val="0"/>
                <w:numId w:val="0"/>
              </w:numPr>
              <w:spacing w:before="0" w:after="0" w:line="240" w:lineRule="auto"/>
              <w:ind w:left="0" w:right="0" w:firstLine="0"/>
              <w:jc w:val="both"/>
              <w:outlineLvl w:val="9"/>
              <w:rPr>
                <w:rFonts w:ascii="Arial" w:eastAsia="Arial" w:hAnsi="Arial" w:cs="Arial"/>
                <w:b w:val="0"/>
                <w:i w:val="0"/>
                <w:sz w:val="20"/>
              </w:rPr>
            </w:pPr>
          </w:p>
          <w:p>
            <w:pPr>
              <w:pageBreakBefore w:val="0"/>
              <w:numPr>
                <w:ilvl w:val="0"/>
                <w:numId w:val="0"/>
              </w:numPr>
              <w:spacing w:before="0" w:after="0" w:line="240" w:lineRule="auto"/>
              <w:ind w:left="0" w:right="0" w:firstLine="0"/>
              <w:jc w:val="both"/>
              <w:outlineLvl w:val="9"/>
              <w:rPr>
                <w:rFonts w:ascii="Arial" w:eastAsia="Arial" w:hAnsi="Arial" w:cs="Arial"/>
                <w:b w:val="0"/>
                <w:i w:val="0"/>
                <w:sz w:val="20"/>
              </w:rPr>
            </w:pPr>
          </w:p>
          <w:p>
            <w:pPr>
              <w:pageBreakBefore w:val="0"/>
              <w:numPr>
                <w:ilvl w:val="0"/>
                <w:numId w:val="0"/>
              </w:numPr>
              <w:spacing w:before="0" w:after="0" w:line="240" w:lineRule="auto"/>
              <w:ind w:left="0" w:right="0" w:firstLine="0"/>
              <w:jc w:val="both"/>
              <w:outlineLvl w:val="9"/>
              <w:rPr>
                <w:rFonts w:ascii="Arial" w:eastAsia="Arial" w:hAnsi="Arial" w:cs="Arial"/>
                <w:b w:val="0"/>
                <w:i w:val="0"/>
                <w:sz w:val="20"/>
              </w:rPr>
            </w:pPr>
            <w:r>
              <w:rPr>
                <w:rFonts w:ascii="Arial" w:eastAsia="Arial" w:hAnsi="Arial" w:cs="Arial"/>
                <w:b w:val="0"/>
                <w:i w:val="0"/>
                <w:sz w:val="20"/>
              </w:rPr>
              <w:t xml:space="preserve">The shareholder(s) hereby appoint(s) Dominic Silvester and Orla Gregory, or either of them, as proxies, each with the power to appoint his or her substitute, and hereby authorize(s) them to represent and to vote, as designated on the reverse side of this ballot, all of the ordinary shares of ENSTAR GROUP LIMITED that the shareholder(s) is/are entitled to vote at the Annual General Meeting of Shareholders to be held at 9:00 AM, ADT on June </w:t>
            </w:r>
            <w:r>
              <w:rPr>
                <w:rFonts w:ascii="Arial" w:eastAsia="Arial" w:hAnsi="Arial" w:cs="Arial"/>
                <w:b w:val="0"/>
                <w:i w:val="0"/>
                <w:sz w:val="20"/>
              </w:rPr>
              <w:t>6</w:t>
            </w:r>
            <w:r>
              <w:rPr>
                <w:rFonts w:ascii="Arial" w:eastAsia="Arial" w:hAnsi="Arial" w:cs="Arial"/>
                <w:b w:val="0"/>
                <w:i w:val="0"/>
                <w:sz w:val="20"/>
              </w:rPr>
              <w:t>, 202</w:t>
            </w:r>
            <w:r>
              <w:rPr>
                <w:rFonts w:ascii="Arial" w:eastAsia="Arial" w:hAnsi="Arial" w:cs="Arial"/>
                <w:b w:val="0"/>
                <w:i w:val="0"/>
                <w:sz w:val="20"/>
              </w:rPr>
              <w:t>4</w:t>
            </w:r>
            <w:r>
              <w:rPr>
                <w:rFonts w:ascii="Arial" w:eastAsia="Arial" w:hAnsi="Arial" w:cs="Arial"/>
                <w:b w:val="0"/>
                <w:i w:val="0"/>
                <w:sz w:val="20"/>
              </w:rPr>
              <w:t xml:space="preserve"> held live via webcast at www.virtualshareholdermeeting.com/ESGR202</w:t>
            </w:r>
            <w:r>
              <w:rPr>
                <w:rFonts w:ascii="Arial" w:eastAsia="Arial" w:hAnsi="Arial" w:cs="Arial"/>
                <w:b w:val="0"/>
                <w:i w:val="0"/>
                <w:sz w:val="20"/>
              </w:rPr>
              <w:t>4</w:t>
            </w:r>
            <w:r>
              <w:rPr>
                <w:rFonts w:ascii="Arial" w:eastAsia="Arial" w:hAnsi="Arial" w:cs="Arial"/>
                <w:b w:val="0"/>
                <w:i w:val="0"/>
                <w:sz w:val="20"/>
              </w:rPr>
              <w:t>, and any adjournment or postponement thereof.</w:t>
            </w:r>
          </w:p>
          <w:p>
            <w:pPr>
              <w:pageBreakBefore w:val="0"/>
              <w:numPr>
                <w:ilvl w:val="0"/>
                <w:numId w:val="0"/>
              </w:numPr>
              <w:spacing w:before="0" w:after="0" w:line="240" w:lineRule="auto"/>
              <w:ind w:left="0" w:right="0" w:firstLine="0"/>
              <w:jc w:val="both"/>
              <w:outlineLvl w:val="9"/>
              <w:rPr>
                <w:rFonts w:ascii="Arial" w:eastAsia="Arial" w:hAnsi="Arial" w:cs="Arial"/>
                <w:b w:val="0"/>
                <w:i w:val="0"/>
                <w:sz w:val="20"/>
              </w:rPr>
            </w:pPr>
          </w:p>
          <w:p>
            <w:pPr>
              <w:pageBreakBefore w:val="0"/>
              <w:numPr>
                <w:ilvl w:val="0"/>
                <w:numId w:val="0"/>
              </w:numPr>
              <w:spacing w:before="0" w:after="0" w:line="240" w:lineRule="auto"/>
              <w:ind w:left="0" w:right="0" w:firstLine="0"/>
              <w:jc w:val="both"/>
              <w:outlineLvl w:val="9"/>
              <w:rPr>
                <w:rFonts w:ascii="Arial" w:eastAsia="Arial" w:hAnsi="Arial" w:cs="Arial"/>
                <w:b w:val="0"/>
                <w:i w:val="0"/>
                <w:sz w:val="20"/>
              </w:rPr>
            </w:pPr>
          </w:p>
          <w:p>
            <w:pPr>
              <w:pageBreakBefore w:val="0"/>
              <w:numPr>
                <w:ilvl w:val="0"/>
                <w:numId w:val="0"/>
              </w:numPr>
              <w:spacing w:before="0" w:after="30" w:line="240" w:lineRule="auto"/>
              <w:ind w:left="0" w:right="0" w:firstLine="0"/>
              <w:jc w:val="both"/>
              <w:outlineLvl w:val="9"/>
              <w:rPr>
                <w:rFonts w:ascii="Arial" w:eastAsia="Arial" w:hAnsi="Arial" w:cs="Arial"/>
                <w:b/>
                <w:i w:val="0"/>
                <w:sz w:val="20"/>
              </w:rPr>
            </w:pPr>
            <w:r>
              <w:rPr>
                <w:rFonts w:ascii="Arial" w:eastAsia="Arial" w:hAnsi="Arial" w:cs="Arial"/>
                <w:b/>
                <w:i w:val="0"/>
                <w:sz w:val="20"/>
              </w:rPr>
              <w:t>This proxy, when properly executed, will be voted in the manner directed herein. If no such direction is made, this proxy will be voted in accordance with the Board of Directors’ recommendations.</w:t>
            </w:r>
          </w:p>
        </w:tc>
      </w:tr>
      <w:tr>
        <w:tblPrEx>
          <w:tblW w:w="10260" w:type="dxa"/>
          <w:jc w:val="center"/>
          <w:tblLayout w:type="fixed"/>
          <w:tblCellMar>
            <w:left w:w="108" w:type="dxa"/>
            <w:right w:w="108" w:type="dxa"/>
          </w:tblCellMar>
        </w:tblPrEx>
        <w:trPr>
          <w:cantSplit/>
          <w:trHeight w:hRule="exact" w:val="525"/>
          <w:jc w:val="center"/>
        </w:trPr>
        <w:tc>
          <w:tcPr>
            <w:tcW w:w="10260" w:type="dxa"/>
            <w:tcBorders>
              <w:top w:val="single" w:sz="8" w:space="0" w:color="000000"/>
              <w:left w:val="single" w:sz="8" w:space="0" w:color="000000"/>
              <w:bottom w:val="single" w:sz="8" w:space="0" w:color="000000"/>
              <w:right w:val="single" w:sz="8" w:space="0" w:color="000000"/>
            </w:tcBorders>
            <w:tcMar>
              <w:top w:w="0" w:type="dxa"/>
              <w:left w:w="53" w:type="dxa"/>
              <w:bottom w:w="0" w:type="dxa"/>
              <w:right w:w="53" w:type="dxa"/>
            </w:tcMar>
            <w:vAlign w:val="center"/>
          </w:tcPr>
          <w:p>
            <w:pPr>
              <w:pageBreakBefore w:val="0"/>
              <w:spacing w:before="0" w:after="0" w:line="240" w:lineRule="auto"/>
              <w:jc w:val="center"/>
            </w:pPr>
            <w:r>
              <w:rPr>
                <w:rFonts w:ascii="Arial" w:eastAsia="Arial" w:hAnsi="Arial" w:cs="Arial"/>
                <w:b/>
                <w:i w:val="0"/>
                <w:color w:val="000000"/>
                <w:sz w:val="20"/>
                <w:u w:val="none"/>
              </w:rPr>
              <w:t>Continued and to be signed on reverse side</w:t>
            </w:r>
          </w:p>
        </w:tc>
      </w:tr>
    </w:tbl>
    <w:p>
      <w:pPr>
        <w:keepNext w:val="0"/>
        <w:keepLines w:val="0"/>
        <w:pageBreakBefore w:val="0"/>
        <w:widowControl/>
        <w:numPr>
          <w:ilvl w:val="0"/>
          <w:numId w:val="0"/>
        </w:numPr>
        <w:spacing w:before="120" w:after="120" w:line="288" w:lineRule="auto"/>
        <w:ind w:left="0" w:right="0" w:firstLine="0"/>
        <w:jc w:val="both"/>
        <w:outlineLvl w:val="9"/>
        <w:rPr>
          <w:rFonts w:ascii="Times New Roman" w:eastAsia="Times New Roman" w:hAnsi="Times New Roman" w:cs="Times New Roman"/>
          <w:b w:val="0"/>
          <w:i w:val="0"/>
          <w:color w:val="FF0090"/>
          <w:sz w:val="20"/>
          <w:u w:val="none"/>
        </w:rPr>
      </w:pPr>
    </w:p>
    <w:sectPr>
      <w:headerReference w:type="default" r:id="rId418"/>
      <w:footerReference w:type="default" r:id="rId419"/>
      <w:pgSz w:w="12240" w:h="15840"/>
      <w:pgMar w:top="360" w:right="720" w:bottom="360" w:left="720" w:header="0" w:foo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120" w:line="288" w:lineRule="auto"/>
      <w:ind w:left="270" w:right="270" w:firstLine="0"/>
      <w:jc w:val="both"/>
      <w:outlineLvl w:val="9"/>
      <w:rPr>
        <w:rFonts w:ascii="Times New Roman" w:eastAsia="Times New Roman" w:hAnsi="Times New Roman" w:cs="Times New Roman"/>
        <w:b w:val="0"/>
        <w:i w:val="0"/>
        <w:color w:val="FF0090"/>
        <w:sz w:val="20"/>
        <w:u w:val="none"/>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1995"/>
    </w:tblGrid>
    <w:tr>
      <w:tblPrEx>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center"/>
            <w:outlineLvl w:val="1"/>
            <w:rPr>
              <w:rFonts w:ascii="Arial" w:eastAsia="Arial" w:hAnsi="Arial" w:cs="Arial"/>
              <w:b/>
              <w:i w:val="0"/>
              <w:color w:val="969698"/>
              <w:sz w:val="16"/>
              <w:u w:val="none"/>
            </w:rPr>
          </w:pPr>
          <w:r>
            <w:rPr>
              <w:rFonts w:ascii="Arial" w:eastAsia="Arial" w:hAnsi="Arial" w:cs="Arial"/>
              <w:b/>
              <w:i w:val="0"/>
              <w:color w:val="969698"/>
              <w:sz w:val="16"/>
              <w:u w:val="none"/>
            </w:rPr>
            <w:t xml:space="preserve">Enstar Group Limited   </w:t>
          </w:r>
          <w:r>
            <w:rPr>
              <w:rFonts w:ascii="Arial" w:eastAsia="Arial" w:hAnsi="Arial" w:cs="Arial"/>
              <w:b/>
              <w:i w:val="0"/>
              <w:color w:val="171449"/>
              <w:sz w:val="16"/>
              <w:u w:val="none"/>
            </w:rPr>
            <w:t>/</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viii</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color w:val="171449"/>
              <w:sz w:val="16"/>
              <w:u w:val="none"/>
            </w:rPr>
            <w:t>/</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w:t>
          </w:r>
          <w:r>
            <w:rPr>
              <w:rFonts w:ascii="Arial" w:eastAsia="Arial" w:hAnsi="Arial" w:cs="Arial"/>
              <w:b/>
              <w:i w:val="0"/>
              <w:color w:val="969698"/>
              <w:sz w:val="16"/>
              <w:u w:val="none"/>
            </w:rPr>
            <w:t>4</w:t>
          </w:r>
          <w:r>
            <w:rPr>
              <w:rFonts w:ascii="Arial" w:eastAsia="Arial" w:hAnsi="Arial" w:cs="Arial"/>
              <w:b/>
              <w:i w:val="0"/>
              <w:color w:val="969698"/>
              <w:sz w:val="16"/>
              <w:u w:val="none"/>
            </w:rPr>
            <w:t xml:space="preserve"> Proxy Statement</w:t>
          </w:r>
        </w:p>
      </w:tc>
      <w:tc>
        <w:tcPr>
          <w:tcW w:w="1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76</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77</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78</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79</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81</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83</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85</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86</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0"/>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1</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87</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90</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91</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92</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93</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94</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95</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0"/>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96</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2</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97</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98</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99</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100</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0"/>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101</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103</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104</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3</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4"/>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105</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4"/>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4"/>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4"/>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106</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107</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4</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0"/>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108</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109</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110</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111</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112</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113</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114</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center"/>
            <w:outlineLvl w:val="0"/>
            <w:rPr>
              <w:rFonts w:ascii="Arial" w:eastAsia="Arial" w:hAnsi="Arial" w:cs="Arial"/>
              <w:b/>
              <w:i w:val="0"/>
              <w:color w:val="969698"/>
              <w:sz w:val="16"/>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A-</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4</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w:t>
          </w:r>
          <w:r>
            <w:rPr>
              <w:rFonts w:ascii="Arial" w:eastAsia="Arial" w:hAnsi="Arial" w:cs="Arial"/>
              <w:b/>
              <w:i w:val="0"/>
              <w:color w:val="969698"/>
              <w:sz w:val="16"/>
              <w:u w:val="none"/>
            </w:rPr>
            <w:t>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0" w:type="dxa"/>
            <w:bottom w:w="0" w:type="dxa"/>
            <w:right w:w="0" w:type="dxa"/>
          </w:tcMar>
          <w:vAlign w:val="bottom"/>
        </w:tcPr>
        <w:p>
          <w:pPr>
            <w:pageBreakBefore w:val="0"/>
            <w:spacing w:before="0" w:after="0"/>
          </w:pPr>
        </w:p>
      </w:tc>
    </w:tr>
  </w:tbl>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5</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120" w:line="288" w:lineRule="auto"/>
      <w:ind w:left="270" w:right="270" w:firstLine="0"/>
      <w:jc w:val="both"/>
      <w:outlineLvl w:val="9"/>
      <w:rPr>
        <w:rFonts w:ascii="Times New Roman" w:eastAsia="Times New Roman" w:hAnsi="Times New Roman" w:cs="Times New Roman"/>
        <w:b w:val="0"/>
        <w:i w:val="0"/>
        <w:color w:val="FF0090"/>
        <w:sz w:val="20"/>
        <w:u w:val="none"/>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6</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7</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9</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15</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16</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17</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1995"/>
    </w:tblGrid>
    <w:tr>
      <w:tblPrEx>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center"/>
            <w:outlineLvl w:val="0"/>
            <w:rPr>
              <w:rFonts w:ascii="Arial" w:eastAsia="Arial" w:hAnsi="Arial" w:cs="Arial"/>
              <w:b/>
              <w:i w:val="0"/>
              <w:color w:val="969698"/>
              <w:sz w:val="16"/>
              <w:u w:val="none"/>
            </w:rPr>
          </w:pPr>
          <w:r>
            <w:rPr>
              <w:rFonts w:ascii="Arial" w:eastAsia="Arial" w:hAnsi="Arial" w:cs="Arial"/>
              <w:b/>
              <w:i w:val="0"/>
              <w:color w:val="969698"/>
              <w:sz w:val="16"/>
              <w:u w:val="none"/>
            </w:rPr>
            <w:t xml:space="preserve">Enstar Group Limited   </w:t>
          </w:r>
          <w:r>
            <w:rPr>
              <w:rFonts w:ascii="Arial" w:eastAsia="Arial" w:hAnsi="Arial" w:cs="Arial"/>
              <w:b/>
              <w:i w:val="0"/>
              <w:color w:val="171449"/>
              <w:sz w:val="16"/>
              <w:u w:val="none"/>
            </w:rPr>
            <w:t>/</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i</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color w:val="171449"/>
              <w:sz w:val="16"/>
              <w:u w:val="none"/>
            </w:rPr>
            <w:t>/</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w:t>
          </w:r>
          <w:r>
            <w:rPr>
              <w:rFonts w:ascii="Arial" w:eastAsia="Arial" w:hAnsi="Arial" w:cs="Arial"/>
              <w:b/>
              <w:i w:val="0"/>
              <w:color w:val="969698"/>
              <w:sz w:val="16"/>
              <w:u w:val="none"/>
            </w:rPr>
            <w:t>4</w:t>
          </w:r>
          <w:r>
            <w:rPr>
              <w:rFonts w:ascii="Arial" w:eastAsia="Arial" w:hAnsi="Arial" w:cs="Arial"/>
              <w:b/>
              <w:i w:val="0"/>
              <w:color w:val="969698"/>
              <w:sz w:val="16"/>
              <w:u w:val="none"/>
            </w:rPr>
            <w:t xml:space="preserve"> Proxy Statement</w:t>
          </w:r>
        </w:p>
      </w:tc>
      <w:tc>
        <w:tcPr>
          <w:tcW w:w="1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18</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25</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26</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27</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28</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29</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1995"/>
    </w:tblGrid>
    <w:tr>
      <w:tblPrEx>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center"/>
            <w:outlineLvl w:val="1"/>
            <w:rPr>
              <w:rFonts w:ascii="Arial" w:eastAsia="Arial" w:hAnsi="Arial" w:cs="Arial"/>
              <w:b/>
              <w:i w:val="0"/>
              <w:color w:val="969698"/>
              <w:sz w:val="16"/>
              <w:u w:val="none"/>
            </w:rPr>
          </w:pPr>
          <w:r>
            <w:rPr>
              <w:rFonts w:ascii="Arial" w:eastAsia="Arial" w:hAnsi="Arial" w:cs="Arial"/>
              <w:b/>
              <w:i w:val="0"/>
              <w:color w:val="969698"/>
              <w:sz w:val="16"/>
              <w:u w:val="none"/>
            </w:rPr>
            <w:t xml:space="preserve">Enstar Group Limited   </w:t>
          </w:r>
          <w:r>
            <w:rPr>
              <w:rFonts w:ascii="Arial" w:eastAsia="Arial" w:hAnsi="Arial" w:cs="Arial"/>
              <w:b/>
              <w:i w:val="0"/>
              <w:color w:val="171449"/>
              <w:sz w:val="16"/>
              <w:u w:val="none"/>
            </w:rPr>
            <w:t>/</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i</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color w:val="171449"/>
              <w:sz w:val="16"/>
              <w:u w:val="none"/>
            </w:rPr>
            <w:t>/</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w:t>
          </w:r>
          <w:r>
            <w:rPr>
              <w:rFonts w:ascii="Arial" w:eastAsia="Arial" w:hAnsi="Arial" w:cs="Arial"/>
              <w:b/>
              <w:i w:val="0"/>
              <w:color w:val="969698"/>
              <w:sz w:val="16"/>
              <w:u w:val="none"/>
            </w:rPr>
            <w:t>4</w:t>
          </w:r>
          <w:r>
            <w:rPr>
              <w:rFonts w:ascii="Arial" w:eastAsia="Arial" w:hAnsi="Arial" w:cs="Arial"/>
              <w:b/>
              <w:i w:val="0"/>
              <w:color w:val="969698"/>
              <w:sz w:val="16"/>
              <w:u w:val="none"/>
            </w:rPr>
            <w:t xml:space="preserve"> Proxy Statement</w:t>
          </w:r>
        </w:p>
      </w:tc>
      <w:tc>
        <w:tcPr>
          <w:tcW w:w="1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30</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31</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32</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33</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34</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1995"/>
    </w:tblGrid>
    <w:tr>
      <w:tblPrEx>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center"/>
            <w:outlineLvl w:val="1"/>
            <w:rPr>
              <w:rFonts w:ascii="Arial" w:eastAsia="Arial" w:hAnsi="Arial" w:cs="Arial"/>
              <w:b/>
              <w:i w:val="0"/>
              <w:color w:val="969698"/>
              <w:sz w:val="16"/>
              <w:u w:val="none"/>
            </w:rPr>
          </w:pPr>
          <w:r>
            <w:rPr>
              <w:rFonts w:ascii="Arial" w:eastAsia="Arial" w:hAnsi="Arial" w:cs="Arial"/>
              <w:b/>
              <w:i w:val="0"/>
              <w:color w:val="969698"/>
              <w:sz w:val="16"/>
              <w:u w:val="none"/>
            </w:rPr>
            <w:t xml:space="preserve">Enstar Group Limited   </w:t>
          </w:r>
          <w:r>
            <w:rPr>
              <w:rFonts w:ascii="Arial" w:eastAsia="Arial" w:hAnsi="Arial" w:cs="Arial"/>
              <w:b/>
              <w:i w:val="0"/>
              <w:color w:val="171449"/>
              <w:sz w:val="16"/>
              <w:u w:val="none"/>
            </w:rPr>
            <w:t>/</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iii</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color w:val="171449"/>
              <w:sz w:val="16"/>
              <w:u w:val="none"/>
            </w:rPr>
            <w:t>/</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w:t>
          </w:r>
          <w:r>
            <w:rPr>
              <w:rFonts w:ascii="Arial" w:eastAsia="Arial" w:hAnsi="Arial" w:cs="Arial"/>
              <w:b/>
              <w:i w:val="0"/>
              <w:color w:val="969698"/>
              <w:sz w:val="16"/>
              <w:u w:val="none"/>
            </w:rPr>
            <w:t>4</w:t>
          </w:r>
          <w:r>
            <w:rPr>
              <w:rFonts w:ascii="Arial" w:eastAsia="Arial" w:hAnsi="Arial" w:cs="Arial"/>
              <w:b/>
              <w:i w:val="0"/>
              <w:color w:val="969698"/>
              <w:sz w:val="16"/>
              <w:u w:val="none"/>
            </w:rPr>
            <w:t xml:space="preserve"> Proxy Statement</w:t>
          </w:r>
        </w:p>
      </w:tc>
      <w:tc>
        <w:tcPr>
          <w:tcW w:w="1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35</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38</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39</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40</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41</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0"/>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42</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1995"/>
    </w:tblGrid>
    <w:tr>
      <w:tblPrEx>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center"/>
            <w:outlineLvl w:val="1"/>
            <w:rPr>
              <w:rFonts w:ascii="Arial" w:eastAsia="Arial" w:hAnsi="Arial" w:cs="Arial"/>
              <w:b/>
              <w:i w:val="0"/>
              <w:color w:val="969698"/>
              <w:sz w:val="16"/>
              <w:u w:val="none"/>
            </w:rPr>
          </w:pPr>
          <w:r>
            <w:rPr>
              <w:rFonts w:ascii="Arial" w:eastAsia="Arial" w:hAnsi="Arial" w:cs="Arial"/>
              <w:b/>
              <w:i w:val="0"/>
              <w:color w:val="969698"/>
              <w:sz w:val="16"/>
              <w:u w:val="none"/>
            </w:rPr>
            <w:t xml:space="preserve">Enstar Group Limited   </w:t>
          </w:r>
          <w:r>
            <w:rPr>
              <w:rFonts w:ascii="Arial" w:eastAsia="Arial" w:hAnsi="Arial" w:cs="Arial"/>
              <w:b/>
              <w:i w:val="0"/>
              <w:color w:val="171449"/>
              <w:sz w:val="16"/>
              <w:u w:val="none"/>
            </w:rPr>
            <w:t>/</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iv</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color w:val="171449"/>
              <w:sz w:val="16"/>
              <w:u w:val="none"/>
            </w:rPr>
            <w:t>/</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w:t>
          </w:r>
          <w:r>
            <w:rPr>
              <w:rFonts w:ascii="Arial" w:eastAsia="Arial" w:hAnsi="Arial" w:cs="Arial"/>
              <w:b/>
              <w:i w:val="0"/>
              <w:color w:val="969698"/>
              <w:sz w:val="16"/>
              <w:u w:val="none"/>
            </w:rPr>
            <w:t>4</w:t>
          </w:r>
          <w:r>
            <w:rPr>
              <w:rFonts w:ascii="Arial" w:eastAsia="Arial" w:hAnsi="Arial" w:cs="Arial"/>
              <w:b/>
              <w:i w:val="0"/>
              <w:color w:val="969698"/>
              <w:sz w:val="16"/>
              <w:u w:val="none"/>
            </w:rPr>
            <w:t xml:space="preserve"> Proxy Statement</w:t>
          </w:r>
        </w:p>
      </w:tc>
      <w:tc>
        <w:tcPr>
          <w:tcW w:w="1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43</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1"/>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44</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45</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46</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48</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49</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1995"/>
    </w:tblGrid>
    <w:tr>
      <w:tblPrEx>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center"/>
            <w:outlineLvl w:val="1"/>
            <w:rPr>
              <w:rFonts w:ascii="Arial" w:eastAsia="Arial" w:hAnsi="Arial" w:cs="Arial"/>
              <w:b/>
              <w:i w:val="0"/>
              <w:color w:val="969698"/>
              <w:sz w:val="16"/>
              <w:u w:val="none"/>
            </w:rPr>
          </w:pPr>
          <w:r>
            <w:rPr>
              <w:rFonts w:ascii="Arial" w:eastAsia="Arial" w:hAnsi="Arial" w:cs="Arial"/>
              <w:b/>
              <w:i w:val="0"/>
              <w:color w:val="969698"/>
              <w:sz w:val="16"/>
              <w:u w:val="none"/>
            </w:rPr>
            <w:t xml:space="preserve">Enstar Group Limited   </w:t>
          </w:r>
          <w:r>
            <w:rPr>
              <w:rFonts w:ascii="Arial" w:eastAsia="Arial" w:hAnsi="Arial" w:cs="Arial"/>
              <w:b/>
              <w:i w:val="0"/>
              <w:color w:val="171449"/>
              <w:sz w:val="16"/>
              <w:u w:val="none"/>
            </w:rPr>
            <w:t>/</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v</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color w:val="171449"/>
              <w:sz w:val="16"/>
              <w:u w:val="none"/>
            </w:rPr>
            <w:t>/</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w:t>
          </w:r>
          <w:r>
            <w:rPr>
              <w:rFonts w:ascii="Arial" w:eastAsia="Arial" w:hAnsi="Arial" w:cs="Arial"/>
              <w:b/>
              <w:i w:val="0"/>
              <w:color w:val="969698"/>
              <w:sz w:val="16"/>
              <w:u w:val="none"/>
            </w:rPr>
            <w:t>4</w:t>
          </w:r>
          <w:r>
            <w:rPr>
              <w:rFonts w:ascii="Arial" w:eastAsia="Arial" w:hAnsi="Arial" w:cs="Arial"/>
              <w:b/>
              <w:i w:val="0"/>
              <w:color w:val="969698"/>
              <w:sz w:val="16"/>
              <w:u w:val="none"/>
            </w:rPr>
            <w:t xml:space="preserve"> Proxy Statement</w:t>
          </w:r>
        </w:p>
      </w:tc>
      <w:tc>
        <w:tcPr>
          <w:tcW w:w="1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50</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51</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52</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53</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54</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1995"/>
    </w:tblGrid>
    <w:tr>
      <w:tblPrEx>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center"/>
            <w:outlineLvl w:val="1"/>
            <w:rPr>
              <w:rFonts w:ascii="Arial" w:eastAsia="Arial" w:hAnsi="Arial" w:cs="Arial"/>
              <w:b/>
              <w:i w:val="0"/>
              <w:color w:val="969698"/>
              <w:sz w:val="16"/>
              <w:u w:val="none"/>
            </w:rPr>
          </w:pPr>
          <w:r>
            <w:rPr>
              <w:rFonts w:ascii="Arial" w:eastAsia="Arial" w:hAnsi="Arial" w:cs="Arial"/>
              <w:b/>
              <w:i w:val="0"/>
              <w:color w:val="969698"/>
              <w:sz w:val="16"/>
              <w:u w:val="none"/>
            </w:rPr>
            <w:t xml:space="preserve">Enstar Group Limited   </w:t>
          </w:r>
          <w:r>
            <w:rPr>
              <w:rFonts w:ascii="Arial" w:eastAsia="Arial" w:hAnsi="Arial" w:cs="Arial"/>
              <w:b/>
              <w:i w:val="0"/>
              <w:color w:val="171449"/>
              <w:sz w:val="16"/>
              <w:u w:val="none"/>
            </w:rPr>
            <w:t>/</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vi</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color w:val="171449"/>
              <w:sz w:val="16"/>
              <w:u w:val="none"/>
            </w:rPr>
            <w:t>/</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w:t>
          </w:r>
          <w:r>
            <w:rPr>
              <w:rFonts w:ascii="Arial" w:eastAsia="Arial" w:hAnsi="Arial" w:cs="Arial"/>
              <w:b/>
              <w:i w:val="0"/>
              <w:color w:val="969698"/>
              <w:sz w:val="16"/>
              <w:u w:val="none"/>
            </w:rPr>
            <w:t>4</w:t>
          </w:r>
          <w:r>
            <w:rPr>
              <w:rFonts w:ascii="Arial" w:eastAsia="Arial" w:hAnsi="Arial" w:cs="Arial"/>
              <w:b/>
              <w:i w:val="0"/>
              <w:color w:val="969698"/>
              <w:sz w:val="16"/>
              <w:u w:val="none"/>
            </w:rPr>
            <w:t xml:space="preserve"> Proxy Statement</w:t>
          </w:r>
        </w:p>
      </w:tc>
      <w:tc>
        <w:tcPr>
          <w:tcW w:w="1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55</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56</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57</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58</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61</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64</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67</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70</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1995"/>
    </w:tblGrid>
    <w:tr>
      <w:tblPrEx>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center"/>
            <w:outlineLvl w:val="1"/>
            <w:rPr>
              <w:rFonts w:ascii="Arial" w:eastAsia="Arial" w:hAnsi="Arial" w:cs="Arial"/>
              <w:b/>
              <w:i w:val="0"/>
              <w:color w:val="969698"/>
              <w:sz w:val="16"/>
              <w:u w:val="none"/>
            </w:rPr>
          </w:pPr>
          <w:r>
            <w:rPr>
              <w:rFonts w:ascii="Arial" w:eastAsia="Arial" w:hAnsi="Arial" w:cs="Arial"/>
              <w:b/>
              <w:i w:val="0"/>
              <w:color w:val="969698"/>
              <w:sz w:val="16"/>
              <w:u w:val="none"/>
            </w:rPr>
            <w:t xml:space="preserve">Enstar Group Limited   </w:t>
          </w:r>
          <w:r>
            <w:rPr>
              <w:rFonts w:ascii="Arial" w:eastAsia="Arial" w:hAnsi="Arial" w:cs="Arial"/>
              <w:b/>
              <w:i w:val="0"/>
              <w:color w:val="171449"/>
              <w:sz w:val="16"/>
              <w:u w:val="none"/>
            </w:rPr>
            <w:t>/</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vii</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color w:val="171449"/>
              <w:sz w:val="16"/>
              <w:u w:val="none"/>
            </w:rPr>
            <w:t>/</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w:t>
          </w:r>
          <w:r>
            <w:rPr>
              <w:rFonts w:ascii="Arial" w:eastAsia="Arial" w:hAnsi="Arial" w:cs="Arial"/>
              <w:b/>
              <w:i w:val="0"/>
              <w:color w:val="969698"/>
              <w:sz w:val="16"/>
              <w:u w:val="none"/>
            </w:rPr>
            <w:t>4</w:t>
          </w:r>
          <w:r>
            <w:rPr>
              <w:rFonts w:ascii="Arial" w:eastAsia="Arial" w:hAnsi="Arial" w:cs="Arial"/>
              <w:b/>
              <w:i w:val="0"/>
              <w:color w:val="969698"/>
              <w:sz w:val="16"/>
              <w:u w:val="none"/>
            </w:rPr>
            <w:t xml:space="preserve"> Proxy Statement</w:t>
          </w:r>
        </w:p>
      </w:tc>
      <w:tc>
        <w:tcPr>
          <w:tcW w:w="19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72</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73</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74</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kern w:val="16"/>
              <w:sz w:val="16"/>
              <w:szCs w:val="24"/>
              <w:u w:val="none"/>
              <w:lang w:val="en-US" w:eastAsia="en-US" w:bidi="ar-SA"/>
            </w:rPr>
            <w:t>75</w:t>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3"/>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995"/>
      <w:gridCol w:w="6195"/>
      <w:gridCol w:w="2070"/>
    </w:tblGrid>
    <w:tr>
      <w:tblPrEx>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255"/>
        <w:jc w:val="center"/>
      </w:trPr>
      <w:tc>
        <w:tcPr>
          <w:tcW w:w="1995" w:type="dxa"/>
          <w:tcBorders>
            <w:top w:val="nil"/>
            <w:left w:val="nil"/>
            <w:bottom w:val="nil"/>
            <w:right w:val="nil"/>
          </w:tcBorders>
          <w:tcMar>
            <w:top w:w="0" w:type="dxa"/>
            <w:left w:w="0" w:type="dxa"/>
            <w:bottom w:w="0" w:type="dxa"/>
            <w:right w:w="0" w:type="dxa"/>
          </w:tcMar>
          <w:vAlign w:val="bottom"/>
        </w:tcPr>
        <w:p>
          <w:pPr>
            <w:pageBreakBefore w:val="0"/>
            <w:spacing w:before="0" w:after="0"/>
          </w:pPr>
        </w:p>
      </w:tc>
      <w:tc>
        <w:tcPr>
          <w:tcW w:w="6195"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300" w:lineRule="auto"/>
            <w:ind w:left="0" w:right="0" w:firstLine="0"/>
            <w:jc w:val="both"/>
            <w:outlineLvl w:val="2"/>
            <w:rPr>
              <w:rFonts w:ascii="Arial" w:eastAsia="Arial" w:hAnsi="Arial" w:cs="Arial"/>
              <w:b w:val="0"/>
              <w:i w:val="0"/>
              <w:color w:val="969698"/>
              <w:sz w:val="20"/>
              <w:u w:val="none"/>
            </w:rPr>
          </w:pPr>
          <w:r>
            <w:rPr>
              <w:rFonts w:ascii="Arial" w:eastAsia="Arial" w:hAnsi="Arial" w:cs="Arial"/>
              <w:b/>
              <w:i w:val="0"/>
              <w:color w:val="969698"/>
              <w:sz w:val="16"/>
              <w:u w:val="none"/>
            </w:rPr>
            <w:t xml:space="preserve">Enstar Group Limited  </w:t>
          </w:r>
          <w:r>
            <w:rPr>
              <w:rFonts w:ascii="Arial" w:eastAsia="Arial" w:hAnsi="Arial" w:cs="Arial"/>
              <w:b/>
              <w:i w:val="0"/>
              <w:sz w:val="16"/>
            </w:rPr>
            <w:t xml:space="preserve"> /</w:t>
          </w:r>
          <w:r>
            <w:rPr>
              <w:rFonts w:ascii="Arial" w:eastAsia="Arial" w:hAnsi="Arial" w:cs="Arial"/>
              <w:b/>
              <w:i w:val="0"/>
              <w:color w:val="4495D1"/>
              <w:sz w:val="16"/>
              <w:u w:val="none"/>
            </w:rPr>
            <w:t xml:space="preserve">  </w:t>
          </w:r>
          <w:r>
            <w:rPr>
              <w:rFonts w:ascii="Arial" w:eastAsia="Arial" w:hAnsi="Arial" w:cs="Arial"/>
              <w:b/>
              <w:i w:val="0"/>
              <w:color w:val="4495D1"/>
              <w:sz w:val="16"/>
              <w:u w:val="none"/>
            </w:rPr>
            <w:fldChar w:fldCharType="begin"/>
          </w:r>
          <w:r>
            <w:rPr>
              <w:rFonts w:ascii="Arial" w:eastAsia="Arial" w:hAnsi="Arial" w:cs="Arial"/>
              <w:b/>
              <w:i w:val="0"/>
              <w:color w:val="4495D1"/>
              <w:sz w:val="16"/>
              <w:u w:val="none"/>
            </w:rPr>
            <w:instrText xml:space="preserve"> PAGE </w:instrText>
          </w:r>
          <w:r>
            <w:rPr>
              <w:rFonts w:ascii="Arial" w:eastAsia="Arial" w:hAnsi="Arial" w:cs="Arial"/>
              <w:b/>
              <w:i w:val="0"/>
              <w:color w:val="4495D1"/>
              <w:sz w:val="16"/>
              <w:u w:val="none"/>
            </w:rPr>
            <w:fldChar w:fldCharType="separate"/>
          </w:r>
          <w:r>
            <w:rPr>
              <w:rFonts w:ascii="Arial" w:eastAsia="Arial" w:hAnsi="Arial" w:cs="Arial"/>
              <w:b/>
              <w:i w:val="0"/>
              <w:color w:val="4495D1"/>
              <w:sz w:val="16"/>
              <w:u w:val="none"/>
            </w:rPr>
            <w:fldChar w:fldCharType="end"/>
          </w:r>
          <w:r>
            <w:rPr>
              <w:rFonts w:ascii="Arial" w:eastAsia="Arial" w:hAnsi="Arial" w:cs="Arial"/>
              <w:b/>
              <w:i w:val="0"/>
              <w:color w:val="969698"/>
              <w:sz w:val="16"/>
              <w:u w:val="none"/>
            </w:rPr>
            <w:t xml:space="preserve"> </w:t>
          </w:r>
          <w:r>
            <w:rPr>
              <w:rFonts w:ascii="Arial" w:eastAsia="Arial" w:hAnsi="Arial" w:cs="Arial"/>
              <w:b/>
              <w:i w:val="0"/>
              <w:sz w:val="16"/>
            </w:rPr>
            <w:t xml:space="preserve"> / </w:t>
          </w:r>
          <w:r>
            <w:rPr>
              <w:rFonts w:ascii="Arial" w:eastAsia="Arial" w:hAnsi="Arial" w:cs="Arial"/>
              <w:b/>
              <w:i w:val="0"/>
              <w:color w:val="4495D1"/>
              <w:sz w:val="16"/>
              <w:u w:val="none"/>
            </w:rPr>
            <w:t xml:space="preserve">  </w:t>
          </w:r>
          <w:r>
            <w:rPr>
              <w:rFonts w:ascii="Arial" w:eastAsia="Arial" w:hAnsi="Arial" w:cs="Arial"/>
              <w:b/>
              <w:i w:val="0"/>
              <w:color w:val="969698"/>
              <w:sz w:val="16"/>
              <w:u w:val="none"/>
            </w:rPr>
            <w:t>2024</w:t>
          </w:r>
          <w:r>
            <w:rPr>
              <w:rFonts w:ascii="Arial" w:eastAsia="Arial" w:hAnsi="Arial" w:cs="Arial"/>
              <w:b/>
              <w:i w:val="0"/>
              <w:color w:val="969698"/>
              <w:sz w:val="16"/>
              <w:u w:val="none"/>
            </w:rPr>
            <w:t xml:space="preserve"> Proxy Statement</w:t>
          </w:r>
        </w:p>
      </w:tc>
      <w:tc>
        <w:tcPr>
          <w:tcW w:w="2070" w:type="dxa"/>
          <w:tcBorders>
            <w:top w:val="nil"/>
            <w:left w:val="nil"/>
            <w:bottom w:val="nil"/>
            <w:right w:val="nil"/>
          </w:tcBorders>
          <w:tcMar>
            <w:top w:w="0" w:type="dxa"/>
            <w:left w:w="53" w:type="dxa"/>
            <w:bottom w:w="0" w:type="dxa"/>
            <w:right w:w="53" w:type="dxa"/>
          </w:tcMar>
          <w:vAlign w:val="bottom"/>
        </w:tcPr>
        <w:p>
          <w:pPr>
            <w:pageBreakBefore w:val="0"/>
            <w:numPr>
              <w:ilvl w:val="0"/>
              <w:numId w:val="0"/>
            </w:numPr>
            <w:spacing w:before="53" w:after="30" w:line="240" w:lineRule="auto"/>
            <w:ind w:left="0" w:right="0" w:firstLine="0"/>
            <w:jc w:val="right"/>
            <w:outlineLvl w:val="9"/>
            <w:rPr>
              <w:rFonts w:ascii="Arial" w:eastAsia="Arial" w:hAnsi="Arial" w:cs="Arial"/>
              <w:b w:val="0"/>
              <w:i w:val="0"/>
              <w:sz w:val="16"/>
              <w:shd w:val="clear" w:color="auto" w:fill="auto"/>
            </w:rPr>
          </w:pPr>
          <w:hyperlink w:anchor="Section5" w:history="1">
            <w:r>
              <w:rPr>
                <w:rFonts w:ascii="Arial" w:eastAsia="Arial" w:hAnsi="Arial" w:cs="Arial"/>
                <w:b w:val="0"/>
                <w:i w:val="0"/>
                <w:color w:val="0000FF"/>
                <w:sz w:val="16"/>
                <w:u w:val="single"/>
                <w:shd w:val="clear" w:color="auto" w:fill="auto"/>
              </w:rPr>
              <w:t>Table of Contents</w:t>
            </w:r>
          </w:hyperlink>
        </w:p>
      </w:tc>
    </w:tr>
  </w:tbl>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120" w:line="288" w:lineRule="auto"/>
      <w:ind w:left="270" w:right="270" w:firstLine="0"/>
      <w:jc w:val="both"/>
      <w:outlineLvl w:val="9"/>
      <w:rPr>
        <w:rFonts w:ascii="Times New Roman" w:eastAsia="Times New Roman" w:hAnsi="Times New Roman" w:cs="Times New Roman"/>
        <w:b w:val="0"/>
        <w:i w:val="0"/>
        <w:color w:val="FF0090"/>
        <w:sz w:val="20"/>
        <w:u w:val="none"/>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Other Matters</w:t>
          </w:r>
        </w:p>
      </w:tc>
    </w:tr>
  </w:tbl>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120" w:line="288" w:lineRule="auto"/>
      <w:ind w:left="0" w:right="0" w:firstLine="0"/>
      <w:jc w:val="both"/>
      <w:outlineLvl w:val="9"/>
      <w:rPr>
        <w:rFonts w:ascii="Times New Roman" w:eastAsia="Times New Roman" w:hAnsi="Times New Roman" w:cs="Times New Roman"/>
        <w:b w:val="0"/>
        <w:i w:val="0"/>
        <w:color w:val="FF0090"/>
        <w:sz w:val="20"/>
        <w:u w:val="none"/>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120" w:line="288" w:lineRule="auto"/>
      <w:ind w:left="270" w:right="270" w:firstLine="0"/>
      <w:jc w:val="both"/>
      <w:outlineLvl w:val="9"/>
      <w:rPr>
        <w:rFonts w:ascii="Times New Roman" w:eastAsia="Times New Roman" w:hAnsi="Times New Roman" w:cs="Times New Roman"/>
        <w:b w:val="0"/>
        <w:i w:val="0"/>
        <w:color w:val="FF0090"/>
        <w:sz w:val="20"/>
        <w:u w:val="none"/>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keepNext w:val="0"/>
      <w:keepLines w:val="0"/>
      <w:pageBreakBefore w:val="0"/>
      <w:widowControl/>
      <w:numPr>
        <w:ilvl w:val="0"/>
        <w:numId w:val="0"/>
      </w:numPr>
      <w:spacing w:before="0" w:after="0" w:line="288" w:lineRule="auto"/>
      <w:ind w:left="270" w:right="270" w:firstLine="0"/>
      <w:jc w:val="both"/>
      <w:outlineLvl w:val="9"/>
      <w:rPr>
        <w:rFonts w:ascii="Times New Roman" w:eastAsia="Times New Roman" w:hAnsi="Times New Roman" w:cs="Times New Roman"/>
        <w:b w:val="0"/>
        <w:i w:val="0"/>
        <w:color w:val="FF0090"/>
        <w:sz w:val="16"/>
        <w:u w:val="none"/>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
    <w:tblGrid>
      <w:gridCol w:w="1620"/>
      <w:gridCol w:w="1620"/>
      <w:gridCol w:w="1620"/>
      <w:gridCol w:w="1620"/>
      <w:gridCol w:w="2115"/>
      <w:gridCol w:w="1620"/>
    </w:tblGrid>
    <w:tr>
      <w:tblPrEx>
        <w:tblW w:w="10215" w:type="dxa"/>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PrEx>
      <w:trPr>
        <w:cantSplit/>
        <w:trHeight w:hRule="exact" w:val="405"/>
        <w:jc w:val="left"/>
      </w:trPr>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Proxy Statement Summary</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Corporate Governance</w:t>
          </w:r>
        </w:p>
      </w:tc>
      <w:tc>
        <w:tcPr>
          <w:tcW w:w="1620" w:type="dxa"/>
          <w:tcBorders>
            <w:top w:val="nil"/>
            <w:left w:val="nil"/>
            <w:bottom w:val="single" w:sz="8" w:space="0" w:color="4499D1"/>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4495D1"/>
              <w:sz w:val="14"/>
              <w:u w:val="none"/>
            </w:rPr>
            <w:t>Executive Compensation</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Audit Matters</w:t>
          </w:r>
        </w:p>
      </w:tc>
      <w:tc>
        <w:tcPr>
          <w:tcW w:w="2115"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Certain Relationships and Related Party Transactions</w:t>
          </w:r>
        </w:p>
      </w:tc>
      <w:tc>
        <w:tcPr>
          <w:tcW w:w="1620" w:type="dxa"/>
          <w:tcBorders>
            <w:top w:val="nil"/>
            <w:left w:val="nil"/>
            <w:bottom w:val="nil"/>
            <w:right w:val="nil"/>
          </w:tcBorders>
          <w:tcMar>
            <w:top w:w="0" w:type="dxa"/>
            <w:left w:w="53" w:type="dxa"/>
            <w:bottom w:w="0" w:type="dxa"/>
            <w:right w:w="53" w:type="dxa"/>
          </w:tcMar>
          <w:vAlign w:val="center"/>
        </w:tcPr>
        <w:p>
          <w:pPr>
            <w:pageBreakBefore w:val="0"/>
            <w:spacing w:before="0" w:after="0" w:line="288" w:lineRule="auto"/>
            <w:jc w:val="center"/>
          </w:pPr>
          <w:r>
            <w:rPr>
              <w:rFonts w:ascii="Arial" w:eastAsia="Arial" w:hAnsi="Arial" w:cs="Arial"/>
              <w:b/>
              <w:i w:val="0"/>
              <w:color w:val="969698"/>
              <w:sz w:val="14"/>
              <w:u w:val="none"/>
            </w:rPr>
            <w:t>Other Matters</w:t>
          </w:r>
        </w:p>
      </w:tc>
    </w:tr>
  </w:tbl>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styleLink w:val="bulletasterisk"/>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1">
    <w:nsid w:val="00000002"/>
    <w:multiLevelType w:val="multilevel"/>
    <w:tmpl w:val="00000002"/>
    <w:styleLink w:val="bulletcircle"/>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2">
    <w:nsid w:val="00000003"/>
    <w:multiLevelType w:val="multilevel"/>
    <w:tmpl w:val="00000003"/>
    <w:styleLink w:val="bulletdagger"/>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3">
    <w:nsid w:val="00000004"/>
    <w:multiLevelType w:val="multilevel"/>
    <w:tmpl w:val="00000004"/>
    <w:styleLink w:val="bulletdash"/>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4">
    <w:nsid w:val="00000005"/>
    <w:multiLevelType w:val="multilevel"/>
    <w:tmpl w:val="00000005"/>
    <w:styleLink w:val="bulletlargebox"/>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5">
    <w:nsid w:val="00000006"/>
    <w:multiLevelType w:val="multilevel"/>
    <w:tmpl w:val="00000006"/>
    <w:styleLink w:val="bulletround"/>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6">
    <w:nsid w:val="00000007"/>
    <w:multiLevelType w:val="multilevel"/>
    <w:tmpl w:val="00000007"/>
    <w:styleLink w:val="bulletsquare"/>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18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18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180"/>
      </w:pPr>
    </w:lvl>
  </w:abstractNum>
  <w:abstractNum w:abstractNumId="7">
    <w:nsid w:val="00000008"/>
    <w:multiLevelType w:val="multilevel"/>
    <w:tmpl w:val="00000008"/>
    <w:styleLink w:val="listarabi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9"/>
    <w:multiLevelType w:val="multilevel"/>
    <w:tmpl w:val="00000009"/>
    <w:styleLink w:val="listlatinlowercas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Roman"/>
      <w:lvlText w:val="%5."/>
      <w:lvlJc w:val="right"/>
      <w:pPr>
        <w:tabs>
          <w:tab w:val="num" w:pos="3600"/>
        </w:tabs>
        <w:ind w:left="3600" w:hanging="360"/>
      </w:pPr>
    </w:lvl>
    <w:lvl w:ilvl="5">
      <w:start w:val="1"/>
      <w:numFmt w:val="decimal"/>
      <w:lvlText w:val="%6."/>
      <w:lvlJc w:val="left"/>
      <w:pPr>
        <w:tabs>
          <w:tab w:val="num" w:pos="4320"/>
        </w:tabs>
        <w:ind w:left="4320" w:hanging="180"/>
      </w:pPr>
    </w:lvl>
    <w:lvl w:ilvl="6">
      <w:start w:val="1"/>
      <w:numFmt w:val="lowerLetter"/>
      <w:lvlText w:val="%7."/>
      <w:lvlJc w:val="left"/>
      <w:pPr>
        <w:tabs>
          <w:tab w:val="num" w:pos="5040"/>
        </w:tabs>
        <w:ind w:left="5040" w:hanging="360"/>
      </w:pPr>
    </w:lvl>
    <w:lvl w:ilvl="7">
      <w:start w:val="1"/>
      <w:numFmt w:val="lowerRoman"/>
      <w:lvlText w:val="%8."/>
      <w:lvlJc w:val="right"/>
      <w:pPr>
        <w:tabs>
          <w:tab w:val="num" w:pos="5760"/>
        </w:tabs>
        <w:ind w:left="5760" w:hanging="360"/>
      </w:pPr>
    </w:lvl>
    <w:lvl w:ilvl="8">
      <w:start w:val="1"/>
      <w:numFmt w:val="decimal"/>
      <w:lvlText w:val="%9."/>
      <w:lvlJc w:val="left"/>
      <w:pPr>
        <w:tabs>
          <w:tab w:val="num" w:pos="6480"/>
        </w:tabs>
        <w:ind w:left="6480" w:hanging="180"/>
      </w:pPr>
    </w:lvl>
  </w:abstractNum>
  <w:abstractNum w:abstractNumId="9">
    <w:nsid w:val="0000000A"/>
    <w:multiLevelType w:val="multilevel"/>
    <w:tmpl w:val="0000000A"/>
    <w:styleLink w:val="listlatinuppercase"/>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0B"/>
    <w:multiLevelType w:val="multilevel"/>
    <w:tmpl w:val="0000000B"/>
    <w:styleLink w:val="listromanlowercase"/>
    <w:lvl w:ilvl="0">
      <w:start w:val="1"/>
      <w:numFmt w:val="lowerRoman"/>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180"/>
      </w:pPr>
    </w:lvl>
    <w:lvl w:ilvl="3">
      <w:start w:val="1"/>
      <w:numFmt w:val="lowerRoman"/>
      <w:lvlText w:val="%4."/>
      <w:lvlJc w:val="righ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left"/>
      <w:pPr>
        <w:tabs>
          <w:tab w:val="num" w:pos="4320"/>
        </w:tabs>
        <w:ind w:left="4320" w:hanging="180"/>
      </w:pPr>
    </w:lvl>
    <w:lvl w:ilvl="6">
      <w:start w:val="1"/>
      <w:numFmt w:val="lowerRoman"/>
      <w:lvlText w:val="%7."/>
      <w:lvlJc w:val="right"/>
      <w:pPr>
        <w:tabs>
          <w:tab w:val="num" w:pos="5040"/>
        </w:tabs>
        <w:ind w:left="5040" w:hanging="360"/>
      </w:pPr>
    </w:lvl>
    <w:lvl w:ilvl="7">
      <w:start w:val="1"/>
      <w:numFmt w:val="decimal"/>
      <w:lvlText w:val="%8."/>
      <w:lvlJc w:val="left"/>
      <w:pPr>
        <w:tabs>
          <w:tab w:val="num" w:pos="5760"/>
        </w:tabs>
        <w:ind w:left="5760" w:hanging="360"/>
      </w:pPr>
    </w:lvl>
    <w:lvl w:ilvl="8">
      <w:start w:val="1"/>
      <w:numFmt w:val="lowerLetter"/>
      <w:lvlText w:val="%9."/>
      <w:lvlJc w:val="left"/>
      <w:pPr>
        <w:tabs>
          <w:tab w:val="num" w:pos="6480"/>
        </w:tabs>
        <w:ind w:left="6480" w:hanging="180"/>
      </w:pPr>
    </w:lvl>
  </w:abstractNum>
  <w:abstractNum w:abstractNumId="11">
    <w:nsid w:val="0000000C"/>
    <w:multiLevelType w:val="multilevel"/>
    <w:tmpl w:val="0000000C"/>
    <w:styleLink w:val="listromanuppercase"/>
    <w:lvl w:ilvl="0">
      <w:start w:val="1"/>
      <w:numFmt w:val="upperRoman"/>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Roman"/>
      <w:lvlText w:val="%5."/>
      <w:lvlJc w:val="right"/>
      <w:pPr>
        <w:tabs>
          <w:tab w:val="num" w:pos="3600"/>
        </w:tabs>
        <w:ind w:left="3600" w:hanging="360"/>
      </w:pPr>
    </w:lvl>
    <w:lvl w:ilvl="5">
      <w:start w:val="1"/>
      <w:numFmt w:val="decimal"/>
      <w:lvlText w:val="%6."/>
      <w:lvlJc w:val="left"/>
      <w:pPr>
        <w:tabs>
          <w:tab w:val="num" w:pos="4320"/>
        </w:tabs>
        <w:ind w:left="4320" w:hanging="180"/>
      </w:pPr>
    </w:lvl>
    <w:lvl w:ilvl="6">
      <w:start w:val="1"/>
      <w:numFmt w:val="lowerLetter"/>
      <w:lvlText w:val="%7."/>
      <w:lvlJc w:val="left"/>
      <w:pPr>
        <w:tabs>
          <w:tab w:val="num" w:pos="5040"/>
        </w:tabs>
        <w:ind w:left="5040" w:hanging="360"/>
      </w:pPr>
    </w:lvl>
    <w:lvl w:ilvl="7">
      <w:start w:val="1"/>
      <w:numFmt w:val="lowerRoman"/>
      <w:lvlText w:val="%8."/>
      <w:lvlJc w:val="right"/>
      <w:pPr>
        <w:tabs>
          <w:tab w:val="num" w:pos="5760"/>
        </w:tabs>
        <w:ind w:left="5760" w:hanging="360"/>
      </w:pPr>
    </w:lvl>
    <w:lvl w:ilvl="8">
      <w:start w:val="1"/>
      <w:numFmt w:val="decimal"/>
      <w:lvlText w:val="%9."/>
      <w:lvlJc w:val="left"/>
      <w:pPr>
        <w:tabs>
          <w:tab w:val="num" w:pos="6480"/>
        </w:tabs>
        <w:ind w:left="6480" w:hanging="180"/>
      </w:pPr>
    </w:lvl>
  </w:abstractNum>
  <w:abstractNum w:abstractNumId="12">
    <w:nsid w:val="0000000D"/>
    <w:multiLevelType w:val="multilevel"/>
    <w:tmpl w:val="0000000D"/>
    <w:styleLink w:val="outlinearabi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180"/>
      </w:pPr>
    </w:lvl>
  </w:abstractNum>
  <w:abstractNum w:abstractNumId="13">
    <w:nsid w:val="0000000E"/>
    <w:multiLevelType w:val="hybridMultilevel"/>
    <w:tmpl w:val="0000000E"/>
    <w:lvl w:ilvl="0">
      <w:start w:val="1"/>
      <w:numFmt w:val="bullet"/>
      <w:lvlText w:val="■"/>
      <w:lvlJc w:val="left"/>
      <w:pPr>
        <w:tabs>
          <w:tab w:val="num" w:pos="36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0F"/>
    <w:multiLevelType w:val="hybridMultilevel"/>
    <w:tmpl w:val="0000000F"/>
    <w:lvl w:ilvl="0">
      <w:start w:val="1"/>
      <w:numFmt w:val="bullet"/>
      <w:lvlText w:val="■"/>
      <w:lvlJc w:val="left"/>
      <w:pPr>
        <w:tabs>
          <w:tab w:val="num" w:pos="36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0"/>
    <w:multiLevelType w:val="hybridMultilevel"/>
    <w:tmpl w:val="00000010"/>
    <w:lvl w:ilvl="0">
      <w:start w:val="1"/>
      <w:numFmt w:val="bullet"/>
      <w:lvlText w:val="■"/>
      <w:lvlJc w:val="left"/>
      <w:pPr>
        <w:tabs>
          <w:tab w:val="num" w:pos="36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
    <w:nsid w:val="00000011"/>
    <w:multiLevelType w:val="hybridMultilevel"/>
    <w:tmpl w:val="00000011"/>
    <w:lvl w:ilvl="0">
      <w:start w:val="1"/>
      <w:numFmt w:val="bullet"/>
      <w:lvlText w:val="•"/>
      <w:lvlJc w:val="left"/>
      <w:pPr>
        <w:tabs>
          <w:tab w:val="num" w:pos="27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
    <w:nsid w:val="00000012"/>
    <w:multiLevelType w:val="hybridMultilevel"/>
    <w:tmpl w:val="00000012"/>
    <w:lvl w:ilvl="0">
      <w:start w:val="1"/>
      <w:numFmt w:val="bullet"/>
      <w:lvlText w:val="•"/>
      <w:lvlJc w:val="left"/>
      <w:pPr>
        <w:tabs>
          <w:tab w:val="num" w:pos="27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13"/>
    <w:multiLevelType w:val="hybridMultilevel"/>
    <w:tmpl w:val="00000013"/>
    <w:lvl w:ilvl="0">
      <w:start w:val="1"/>
      <w:numFmt w:val="bullet"/>
      <w:lvlText w:val="•"/>
      <w:lvlJc w:val="left"/>
      <w:pPr>
        <w:tabs>
          <w:tab w:val="num" w:pos="27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
    <w:nsid w:val="00000014"/>
    <w:multiLevelType w:val="hybridMultilevel"/>
    <w:tmpl w:val="00000014"/>
    <w:lvl w:ilvl="0">
      <w:start w:val="1"/>
      <w:numFmt w:val="bullet"/>
      <w:lvlText w:val="•"/>
      <w:lvlJc w:val="left"/>
      <w:pPr>
        <w:tabs>
          <w:tab w:val="num" w:pos="27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
    <w:nsid w:val="00000015"/>
    <w:multiLevelType w:val="hybridMultilevel"/>
    <w:tmpl w:val="00000015"/>
    <w:lvl w:ilvl="0">
      <w:start w:val="1"/>
      <w:numFmt w:val="bullet"/>
      <w:lvlText w:val="•"/>
      <w:lvlJc w:val="left"/>
      <w:pPr>
        <w:tabs>
          <w:tab w:val="num" w:pos="27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
    <w:nsid w:val="00000016"/>
    <w:multiLevelType w:val="hybridMultilevel"/>
    <w:tmpl w:val="00000016"/>
    <w:lvl w:ilvl="0">
      <w:start w:val="1"/>
      <w:numFmt w:val="bullet"/>
      <w:lvlText w:val="•"/>
      <w:lvlJc w:val="left"/>
      <w:pPr>
        <w:tabs>
          <w:tab w:val="num" w:pos="27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
    <w:nsid w:val="00000017"/>
    <w:multiLevelType w:val="hybridMultilevel"/>
    <w:tmpl w:val="00000017"/>
    <w:lvl w:ilvl="0">
      <w:start w:val="1"/>
      <w:numFmt w:val="bullet"/>
      <w:lvlText w:val="•"/>
      <w:lvlJc w:val="left"/>
      <w:pPr>
        <w:tabs>
          <w:tab w:val="num" w:pos="27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00000018"/>
    <w:multiLevelType w:val="hybridMultilevel"/>
    <w:tmpl w:val="00000018"/>
    <w:lvl w:ilvl="0">
      <w:start w:val="1"/>
      <w:numFmt w:val="bullet"/>
      <w:lvlText w:val="•"/>
      <w:lvlJc w:val="left"/>
      <w:pPr>
        <w:tabs>
          <w:tab w:val="num" w:pos="27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
    <w:nsid w:val="00000019"/>
    <w:multiLevelType w:val="hybridMultilevel"/>
    <w:tmpl w:val="00000019"/>
    <w:lvl w:ilvl="0">
      <w:start w:val="1"/>
      <w:numFmt w:val="bullet"/>
      <w:lvlText w:val="•"/>
      <w:lvlJc w:val="left"/>
      <w:pPr>
        <w:tabs>
          <w:tab w:val="num" w:pos="27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
    <w:nsid w:val="0000001A"/>
    <w:multiLevelType w:val="hybridMultilevel"/>
    <w:tmpl w:val="0000001A"/>
    <w:lvl w:ilvl="0">
      <w:start w:val="1"/>
      <w:numFmt w:val="bullet"/>
      <w:lvlText w:val="•"/>
      <w:lvlJc w:val="left"/>
      <w:pPr>
        <w:tabs>
          <w:tab w:val="num" w:pos="27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
    <w:nsid w:val="0000001B"/>
    <w:multiLevelType w:val="hybridMultilevel"/>
    <w:tmpl w:val="0000001B"/>
    <w:lvl w:ilvl="0">
      <w:start w:val="1"/>
      <w:numFmt w:val="bullet"/>
      <w:lvlText w:val="•"/>
      <w:lvlJc w:val="left"/>
      <w:pPr>
        <w:tabs>
          <w:tab w:val="num" w:pos="36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
    <w:nsid w:val="0000001C"/>
    <w:multiLevelType w:val="hybridMultilevel"/>
    <w:tmpl w:val="0000001C"/>
    <w:lvl w:ilvl="0">
      <w:start w:val="1"/>
      <w:numFmt w:val="bullet"/>
      <w:lvlText w:val="•"/>
      <w:lvlJc w:val="left"/>
      <w:pPr>
        <w:tabs>
          <w:tab w:val="num" w:pos="36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
    <w:nsid w:val="0000001D"/>
    <w:multiLevelType w:val="hybridMultilevel"/>
    <w:tmpl w:val="0000001D"/>
    <w:lvl w:ilvl="0">
      <w:start w:val="1"/>
      <w:numFmt w:val="bullet"/>
      <w:lvlText w:val="•"/>
      <w:lvlJc w:val="left"/>
      <w:pPr>
        <w:tabs>
          <w:tab w:val="num" w:pos="36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
    <w:nsid w:val="0000001E"/>
    <w:multiLevelType w:val="hybridMultilevel"/>
    <w:tmpl w:val="0000001E"/>
    <w:lvl w:ilvl="0">
      <w:start w:val="1"/>
      <w:numFmt w:val="bullet"/>
      <w:lvlText w:val="•"/>
      <w:lvlJc w:val="left"/>
      <w:pPr>
        <w:tabs>
          <w:tab w:val="num" w:pos="36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
    <w:nsid w:val="0000001F"/>
    <w:multiLevelType w:val="hybridMultilevel"/>
    <w:tmpl w:val="0000001F"/>
    <w:lvl w:ilvl="0">
      <w:start w:val="1"/>
      <w:numFmt w:val="bullet"/>
      <w:lvlText w:val="•"/>
      <w:lvlJc w:val="left"/>
      <w:pPr>
        <w:tabs>
          <w:tab w:val="num" w:pos="36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
    <w:nsid w:val="00000020"/>
    <w:multiLevelType w:val="hybridMultilevel"/>
    <w:tmpl w:val="00000020"/>
    <w:lvl w:ilvl="0">
      <w:start w:val="1"/>
      <w:numFmt w:val="bullet"/>
      <w:lvlText w:val="•"/>
      <w:lvlJc w:val="left"/>
      <w:pPr>
        <w:tabs>
          <w:tab w:val="num" w:pos="36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
    <w:nsid w:val="00000021"/>
    <w:multiLevelType w:val="hybridMultilevel"/>
    <w:tmpl w:val="00000021"/>
    <w:lvl w:ilvl="0">
      <w:start w:val="1"/>
      <w:numFmt w:val="bullet"/>
      <w:lvlText w:val="•"/>
      <w:lvlJc w:val="left"/>
      <w:pPr>
        <w:tabs>
          <w:tab w:val="num" w:pos="36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22"/>
    <w:multiLevelType w:val="hybridMultilevel"/>
    <w:tmpl w:val="00000022"/>
    <w:lvl w:ilvl="0">
      <w:start w:val="1"/>
      <w:numFmt w:val="bullet"/>
      <w:lvlText w:val="•"/>
      <w:lvlJc w:val="left"/>
      <w:pPr>
        <w:tabs>
          <w:tab w:val="num" w:pos="36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
    <w:nsid w:val="00000023"/>
    <w:multiLevelType w:val="hybridMultilevel"/>
    <w:tmpl w:val="00000023"/>
    <w:lvl w:ilvl="0">
      <w:start w:val="1"/>
      <w:numFmt w:val="bullet"/>
      <w:lvlText w:val="•"/>
      <w:lvlJc w:val="left"/>
      <w:pPr>
        <w:tabs>
          <w:tab w:val="num" w:pos="36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
    <w:nsid w:val="00000024"/>
    <w:multiLevelType w:val="hybridMultilevel"/>
    <w:tmpl w:val="00000024"/>
    <w:lvl w:ilvl="0">
      <w:start w:val="1"/>
      <w:numFmt w:val="bullet"/>
      <w:lvlText w:val="•"/>
      <w:lvlJc w:val="left"/>
      <w:pPr>
        <w:tabs>
          <w:tab w:val="num" w:pos="36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
    <w:nsid w:val="00000025"/>
    <w:multiLevelType w:val="hybridMultilevel"/>
    <w:tmpl w:val="00000025"/>
    <w:lvl w:ilvl="0">
      <w:start w:val="1"/>
      <w:numFmt w:val="bullet"/>
      <w:lvlText w:val="•"/>
      <w:lvlJc w:val="left"/>
      <w:pPr>
        <w:tabs>
          <w:tab w:val="num" w:pos="36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
    <w:nsid w:val="00000026"/>
    <w:multiLevelType w:val="hybridMultilevel"/>
    <w:tmpl w:val="00000026"/>
    <w:lvl w:ilvl="0">
      <w:start w:val="1"/>
      <w:numFmt w:val="bullet"/>
      <w:lvlText w:val="•"/>
      <w:lvlJc w:val="left"/>
      <w:pPr>
        <w:tabs>
          <w:tab w:val="num" w:pos="36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
    <w:nsid w:val="00000027"/>
    <w:multiLevelType w:val="hybridMultilevel"/>
    <w:tmpl w:val="00000027"/>
    <w:lvl w:ilvl="0">
      <w:start w:val="1"/>
      <w:numFmt w:val="bullet"/>
      <w:lvlText w:val="•"/>
      <w:lvlJc w:val="left"/>
      <w:pPr>
        <w:tabs>
          <w:tab w:val="num" w:pos="36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
    <w:nsid w:val="00000028"/>
    <w:multiLevelType w:val="hybridMultilevel"/>
    <w:tmpl w:val="00000028"/>
    <w:lvl w:ilvl="0">
      <w:start w:val="1"/>
      <w:numFmt w:val="bullet"/>
      <w:lvlText w:val="•"/>
      <w:lvlJc w:val="left"/>
      <w:pPr>
        <w:tabs>
          <w:tab w:val="num" w:pos="36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
    <w:nsid w:val="00000029"/>
    <w:multiLevelType w:val="hybridMultilevel"/>
    <w:tmpl w:val="00000029"/>
    <w:lvl w:ilvl="0">
      <w:start w:val="1"/>
      <w:numFmt w:val="bullet"/>
      <w:lvlText w:val="•"/>
      <w:lvlJc w:val="left"/>
      <w:pPr>
        <w:tabs>
          <w:tab w:val="num" w:pos="36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
    <w:nsid w:val="0000002A"/>
    <w:multiLevelType w:val="hybridMultilevel"/>
    <w:tmpl w:val="0000002A"/>
    <w:lvl w:ilvl="0">
      <w:start w:val="1"/>
      <w:numFmt w:val="bullet"/>
      <w:lvlText w:val="•"/>
      <w:lvlJc w:val="left"/>
      <w:pPr>
        <w:tabs>
          <w:tab w:val="num" w:pos="36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
    <w:nsid w:val="0000002B"/>
    <w:multiLevelType w:val="hybridMultilevel"/>
    <w:tmpl w:val="0000002B"/>
    <w:lvl w:ilvl="0">
      <w:start w:val="1"/>
      <w:numFmt w:val="bullet"/>
      <w:lvlText w:val="•"/>
      <w:lvlJc w:val="left"/>
      <w:pPr>
        <w:tabs>
          <w:tab w:val="num" w:pos="360"/>
        </w:tabs>
        <w:ind w:left="720" w:hanging="360"/>
      </w:pPr>
      <w:rPr>
        <w:rFonts w:ascii="Arial" w:eastAsia="Arial" w:hAnsi="Arial" w:cs="Arial"/>
        <w:b w:val="0"/>
        <w:i w:val="0"/>
        <w:strike w:val="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
    <w:nsid w:val="0000002C"/>
    <w:multiLevelType w:val="hybridMultilevel"/>
    <w:tmpl w:val="0000002C"/>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2D"/>
    <w:multiLevelType w:val="hybridMultilevel"/>
    <w:tmpl w:val="0000002D"/>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
    <w:nsid w:val="0000002E"/>
    <w:multiLevelType w:val="hybridMultilevel"/>
    <w:tmpl w:val="0000002E"/>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
    <w:nsid w:val="0000002F"/>
    <w:multiLevelType w:val="hybridMultilevel"/>
    <w:tmpl w:val="0000002F"/>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
    <w:nsid w:val="00000030"/>
    <w:multiLevelType w:val="hybridMultilevel"/>
    <w:tmpl w:val="00000030"/>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
    <w:nsid w:val="00000031"/>
    <w:multiLevelType w:val="hybridMultilevel"/>
    <w:tmpl w:val="00000031"/>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
    <w:nsid w:val="00000032"/>
    <w:multiLevelType w:val="hybridMultilevel"/>
    <w:tmpl w:val="00000032"/>
    <w:lvl w:ilvl="0">
      <w:start w:val="1"/>
      <w:numFmt w:val="bullet"/>
      <w:lvlText w:val="■"/>
      <w:lvlJc w:val="left"/>
      <w:pPr>
        <w:tabs>
          <w:tab w:val="num" w:pos="270"/>
        </w:tabs>
        <w:ind w:left="720" w:hanging="360"/>
      </w:pPr>
      <w:rPr>
        <w:rFonts w:ascii="Arial" w:eastAsia="Arial" w:hAnsi="Arial" w:cs="Arial"/>
        <w:b/>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
    <w:nsid w:val="00000033"/>
    <w:multiLevelType w:val="hybridMultilevel"/>
    <w:tmpl w:val="00000033"/>
    <w:lvl w:ilvl="0">
      <w:start w:val="1"/>
      <w:numFmt w:val="bullet"/>
      <w:lvlText w:val="■"/>
      <w:lvlJc w:val="left"/>
      <w:pPr>
        <w:tabs>
          <w:tab w:val="num" w:pos="270"/>
        </w:tabs>
        <w:ind w:left="720" w:hanging="360"/>
      </w:pPr>
      <w:rPr>
        <w:rFonts w:ascii="Arial" w:eastAsia="Arial" w:hAnsi="Arial" w:cs="Arial"/>
        <w:b/>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
    <w:nsid w:val="00000034"/>
    <w:multiLevelType w:val="hybridMultilevel"/>
    <w:tmpl w:val="00000034"/>
    <w:lvl w:ilvl="0">
      <w:start w:val="1"/>
      <w:numFmt w:val="bullet"/>
      <w:lvlText w:val="■"/>
      <w:lvlJc w:val="left"/>
      <w:pPr>
        <w:tabs>
          <w:tab w:val="num" w:pos="270"/>
        </w:tabs>
        <w:ind w:left="720" w:hanging="360"/>
      </w:pPr>
      <w:rPr>
        <w:rFonts w:ascii="Arial" w:eastAsia="Arial" w:hAnsi="Arial" w:cs="Arial"/>
        <w:b/>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nsid w:val="00000035"/>
    <w:multiLevelType w:val="hybridMultilevel"/>
    <w:tmpl w:val="00000035"/>
    <w:lvl w:ilvl="0">
      <w:start w:val="1"/>
      <w:numFmt w:val="bullet"/>
      <w:lvlText w:val="■"/>
      <w:lvlJc w:val="left"/>
      <w:pPr>
        <w:tabs>
          <w:tab w:val="num" w:pos="270"/>
        </w:tabs>
        <w:ind w:left="720" w:hanging="360"/>
      </w:pPr>
      <w:rPr>
        <w:rFonts w:ascii="Arial" w:eastAsia="Arial" w:hAnsi="Arial" w:cs="Arial"/>
        <w:b/>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
    <w:nsid w:val="00000036"/>
    <w:multiLevelType w:val="hybridMultilevel"/>
    <w:tmpl w:val="00000036"/>
    <w:lvl w:ilvl="0">
      <w:start w:val="1"/>
      <w:numFmt w:val="bullet"/>
      <w:lvlText w:val="■"/>
      <w:lvlJc w:val="left"/>
      <w:pPr>
        <w:tabs>
          <w:tab w:val="num" w:pos="270"/>
        </w:tabs>
        <w:ind w:left="720" w:hanging="360"/>
      </w:pPr>
      <w:rPr>
        <w:rFonts w:ascii="Arial" w:eastAsia="Arial" w:hAnsi="Arial" w:cs="Arial"/>
        <w:b/>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
    <w:nsid w:val="00000037"/>
    <w:multiLevelType w:val="hybridMultilevel"/>
    <w:tmpl w:val="00000037"/>
    <w:lvl w:ilvl="0">
      <w:start w:val="1"/>
      <w:numFmt w:val="bullet"/>
      <w:lvlText w:val="■"/>
      <w:lvlJc w:val="left"/>
      <w:pPr>
        <w:tabs>
          <w:tab w:val="num" w:pos="270"/>
        </w:tabs>
        <w:ind w:left="720" w:hanging="360"/>
      </w:pPr>
      <w:rPr>
        <w:rFonts w:ascii="Arial" w:eastAsia="Arial" w:hAnsi="Arial" w:cs="Arial"/>
        <w:b/>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
    <w:nsid w:val="00000038"/>
    <w:multiLevelType w:val="hybridMultilevel"/>
    <w:tmpl w:val="00000038"/>
    <w:lvl w:ilvl="0">
      <w:start w:val="1"/>
      <w:numFmt w:val="bullet"/>
      <w:lvlText w:val="■"/>
      <w:lvlJc w:val="left"/>
      <w:pPr>
        <w:tabs>
          <w:tab w:val="num" w:pos="270"/>
        </w:tabs>
        <w:ind w:left="720" w:hanging="360"/>
      </w:pPr>
      <w:rPr>
        <w:rFonts w:ascii="Arial" w:eastAsia="Arial" w:hAnsi="Arial" w:cs="Arial"/>
        <w:b/>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
    <w:nsid w:val="00000039"/>
    <w:multiLevelType w:val="hybridMultilevel"/>
    <w:tmpl w:val="00000039"/>
    <w:lvl w:ilvl="0">
      <w:start w:val="1"/>
      <w:numFmt w:val="bullet"/>
      <w:lvlText w:val="■"/>
      <w:lvlJc w:val="left"/>
      <w:pPr>
        <w:tabs>
          <w:tab w:val="num" w:pos="270"/>
        </w:tabs>
        <w:ind w:left="720" w:hanging="360"/>
      </w:pPr>
      <w:rPr>
        <w:rFonts w:ascii="Arial" w:eastAsia="Arial" w:hAnsi="Arial" w:cs="Arial"/>
        <w:b/>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
    <w:nsid w:val="0000003A"/>
    <w:multiLevelType w:val="hybridMultilevel"/>
    <w:tmpl w:val="0000003A"/>
    <w:lvl w:ilvl="0">
      <w:start w:val="1"/>
      <w:numFmt w:val="bullet"/>
      <w:lvlText w:val="■"/>
      <w:lvlJc w:val="left"/>
      <w:pPr>
        <w:tabs>
          <w:tab w:val="num" w:pos="270"/>
        </w:tabs>
        <w:ind w:left="720" w:hanging="360"/>
      </w:pPr>
      <w:rPr>
        <w:rFonts w:ascii="Arial" w:eastAsia="Arial" w:hAnsi="Arial" w:cs="Arial"/>
        <w:b/>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
    <w:nsid w:val="0000003B"/>
    <w:multiLevelType w:val="hybridMultilevel"/>
    <w:tmpl w:val="0000003B"/>
    <w:lvl w:ilvl="0">
      <w:start w:val="1"/>
      <w:numFmt w:val="bullet"/>
      <w:lvlText w:val="■"/>
      <w:lvlJc w:val="left"/>
      <w:pPr>
        <w:tabs>
          <w:tab w:val="num" w:pos="270"/>
        </w:tabs>
        <w:ind w:left="720" w:hanging="360"/>
      </w:pPr>
      <w:rPr>
        <w:rFonts w:ascii="Arial" w:eastAsia="Arial" w:hAnsi="Arial" w:cs="Arial"/>
        <w:b/>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
    <w:nsid w:val="0000003C"/>
    <w:multiLevelType w:val="hybridMultilevel"/>
    <w:tmpl w:val="0000003C"/>
    <w:lvl w:ilvl="0">
      <w:start w:val="1"/>
      <w:numFmt w:val="bullet"/>
      <w:lvlText w:val="■"/>
      <w:lvlJc w:val="left"/>
      <w:pPr>
        <w:tabs>
          <w:tab w:val="num" w:pos="270"/>
        </w:tabs>
        <w:ind w:left="720" w:hanging="360"/>
      </w:pPr>
      <w:rPr>
        <w:rFonts w:ascii="Arial" w:eastAsia="Arial" w:hAnsi="Arial" w:cs="Arial"/>
        <w:b/>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nsid w:val="0000003D"/>
    <w:multiLevelType w:val="hybridMultilevel"/>
    <w:tmpl w:val="0000003D"/>
    <w:lvl w:ilvl="0">
      <w:start w:val="1"/>
      <w:numFmt w:val="bullet"/>
      <w:lvlText w:val="■"/>
      <w:lvlJc w:val="left"/>
      <w:pPr>
        <w:tabs>
          <w:tab w:val="num" w:pos="270"/>
        </w:tabs>
        <w:ind w:left="720" w:hanging="360"/>
      </w:pPr>
      <w:rPr>
        <w:rFonts w:ascii="Arial" w:eastAsia="Arial" w:hAnsi="Arial" w:cs="Arial"/>
        <w:b/>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
    <w:nsid w:val="0000003E"/>
    <w:multiLevelType w:val="hybridMultilevel"/>
    <w:tmpl w:val="0000003E"/>
    <w:lvl w:ilvl="0">
      <w:start w:val="1"/>
      <w:numFmt w:val="bullet"/>
      <w:lvlText w:val="•"/>
      <w:lvlJc w:val="left"/>
      <w:pPr>
        <w:tabs>
          <w:tab w:val="num" w:pos="72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
    <w:nsid w:val="0000003F"/>
    <w:multiLevelType w:val="hybridMultilevel"/>
    <w:tmpl w:val="0000003F"/>
    <w:lvl w:ilvl="0">
      <w:start w:val="1"/>
      <w:numFmt w:val="bullet"/>
      <w:lvlText w:val="▪"/>
      <w:lvlJc w:val="left"/>
      <w:pPr>
        <w:tabs>
          <w:tab w:val="num" w:pos="72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3">
    <w:nsid w:val="00000040"/>
    <w:multiLevelType w:val="hybridMultilevel"/>
    <w:tmpl w:val="00000040"/>
    <w:lvl w:ilvl="0">
      <w:start w:val="1"/>
      <w:numFmt w:val="bullet"/>
      <w:lvlText w:val="▪"/>
      <w:lvlJc w:val="left"/>
      <w:pPr>
        <w:tabs>
          <w:tab w:val="num" w:pos="72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4">
    <w:nsid w:val="00000041"/>
    <w:multiLevelType w:val="hybridMultilevel"/>
    <w:tmpl w:val="00000041"/>
    <w:lvl w:ilvl="0">
      <w:start w:val="1"/>
      <w:numFmt w:val="bullet"/>
      <w:lvlText w:val="▪"/>
      <w:lvlJc w:val="left"/>
      <w:pPr>
        <w:tabs>
          <w:tab w:val="num" w:pos="72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5">
    <w:nsid w:val="00000042"/>
    <w:multiLevelType w:val="hybridMultilevel"/>
    <w:tmpl w:val="00000042"/>
    <w:lvl w:ilvl="0">
      <w:start w:val="1"/>
      <w:numFmt w:val="bullet"/>
      <w:lvlText w:val="▪"/>
      <w:lvlJc w:val="left"/>
      <w:pPr>
        <w:tabs>
          <w:tab w:val="num" w:pos="72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nsid w:val="00000043"/>
    <w:multiLevelType w:val="hybridMultilevel"/>
    <w:tmpl w:val="00000043"/>
    <w:lvl w:ilvl="0">
      <w:start w:val="1"/>
      <w:numFmt w:val="bullet"/>
      <w:lvlText w:val="▪"/>
      <w:lvlJc w:val="left"/>
      <w:pPr>
        <w:tabs>
          <w:tab w:val="num" w:pos="72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7">
    <w:nsid w:val="00000044"/>
    <w:multiLevelType w:val="hybridMultilevel"/>
    <w:tmpl w:val="00000044"/>
    <w:lvl w:ilvl="0">
      <w:start w:val="1"/>
      <w:numFmt w:val="bullet"/>
      <w:lvlText w:val="▪"/>
      <w:lvlJc w:val="left"/>
      <w:pPr>
        <w:tabs>
          <w:tab w:val="num" w:pos="72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8">
    <w:nsid w:val="00000045"/>
    <w:multiLevelType w:val="hybridMultilevel"/>
    <w:tmpl w:val="00000045"/>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9">
    <w:nsid w:val="00000046"/>
    <w:multiLevelType w:val="hybridMultilevel"/>
    <w:tmpl w:val="00000046"/>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0">
    <w:nsid w:val="00000047"/>
    <w:multiLevelType w:val="hybridMultilevel"/>
    <w:tmpl w:val="00000047"/>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1">
    <w:nsid w:val="00000048"/>
    <w:multiLevelType w:val="hybridMultilevel"/>
    <w:tmpl w:val="00000048"/>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2">
    <w:nsid w:val="00000049"/>
    <w:multiLevelType w:val="hybridMultilevel"/>
    <w:tmpl w:val="00000049"/>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3">
    <w:nsid w:val="0000004A"/>
    <w:multiLevelType w:val="hybridMultilevel"/>
    <w:tmpl w:val="0000004A"/>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4">
    <w:nsid w:val="0000004B"/>
    <w:multiLevelType w:val="hybridMultilevel"/>
    <w:tmpl w:val="0000004B"/>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5">
    <w:nsid w:val="0000004C"/>
    <w:multiLevelType w:val="hybridMultilevel"/>
    <w:tmpl w:val="0000004C"/>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6">
    <w:nsid w:val="0000004D"/>
    <w:multiLevelType w:val="hybridMultilevel"/>
    <w:tmpl w:val="0000004D"/>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7">
    <w:nsid w:val="0000004E"/>
    <w:multiLevelType w:val="hybridMultilevel"/>
    <w:tmpl w:val="0000004E"/>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8">
    <w:nsid w:val="0000004F"/>
    <w:multiLevelType w:val="hybridMultilevel"/>
    <w:tmpl w:val="0000004F"/>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9">
    <w:nsid w:val="00000050"/>
    <w:multiLevelType w:val="hybridMultilevel"/>
    <w:tmpl w:val="00000050"/>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0">
    <w:nsid w:val="00000051"/>
    <w:multiLevelType w:val="hybridMultilevel"/>
    <w:tmpl w:val="00000051"/>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1">
    <w:nsid w:val="00000052"/>
    <w:multiLevelType w:val="hybridMultilevel"/>
    <w:tmpl w:val="00000052"/>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2">
    <w:nsid w:val="00000053"/>
    <w:multiLevelType w:val="hybridMultilevel"/>
    <w:tmpl w:val="00000053"/>
    <w:lvl w:ilvl="0">
      <w:start w:val="1"/>
      <w:numFmt w:val="bullet"/>
      <w:lvlText w:val="▪"/>
      <w:lvlJc w:val="left"/>
      <w:pPr>
        <w:tabs>
          <w:tab w:val="num" w:pos="270"/>
        </w:tabs>
        <w:ind w:left="720" w:hanging="360"/>
      </w:pPr>
      <w:rPr>
        <w:rFonts w:ascii="Arial" w:eastAsia="Arial" w:hAnsi="Arial" w:cs="Arial"/>
        <w:b w:val="0"/>
        <w:i w:val="0"/>
        <w:strike w:val="0"/>
        <w:color w:val="FFFFFF"/>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3">
    <w:nsid w:val="00000054"/>
    <w:multiLevelType w:val="hybridMultilevel"/>
    <w:tmpl w:val="00000054"/>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4">
    <w:nsid w:val="00000055"/>
    <w:multiLevelType w:val="hybridMultilevel"/>
    <w:tmpl w:val="00000055"/>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5">
    <w:nsid w:val="00000056"/>
    <w:multiLevelType w:val="hybridMultilevel"/>
    <w:tmpl w:val="00000056"/>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6">
    <w:nsid w:val="00000057"/>
    <w:multiLevelType w:val="hybridMultilevel"/>
    <w:tmpl w:val="00000057"/>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7">
    <w:nsid w:val="00000058"/>
    <w:multiLevelType w:val="hybridMultilevel"/>
    <w:tmpl w:val="00000058"/>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8">
    <w:nsid w:val="00000059"/>
    <w:multiLevelType w:val="hybridMultilevel"/>
    <w:tmpl w:val="00000059"/>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9">
    <w:nsid w:val="0000005A"/>
    <w:multiLevelType w:val="hybridMultilevel"/>
    <w:tmpl w:val="0000005A"/>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0">
    <w:nsid w:val="0000005B"/>
    <w:multiLevelType w:val="hybridMultilevel"/>
    <w:tmpl w:val="0000005B"/>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1">
    <w:nsid w:val="0000005C"/>
    <w:multiLevelType w:val="hybridMultilevel"/>
    <w:tmpl w:val="0000005C"/>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2">
    <w:nsid w:val="0000005D"/>
    <w:multiLevelType w:val="hybridMultilevel"/>
    <w:tmpl w:val="0000005D"/>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3">
    <w:nsid w:val="0000005E"/>
    <w:multiLevelType w:val="hybridMultilevel"/>
    <w:tmpl w:val="0000005E"/>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4">
    <w:nsid w:val="0000005F"/>
    <w:multiLevelType w:val="hybridMultilevel"/>
    <w:tmpl w:val="0000005F"/>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5">
    <w:nsid w:val="00000060"/>
    <w:multiLevelType w:val="hybridMultilevel"/>
    <w:tmpl w:val="00000060"/>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6">
    <w:nsid w:val="00000061"/>
    <w:multiLevelType w:val="hybridMultilevel"/>
    <w:tmpl w:val="00000061"/>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7">
    <w:nsid w:val="00000062"/>
    <w:multiLevelType w:val="hybridMultilevel"/>
    <w:tmpl w:val="00000062"/>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8">
    <w:nsid w:val="00000063"/>
    <w:multiLevelType w:val="hybridMultilevel"/>
    <w:tmpl w:val="00000063"/>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9">
    <w:nsid w:val="00000064"/>
    <w:multiLevelType w:val="hybridMultilevel"/>
    <w:tmpl w:val="00000064"/>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0">
    <w:nsid w:val="00000065"/>
    <w:multiLevelType w:val="hybridMultilevel"/>
    <w:tmpl w:val="00000065"/>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1">
    <w:nsid w:val="00000066"/>
    <w:multiLevelType w:val="hybridMultilevel"/>
    <w:tmpl w:val="00000066"/>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2">
    <w:nsid w:val="00000067"/>
    <w:multiLevelType w:val="hybridMultilevel"/>
    <w:tmpl w:val="00000067"/>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3">
    <w:nsid w:val="00000068"/>
    <w:multiLevelType w:val="hybridMultilevel"/>
    <w:tmpl w:val="00000068"/>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4">
    <w:nsid w:val="00000069"/>
    <w:multiLevelType w:val="hybridMultilevel"/>
    <w:tmpl w:val="00000069"/>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5">
    <w:nsid w:val="0000006A"/>
    <w:multiLevelType w:val="hybridMultilevel"/>
    <w:tmpl w:val="0000006A"/>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6">
    <w:nsid w:val="0000006B"/>
    <w:multiLevelType w:val="hybridMultilevel"/>
    <w:tmpl w:val="0000006B"/>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7">
    <w:nsid w:val="0000006C"/>
    <w:multiLevelType w:val="hybridMultilevel"/>
    <w:tmpl w:val="0000006C"/>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8">
    <w:nsid w:val="0000006D"/>
    <w:multiLevelType w:val="hybridMultilevel"/>
    <w:tmpl w:val="0000006D"/>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9">
    <w:nsid w:val="0000006E"/>
    <w:multiLevelType w:val="hybridMultilevel"/>
    <w:tmpl w:val="0000006E"/>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0">
    <w:nsid w:val="0000006F"/>
    <w:multiLevelType w:val="hybridMultilevel"/>
    <w:tmpl w:val="0000006F"/>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1">
    <w:nsid w:val="00000070"/>
    <w:multiLevelType w:val="hybridMultilevel"/>
    <w:tmpl w:val="00000070"/>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2">
    <w:nsid w:val="00000071"/>
    <w:multiLevelType w:val="hybridMultilevel"/>
    <w:tmpl w:val="00000071"/>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3">
    <w:nsid w:val="00000072"/>
    <w:multiLevelType w:val="hybridMultilevel"/>
    <w:tmpl w:val="00000072"/>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4">
    <w:nsid w:val="00000073"/>
    <w:multiLevelType w:val="hybridMultilevel"/>
    <w:tmpl w:val="00000073"/>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5">
    <w:nsid w:val="00000074"/>
    <w:multiLevelType w:val="hybridMultilevel"/>
    <w:tmpl w:val="00000074"/>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6">
    <w:nsid w:val="00000075"/>
    <w:multiLevelType w:val="hybridMultilevel"/>
    <w:tmpl w:val="00000075"/>
    <w:lvl w:ilvl="0">
      <w:start w:val="1"/>
      <w:numFmt w:val="bullet"/>
      <w:lvlText w:val="▪"/>
      <w:lvlJc w:val="left"/>
      <w:pPr>
        <w:tabs>
          <w:tab w:val="num" w:pos="270"/>
        </w:tabs>
        <w:ind w:left="720" w:hanging="360"/>
      </w:pPr>
      <w:rPr>
        <w:rFonts w:ascii="Arial" w:eastAsia="Arial" w:hAnsi="Arial" w:cs="Arial"/>
        <w:b w:val="0"/>
        <w:i w:val="0"/>
        <w:strike w:val="0"/>
        <w:color w:val="FFFFFF"/>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7">
    <w:nsid w:val="00000076"/>
    <w:multiLevelType w:val="hybridMultilevel"/>
    <w:tmpl w:val="00000076"/>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8">
    <w:nsid w:val="00000077"/>
    <w:multiLevelType w:val="hybridMultilevel"/>
    <w:tmpl w:val="00000077"/>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9">
    <w:nsid w:val="00000078"/>
    <w:multiLevelType w:val="hybridMultilevel"/>
    <w:tmpl w:val="00000078"/>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0">
    <w:nsid w:val="00000079"/>
    <w:multiLevelType w:val="hybridMultilevel"/>
    <w:tmpl w:val="00000079"/>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1">
    <w:nsid w:val="0000007A"/>
    <w:multiLevelType w:val="hybridMultilevel"/>
    <w:tmpl w:val="0000007A"/>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2">
    <w:nsid w:val="0000007B"/>
    <w:multiLevelType w:val="hybridMultilevel"/>
    <w:tmpl w:val="0000007B"/>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3">
    <w:nsid w:val="0000007C"/>
    <w:multiLevelType w:val="hybridMultilevel"/>
    <w:tmpl w:val="0000007C"/>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4">
    <w:nsid w:val="0000007D"/>
    <w:multiLevelType w:val="hybridMultilevel"/>
    <w:tmpl w:val="0000007D"/>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5">
    <w:nsid w:val="0000007E"/>
    <w:multiLevelType w:val="hybridMultilevel"/>
    <w:tmpl w:val="0000007E"/>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6">
    <w:nsid w:val="0000007F"/>
    <w:multiLevelType w:val="hybridMultilevel"/>
    <w:tmpl w:val="0000007F"/>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7">
    <w:nsid w:val="00000080"/>
    <w:multiLevelType w:val="hybridMultilevel"/>
    <w:tmpl w:val="00000080"/>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8">
    <w:nsid w:val="00000081"/>
    <w:multiLevelType w:val="hybridMultilevel"/>
    <w:tmpl w:val="00000081"/>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9">
    <w:nsid w:val="00000082"/>
    <w:multiLevelType w:val="hybridMultilevel"/>
    <w:tmpl w:val="00000082"/>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0">
    <w:nsid w:val="00000083"/>
    <w:multiLevelType w:val="hybridMultilevel"/>
    <w:tmpl w:val="00000083"/>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1">
    <w:nsid w:val="00000084"/>
    <w:multiLevelType w:val="hybridMultilevel"/>
    <w:tmpl w:val="00000084"/>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2">
    <w:nsid w:val="00000085"/>
    <w:multiLevelType w:val="hybridMultilevel"/>
    <w:tmpl w:val="00000085"/>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3">
    <w:nsid w:val="00000086"/>
    <w:multiLevelType w:val="hybridMultilevel"/>
    <w:tmpl w:val="00000086"/>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4">
    <w:nsid w:val="00000087"/>
    <w:multiLevelType w:val="hybridMultilevel"/>
    <w:tmpl w:val="00000087"/>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5">
    <w:nsid w:val="00000088"/>
    <w:multiLevelType w:val="hybridMultilevel"/>
    <w:tmpl w:val="00000088"/>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6">
    <w:nsid w:val="00000089"/>
    <w:multiLevelType w:val="hybridMultilevel"/>
    <w:tmpl w:val="00000089"/>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7">
    <w:nsid w:val="0000008A"/>
    <w:multiLevelType w:val="hybridMultilevel"/>
    <w:tmpl w:val="0000008A"/>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8">
    <w:nsid w:val="0000008B"/>
    <w:multiLevelType w:val="hybridMultilevel"/>
    <w:tmpl w:val="0000008B"/>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9">
    <w:nsid w:val="0000008C"/>
    <w:multiLevelType w:val="hybridMultilevel"/>
    <w:tmpl w:val="0000008C"/>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0">
    <w:nsid w:val="0000008D"/>
    <w:multiLevelType w:val="hybridMultilevel"/>
    <w:tmpl w:val="0000008D"/>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1">
    <w:nsid w:val="0000008E"/>
    <w:multiLevelType w:val="hybridMultilevel"/>
    <w:tmpl w:val="0000008E"/>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2">
    <w:nsid w:val="0000008F"/>
    <w:multiLevelType w:val="hybridMultilevel"/>
    <w:tmpl w:val="0000008F"/>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3">
    <w:nsid w:val="00000090"/>
    <w:multiLevelType w:val="hybridMultilevel"/>
    <w:tmpl w:val="00000090"/>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4">
    <w:nsid w:val="00000091"/>
    <w:multiLevelType w:val="hybridMultilevel"/>
    <w:tmpl w:val="00000091"/>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5">
    <w:nsid w:val="00000092"/>
    <w:multiLevelType w:val="hybridMultilevel"/>
    <w:tmpl w:val="00000092"/>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6">
    <w:nsid w:val="00000093"/>
    <w:multiLevelType w:val="hybridMultilevel"/>
    <w:tmpl w:val="00000093"/>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7">
    <w:nsid w:val="00000094"/>
    <w:multiLevelType w:val="hybridMultilevel"/>
    <w:tmpl w:val="00000094"/>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8">
    <w:nsid w:val="00000095"/>
    <w:multiLevelType w:val="hybridMultilevel"/>
    <w:tmpl w:val="00000095"/>
    <w:lvl w:ilvl="0">
      <w:start w:val="1"/>
      <w:numFmt w:val="bullet"/>
      <w:lvlText w:val="–"/>
      <w:lvlJc w:val="left"/>
      <w:pPr>
        <w:tabs>
          <w:tab w:val="num" w:pos="540"/>
        </w:tabs>
        <w:ind w:left="720" w:hanging="360"/>
      </w:pPr>
      <w:rPr>
        <w:rFonts w:ascii="Arial" w:eastAsia="Arial" w:hAnsi="Arial" w:cs="Arial"/>
        <w:b w:val="0"/>
        <w:i w:val="0"/>
        <w:strike w:val="0"/>
        <w:color w:val="929292"/>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9">
    <w:nsid w:val="00000096"/>
    <w:multiLevelType w:val="hybridMultilevel"/>
    <w:tmpl w:val="00000096"/>
    <w:lvl w:ilvl="0">
      <w:start w:val="1"/>
      <w:numFmt w:val="bullet"/>
      <w:lvlText w:val="–"/>
      <w:lvlJc w:val="left"/>
      <w:pPr>
        <w:tabs>
          <w:tab w:val="num" w:pos="540"/>
        </w:tabs>
        <w:ind w:left="720" w:hanging="360"/>
      </w:pPr>
      <w:rPr>
        <w:rFonts w:ascii="Arial" w:eastAsia="Arial" w:hAnsi="Arial" w:cs="Arial"/>
        <w:b w:val="0"/>
        <w:i w:val="0"/>
        <w:strike w:val="0"/>
        <w:color w:val="929292"/>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0">
    <w:nsid w:val="00000097"/>
    <w:multiLevelType w:val="hybridMultilevel"/>
    <w:tmpl w:val="00000097"/>
    <w:lvl w:ilvl="0">
      <w:start w:val="1"/>
      <w:numFmt w:val="bullet"/>
      <w:lvlText w:val="–"/>
      <w:lvlJc w:val="left"/>
      <w:pPr>
        <w:tabs>
          <w:tab w:val="num" w:pos="540"/>
        </w:tabs>
        <w:ind w:left="720" w:hanging="360"/>
      </w:pPr>
      <w:rPr>
        <w:rFonts w:ascii="Arial" w:eastAsia="Arial" w:hAnsi="Arial" w:cs="Arial"/>
        <w:b w:val="0"/>
        <w:i w:val="0"/>
        <w:strike w:val="0"/>
        <w:color w:val="929292"/>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1">
    <w:nsid w:val="00000098"/>
    <w:multiLevelType w:val="hybridMultilevel"/>
    <w:tmpl w:val="00000098"/>
    <w:lvl w:ilvl="0">
      <w:start w:val="1"/>
      <w:numFmt w:val="bullet"/>
      <w:lvlText w:val="–"/>
      <w:lvlJc w:val="left"/>
      <w:pPr>
        <w:tabs>
          <w:tab w:val="num" w:pos="540"/>
        </w:tabs>
        <w:ind w:left="720" w:hanging="360"/>
      </w:pPr>
      <w:rPr>
        <w:rFonts w:ascii="Arial" w:eastAsia="Arial" w:hAnsi="Arial" w:cs="Arial"/>
        <w:b w:val="0"/>
        <w:i w:val="0"/>
        <w:strike w:val="0"/>
        <w:color w:val="929292"/>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2">
    <w:nsid w:val="00000099"/>
    <w:multiLevelType w:val="hybridMultilevel"/>
    <w:tmpl w:val="00000099"/>
    <w:lvl w:ilvl="0">
      <w:start w:val="1"/>
      <w:numFmt w:val="bullet"/>
      <w:lvlText w:val="–"/>
      <w:lvlJc w:val="left"/>
      <w:pPr>
        <w:tabs>
          <w:tab w:val="num" w:pos="540"/>
        </w:tabs>
        <w:ind w:left="720" w:hanging="360"/>
      </w:pPr>
      <w:rPr>
        <w:rFonts w:ascii="Arial" w:eastAsia="Arial" w:hAnsi="Arial" w:cs="Arial"/>
        <w:b w:val="0"/>
        <w:i w:val="0"/>
        <w:strike w:val="0"/>
        <w:color w:val="929292"/>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3">
    <w:nsid w:val="0000009A"/>
    <w:multiLevelType w:val="hybridMultilevel"/>
    <w:tmpl w:val="0000009A"/>
    <w:lvl w:ilvl="0">
      <w:start w:val="1"/>
      <w:numFmt w:val="bullet"/>
      <w:lvlText w:val="–"/>
      <w:lvlJc w:val="left"/>
      <w:pPr>
        <w:tabs>
          <w:tab w:val="num" w:pos="540"/>
        </w:tabs>
        <w:ind w:left="720" w:hanging="360"/>
      </w:pPr>
      <w:rPr>
        <w:rFonts w:ascii="Arial" w:eastAsia="Arial" w:hAnsi="Arial" w:cs="Arial"/>
        <w:b w:val="0"/>
        <w:i w:val="0"/>
        <w:strike w:val="0"/>
        <w:color w:val="929292"/>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4">
    <w:nsid w:val="0000009B"/>
    <w:multiLevelType w:val="hybridMultilevel"/>
    <w:tmpl w:val="0000009B"/>
    <w:lvl w:ilvl="0">
      <w:start w:val="1"/>
      <w:numFmt w:val="bullet"/>
      <w:lvlText w:val="–"/>
      <w:lvlJc w:val="left"/>
      <w:pPr>
        <w:tabs>
          <w:tab w:val="num" w:pos="540"/>
        </w:tabs>
        <w:ind w:left="720" w:hanging="360"/>
      </w:pPr>
      <w:rPr>
        <w:rFonts w:ascii="Arial" w:eastAsia="Arial" w:hAnsi="Arial" w:cs="Arial"/>
        <w:b w:val="0"/>
        <w:i w:val="0"/>
        <w:strike w:val="0"/>
        <w:color w:val="929292"/>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5">
    <w:nsid w:val="0000009C"/>
    <w:multiLevelType w:val="hybridMultilevel"/>
    <w:tmpl w:val="0000009C"/>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6">
    <w:nsid w:val="0000009D"/>
    <w:multiLevelType w:val="hybridMultilevel"/>
    <w:tmpl w:val="0000009D"/>
    <w:lvl w:ilvl="0">
      <w:start w:val="1"/>
      <w:numFmt w:val="bullet"/>
      <w:lvlText w:val="▪"/>
      <w:lvlJc w:val="left"/>
      <w:pPr>
        <w:tabs>
          <w:tab w:val="num" w:pos="27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7">
    <w:nsid w:val="0000009E"/>
    <w:multiLevelType w:val="hybridMultilevel"/>
    <w:tmpl w:val="0000009E"/>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8">
    <w:nsid w:val="0000009F"/>
    <w:multiLevelType w:val="hybridMultilevel"/>
    <w:tmpl w:val="0000009F"/>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9">
    <w:nsid w:val="000000A0"/>
    <w:multiLevelType w:val="hybridMultilevel"/>
    <w:tmpl w:val="000000A0"/>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0">
    <w:nsid w:val="000000A1"/>
    <w:multiLevelType w:val="hybridMultilevel"/>
    <w:tmpl w:val="000000A1"/>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1">
    <w:nsid w:val="000000A2"/>
    <w:multiLevelType w:val="hybridMultilevel"/>
    <w:tmpl w:val="000000A2"/>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2">
    <w:nsid w:val="000000A3"/>
    <w:multiLevelType w:val="hybridMultilevel"/>
    <w:tmpl w:val="000000A3"/>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3">
    <w:nsid w:val="000000A4"/>
    <w:multiLevelType w:val="hybridMultilevel"/>
    <w:tmpl w:val="000000A4"/>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4">
    <w:nsid w:val="000000A5"/>
    <w:multiLevelType w:val="hybridMultilevel"/>
    <w:tmpl w:val="000000A5"/>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5">
    <w:nsid w:val="000000A6"/>
    <w:multiLevelType w:val="hybridMultilevel"/>
    <w:tmpl w:val="000000A6"/>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6">
    <w:nsid w:val="000000A7"/>
    <w:multiLevelType w:val="hybridMultilevel"/>
    <w:tmpl w:val="000000A7"/>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7">
    <w:nsid w:val="000000A8"/>
    <w:multiLevelType w:val="hybridMultilevel"/>
    <w:tmpl w:val="000000A8"/>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8">
    <w:nsid w:val="000000A9"/>
    <w:multiLevelType w:val="hybridMultilevel"/>
    <w:tmpl w:val="000000A9"/>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9">
    <w:nsid w:val="000000AA"/>
    <w:multiLevelType w:val="hybridMultilevel"/>
    <w:tmpl w:val="000000AA"/>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0">
    <w:nsid w:val="000000AB"/>
    <w:multiLevelType w:val="hybridMultilevel"/>
    <w:tmpl w:val="000000AB"/>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1">
    <w:nsid w:val="000000AC"/>
    <w:multiLevelType w:val="hybridMultilevel"/>
    <w:tmpl w:val="000000AC"/>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2">
    <w:nsid w:val="000000AD"/>
    <w:multiLevelType w:val="hybridMultilevel"/>
    <w:tmpl w:val="000000AD"/>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3">
    <w:nsid w:val="000000AE"/>
    <w:multiLevelType w:val="hybridMultilevel"/>
    <w:tmpl w:val="000000AE"/>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4">
    <w:nsid w:val="000000AF"/>
    <w:multiLevelType w:val="hybridMultilevel"/>
    <w:tmpl w:val="000000AF"/>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5">
    <w:nsid w:val="000000B0"/>
    <w:multiLevelType w:val="hybridMultilevel"/>
    <w:tmpl w:val="000000B0"/>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6">
    <w:nsid w:val="000000B1"/>
    <w:multiLevelType w:val="hybridMultilevel"/>
    <w:tmpl w:val="000000B1"/>
    <w:lvl w:ilvl="0">
      <w:start w:val="1"/>
      <w:numFmt w:val="bullet"/>
      <w:lvlText w:val="•"/>
      <w:lvlJc w:val="left"/>
      <w:pPr>
        <w:tabs>
          <w:tab w:val="num" w:pos="45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7">
    <w:nsid w:val="000000B2"/>
    <w:multiLevelType w:val="hybridMultilevel"/>
    <w:tmpl w:val="000000B2"/>
    <w:lvl w:ilvl="0">
      <w:start w:val="1"/>
      <w:numFmt w:val="bullet"/>
      <w:lvlText w:val="▪"/>
      <w:lvlJc w:val="left"/>
      <w:pPr>
        <w:tabs>
          <w:tab w:val="num" w:pos="72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8">
    <w:nsid w:val="000000B3"/>
    <w:multiLevelType w:val="hybridMultilevel"/>
    <w:tmpl w:val="000000B3"/>
    <w:lvl w:ilvl="0">
      <w:start w:val="1"/>
      <w:numFmt w:val="bullet"/>
      <w:lvlText w:val="▪"/>
      <w:lvlJc w:val="left"/>
      <w:pPr>
        <w:tabs>
          <w:tab w:val="num" w:pos="72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9">
    <w:nsid w:val="000000B4"/>
    <w:multiLevelType w:val="hybridMultilevel"/>
    <w:tmpl w:val="000000B4"/>
    <w:lvl w:ilvl="0">
      <w:start w:val="1"/>
      <w:numFmt w:val="bullet"/>
      <w:lvlText w:val="▪"/>
      <w:lvlJc w:val="left"/>
      <w:pPr>
        <w:tabs>
          <w:tab w:val="num" w:pos="72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0">
    <w:nsid w:val="000000B5"/>
    <w:multiLevelType w:val="hybridMultilevel"/>
    <w:tmpl w:val="000000B5"/>
    <w:lvl w:ilvl="0">
      <w:start w:val="1"/>
      <w:numFmt w:val="bullet"/>
      <w:lvlText w:val="▪"/>
      <w:lvlJc w:val="left"/>
      <w:pPr>
        <w:tabs>
          <w:tab w:val="num" w:pos="72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1">
    <w:nsid w:val="000000B6"/>
    <w:multiLevelType w:val="hybridMultilevel"/>
    <w:tmpl w:val="000000B6"/>
    <w:lvl w:ilvl="0">
      <w:start w:val="1"/>
      <w:numFmt w:val="bullet"/>
      <w:lvlText w:val="▪"/>
      <w:lvlJc w:val="left"/>
      <w:pPr>
        <w:tabs>
          <w:tab w:val="num" w:pos="72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2">
    <w:nsid w:val="000000B7"/>
    <w:multiLevelType w:val="hybridMultilevel"/>
    <w:tmpl w:val="000000B7"/>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3">
    <w:nsid w:val="000000B8"/>
    <w:multiLevelType w:val="hybridMultilevel"/>
    <w:tmpl w:val="000000B8"/>
    <w:lvl w:ilvl="0">
      <w:start w:val="1"/>
      <w:numFmt w:val="bullet"/>
      <w:lvlText w:val="▪"/>
      <w:lvlJc w:val="left"/>
      <w:pPr>
        <w:tabs>
          <w:tab w:val="num" w:pos="270"/>
        </w:tabs>
        <w:ind w:left="720" w:hanging="360"/>
      </w:pPr>
      <w:rPr>
        <w:rFonts w:ascii="Arial" w:eastAsia="Arial" w:hAnsi="Arial" w:cs="Arial"/>
        <w:b w:val="0"/>
        <w:i w:val="0"/>
        <w:strike w:val="0"/>
        <w:color w:val="4494D1"/>
        <w:sz w:val="14"/>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4">
    <w:nsid w:val="000000B9"/>
    <w:multiLevelType w:val="hybridMultilevel"/>
    <w:tmpl w:val="000000B9"/>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5">
    <w:nsid w:val="000000BA"/>
    <w:multiLevelType w:val="hybridMultilevel"/>
    <w:tmpl w:val="000000BA"/>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6">
    <w:nsid w:val="000000BB"/>
    <w:multiLevelType w:val="hybridMultilevel"/>
    <w:tmpl w:val="000000BB"/>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7">
    <w:nsid w:val="000000BC"/>
    <w:multiLevelType w:val="hybridMultilevel"/>
    <w:tmpl w:val="000000BC"/>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8">
    <w:nsid w:val="000000BD"/>
    <w:multiLevelType w:val="hybridMultilevel"/>
    <w:tmpl w:val="000000BD"/>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9">
    <w:nsid w:val="000000BE"/>
    <w:multiLevelType w:val="hybridMultilevel"/>
    <w:tmpl w:val="000000BE"/>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0">
    <w:nsid w:val="000000BF"/>
    <w:multiLevelType w:val="hybridMultilevel"/>
    <w:tmpl w:val="000000BF"/>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1">
    <w:nsid w:val="000000C0"/>
    <w:multiLevelType w:val="hybridMultilevel"/>
    <w:tmpl w:val="000000C0"/>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2">
    <w:nsid w:val="000000C1"/>
    <w:multiLevelType w:val="hybridMultilevel"/>
    <w:tmpl w:val="000000C1"/>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3">
    <w:nsid w:val="000000C2"/>
    <w:multiLevelType w:val="hybridMultilevel"/>
    <w:tmpl w:val="000000C2"/>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4">
    <w:nsid w:val="000000C3"/>
    <w:multiLevelType w:val="hybridMultilevel"/>
    <w:tmpl w:val="000000C3"/>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5">
    <w:nsid w:val="000000C4"/>
    <w:multiLevelType w:val="hybridMultilevel"/>
    <w:tmpl w:val="000000C4"/>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6">
    <w:nsid w:val="000000C5"/>
    <w:multiLevelType w:val="hybridMultilevel"/>
    <w:tmpl w:val="000000C5"/>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7">
    <w:nsid w:val="000000C6"/>
    <w:multiLevelType w:val="hybridMultilevel"/>
    <w:tmpl w:val="000000C6"/>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8">
    <w:nsid w:val="000000C7"/>
    <w:multiLevelType w:val="hybridMultilevel"/>
    <w:tmpl w:val="000000C7"/>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9">
    <w:nsid w:val="000000C8"/>
    <w:multiLevelType w:val="hybridMultilevel"/>
    <w:tmpl w:val="000000C8"/>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0">
    <w:nsid w:val="000000C9"/>
    <w:multiLevelType w:val="hybridMultilevel"/>
    <w:tmpl w:val="000000C9"/>
    <w:lvl w:ilvl="0">
      <w:start w:val="1"/>
      <w:numFmt w:val="bullet"/>
      <w:lvlText w:val="•"/>
      <w:lvlJc w:val="left"/>
      <w:pPr>
        <w:tabs>
          <w:tab w:val="num" w:pos="270"/>
        </w:tabs>
        <w:ind w:left="720" w:hanging="360"/>
      </w:pPr>
      <w:rPr>
        <w:rFonts w:ascii="Arial" w:eastAsia="Arial" w:hAnsi="Arial" w:cs="Arial"/>
        <w:b w:val="0"/>
        <w:i w:val="0"/>
        <w:strike w:val="0"/>
        <w:color w:val="40AEFF"/>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1">
    <w:nsid w:val="000000CA"/>
    <w:multiLevelType w:val="hybridMultilevel"/>
    <w:tmpl w:val="000000CA"/>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2">
    <w:nsid w:val="000000CB"/>
    <w:multiLevelType w:val="hybridMultilevel"/>
    <w:tmpl w:val="000000CB"/>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3">
    <w:nsid w:val="000000CC"/>
    <w:multiLevelType w:val="hybridMultilevel"/>
    <w:tmpl w:val="000000CC"/>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4">
    <w:nsid w:val="000000CD"/>
    <w:multiLevelType w:val="hybridMultilevel"/>
    <w:tmpl w:val="000000CD"/>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5">
    <w:nsid w:val="000000CE"/>
    <w:multiLevelType w:val="hybridMultilevel"/>
    <w:tmpl w:val="000000CE"/>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6">
    <w:nsid w:val="000000CF"/>
    <w:multiLevelType w:val="hybridMultilevel"/>
    <w:tmpl w:val="000000CF"/>
    <w:lvl w:ilvl="0">
      <w:start w:val="1"/>
      <w:numFmt w:val="bullet"/>
      <w:lvlText w:val="▪"/>
      <w:lvlJc w:val="left"/>
      <w:pPr>
        <w:tabs>
          <w:tab w:val="num" w:pos="45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7">
    <w:nsid w:val="000000D0"/>
    <w:multiLevelType w:val="hybridMultilevel"/>
    <w:tmpl w:val="000000D0"/>
    <w:lvl w:ilvl="0">
      <w:start w:val="1"/>
      <w:numFmt w:val="bullet"/>
      <w:lvlText w:val="▪"/>
      <w:lvlJc w:val="left"/>
      <w:pPr>
        <w:tabs>
          <w:tab w:val="num" w:pos="45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8">
    <w:nsid w:val="000000D1"/>
    <w:multiLevelType w:val="hybridMultilevel"/>
    <w:tmpl w:val="000000D1"/>
    <w:lvl w:ilvl="0">
      <w:start w:val="1"/>
      <w:numFmt w:val="decimal"/>
      <w:lvlText w:val="(%1)"/>
      <w:lvlJc w:val="left"/>
      <w:pPr>
        <w:tabs>
          <w:tab w:val="num" w:pos="360"/>
        </w:tabs>
        <w:ind w:left="720" w:hanging="360"/>
      </w:pPr>
      <w:rPr>
        <w:rFonts w:ascii="Arial" w:eastAsia="Arial" w:hAnsi="Arial" w:cs="Arial"/>
        <w:b w:val="0"/>
        <w:i w:val="0"/>
        <w:strike w:val="0"/>
        <w:color w:val="969698"/>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9">
    <w:nsid w:val="000000D2"/>
    <w:multiLevelType w:val="hybridMultilevel"/>
    <w:tmpl w:val="000000D2"/>
    <w:lvl w:ilvl="0">
      <w:start w:val="1"/>
      <w:numFmt w:val="decimal"/>
      <w:lvlText w:val="(%1)"/>
      <w:lvlJc w:val="left"/>
      <w:pPr>
        <w:tabs>
          <w:tab w:val="num" w:pos="360"/>
        </w:tabs>
        <w:ind w:left="720" w:hanging="360"/>
      </w:pPr>
      <w:rPr>
        <w:rFonts w:ascii="Arial" w:eastAsia="Arial" w:hAnsi="Arial" w:cs="Arial"/>
        <w:b w:val="0"/>
        <w:i w:val="0"/>
        <w:strike w:val="0"/>
        <w:color w:val="969698"/>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0">
    <w:nsid w:val="000000D3"/>
    <w:multiLevelType w:val="hybridMultilevel"/>
    <w:tmpl w:val="000000D3"/>
    <w:lvl w:ilvl="0">
      <w:start w:val="1"/>
      <w:numFmt w:val="bullet"/>
      <w:lvlText w:val="▪"/>
      <w:lvlJc w:val="left"/>
      <w:pPr>
        <w:tabs>
          <w:tab w:val="num" w:pos="72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1">
    <w:nsid w:val="000000D4"/>
    <w:multiLevelType w:val="hybridMultilevel"/>
    <w:tmpl w:val="000000D4"/>
    <w:lvl w:ilvl="0">
      <w:start w:val="1"/>
      <w:numFmt w:val="bullet"/>
      <w:lvlText w:val="▪"/>
      <w:lvlJc w:val="left"/>
      <w:pPr>
        <w:tabs>
          <w:tab w:val="num" w:pos="72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2">
    <w:nsid w:val="000000D5"/>
    <w:multiLevelType w:val="hybridMultilevel"/>
    <w:tmpl w:val="000000D5"/>
    <w:lvl w:ilvl="0">
      <w:start w:val="1"/>
      <w:numFmt w:val="bullet"/>
      <w:lvlText w:val="▪"/>
      <w:lvlJc w:val="left"/>
      <w:pPr>
        <w:tabs>
          <w:tab w:val="num" w:pos="72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3">
    <w:nsid w:val="000000D6"/>
    <w:multiLevelType w:val="hybridMultilevel"/>
    <w:tmpl w:val="000000D6"/>
    <w:lvl w:ilvl="0">
      <w:start w:val="1"/>
      <w:numFmt w:val="bullet"/>
      <w:lvlText w:val="▪"/>
      <w:lvlJc w:val="left"/>
      <w:pPr>
        <w:tabs>
          <w:tab w:val="num" w:pos="72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4">
    <w:nsid w:val="000000D7"/>
    <w:multiLevelType w:val="hybridMultilevel"/>
    <w:tmpl w:val="000000D7"/>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5">
    <w:nsid w:val="000000D8"/>
    <w:multiLevelType w:val="hybridMultilevel"/>
    <w:tmpl w:val="000000D8"/>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6">
    <w:nsid w:val="000000D9"/>
    <w:multiLevelType w:val="hybridMultilevel"/>
    <w:tmpl w:val="000000D9"/>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7">
    <w:nsid w:val="000000DA"/>
    <w:multiLevelType w:val="hybridMultilevel"/>
    <w:tmpl w:val="000000DA"/>
    <w:lvl w:ilvl="0">
      <w:start w:val="1"/>
      <w:numFmt w:val="bullet"/>
      <w:lvlText w:val="▪"/>
      <w:lvlJc w:val="left"/>
      <w:pPr>
        <w:tabs>
          <w:tab w:val="num" w:pos="270"/>
        </w:tabs>
        <w:ind w:left="720" w:hanging="360"/>
      </w:pPr>
      <w:rPr>
        <w:rFonts w:ascii="Arial" w:eastAsia="Arial" w:hAnsi="Arial" w:cs="Arial"/>
        <w:b w:val="0"/>
        <w:i w:val="0"/>
        <w:strike w:val="0"/>
        <w:color w:val="026DCE"/>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8">
    <w:nsid w:val="000000DB"/>
    <w:multiLevelType w:val="hybridMultilevel"/>
    <w:tmpl w:val="000000DB"/>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9">
    <w:nsid w:val="000000DC"/>
    <w:multiLevelType w:val="hybridMultilevel"/>
    <w:tmpl w:val="000000DC"/>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0">
    <w:nsid w:val="000000DD"/>
    <w:multiLevelType w:val="hybridMultilevel"/>
    <w:tmpl w:val="000000DD"/>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1">
    <w:nsid w:val="000000DE"/>
    <w:multiLevelType w:val="hybridMultilevel"/>
    <w:tmpl w:val="000000DE"/>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2">
    <w:nsid w:val="000000DF"/>
    <w:multiLevelType w:val="hybridMultilevel"/>
    <w:tmpl w:val="000000DF"/>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3">
    <w:nsid w:val="000000E0"/>
    <w:multiLevelType w:val="hybridMultilevel"/>
    <w:tmpl w:val="000000E0"/>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4">
    <w:nsid w:val="000000E1"/>
    <w:multiLevelType w:val="hybridMultilevel"/>
    <w:tmpl w:val="000000E1"/>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5">
    <w:nsid w:val="000000E2"/>
    <w:multiLevelType w:val="hybridMultilevel"/>
    <w:tmpl w:val="000000E2"/>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6">
    <w:nsid w:val="000000E3"/>
    <w:multiLevelType w:val="hybridMultilevel"/>
    <w:tmpl w:val="000000E3"/>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7">
    <w:nsid w:val="000000E4"/>
    <w:multiLevelType w:val="hybridMultilevel"/>
    <w:tmpl w:val="000000E4"/>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8">
    <w:nsid w:val="000000E5"/>
    <w:multiLevelType w:val="hybridMultilevel"/>
    <w:tmpl w:val="000000E5"/>
    <w:lvl w:ilvl="0">
      <w:start w:val="1"/>
      <w:numFmt w:val="bullet"/>
      <w:lvlText w:val="▪"/>
      <w:lvlJc w:val="left"/>
      <w:pPr>
        <w:tabs>
          <w:tab w:val="num" w:pos="270"/>
        </w:tabs>
        <w:ind w:left="720" w:hanging="360"/>
      </w:pPr>
      <w:rPr>
        <w:rFonts w:ascii="Arial" w:eastAsia="Arial" w:hAnsi="Arial" w:cs="Arial"/>
        <w:b w:val="0"/>
        <w:i w:val="0"/>
        <w:strike w:val="0"/>
        <w:color w:val="4494D1"/>
        <w:sz w:val="18"/>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9">
    <w:nsid w:val="000000E6"/>
    <w:multiLevelType w:val="hybridMultilevel"/>
    <w:tmpl w:val="000000E6"/>
    <w:lvl w:ilvl="0">
      <w:start w:val="1"/>
      <w:numFmt w:val="decimal"/>
      <w:lvlText w:val="(%1)"/>
      <w:lvlJc w:val="left"/>
      <w:pPr>
        <w:tabs>
          <w:tab w:val="num" w:pos="360"/>
        </w:tabs>
        <w:ind w:left="720" w:hanging="360"/>
      </w:pPr>
      <w:rPr>
        <w:rFonts w:ascii="Arial" w:eastAsia="Arial" w:hAnsi="Arial" w:cs="Arial"/>
        <w:b w:val="0"/>
        <w:i w:val="0"/>
        <w:strike w:val="0"/>
        <w:color w:val="969698"/>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0">
    <w:nsid w:val="000000E7"/>
    <w:multiLevelType w:val="hybridMultilevel"/>
    <w:tmpl w:val="000000E7"/>
    <w:lvl w:ilvl="0">
      <w:start w:val="1"/>
      <w:numFmt w:val="bullet"/>
      <w:lvlText w:val="•"/>
      <w:lvlJc w:val="left"/>
      <w:pPr>
        <w:tabs>
          <w:tab w:val="num" w:pos="270"/>
        </w:tabs>
        <w:ind w:left="720" w:hanging="360"/>
      </w:pPr>
      <w:rPr>
        <w:rFonts w:ascii="Arial" w:eastAsia="Arial" w:hAnsi="Arial" w:cs="Arial"/>
        <w:b w:val="0"/>
        <w:i w:val="0"/>
        <w:strike w:val="0"/>
        <w:color w:val="026DCE"/>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1">
    <w:nsid w:val="000000E8"/>
    <w:multiLevelType w:val="hybridMultilevel"/>
    <w:tmpl w:val="000000E8"/>
    <w:lvl w:ilvl="0">
      <w:start w:val="1"/>
      <w:numFmt w:val="bullet"/>
      <w:lvlText w:val="•"/>
      <w:lvlJc w:val="left"/>
      <w:pPr>
        <w:tabs>
          <w:tab w:val="num" w:pos="270"/>
        </w:tabs>
        <w:ind w:left="720" w:hanging="360"/>
      </w:pPr>
      <w:rPr>
        <w:rFonts w:ascii="Arial" w:eastAsia="Arial" w:hAnsi="Arial" w:cs="Arial"/>
        <w:b w:val="0"/>
        <w:i w:val="0"/>
        <w:strike w:val="0"/>
        <w:color w:val="026DCE"/>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2">
    <w:nsid w:val="000000E9"/>
    <w:multiLevelType w:val="hybridMultilevel"/>
    <w:tmpl w:val="000000E9"/>
    <w:lvl w:ilvl="0">
      <w:start w:val="1"/>
      <w:numFmt w:val="bullet"/>
      <w:lvlText w:val="•"/>
      <w:lvlJc w:val="left"/>
      <w:pPr>
        <w:tabs>
          <w:tab w:val="num" w:pos="270"/>
        </w:tabs>
        <w:ind w:left="720" w:hanging="360"/>
      </w:pPr>
      <w:rPr>
        <w:rFonts w:ascii="Arial" w:eastAsia="Arial" w:hAnsi="Arial" w:cs="Arial"/>
        <w:b w:val="0"/>
        <w:i w:val="0"/>
        <w:strike w:val="0"/>
        <w:color w:val="026DCE"/>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3">
    <w:nsid w:val="000000EA"/>
    <w:multiLevelType w:val="hybridMultilevel"/>
    <w:tmpl w:val="000000EA"/>
    <w:lvl w:ilvl="0">
      <w:start w:val="1"/>
      <w:numFmt w:val="bullet"/>
      <w:lvlText w:val="•"/>
      <w:lvlJc w:val="left"/>
      <w:pPr>
        <w:tabs>
          <w:tab w:val="num" w:pos="270"/>
        </w:tabs>
        <w:ind w:left="720" w:hanging="360"/>
      </w:pPr>
      <w:rPr>
        <w:rFonts w:ascii="Arial" w:eastAsia="Arial" w:hAnsi="Arial" w:cs="Arial"/>
        <w:b w:val="0"/>
        <w:i w:val="0"/>
        <w:strike w:val="0"/>
        <w:sz w:val="16"/>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4">
    <w:nsid w:val="000000EB"/>
    <w:multiLevelType w:val="hybridMultilevel"/>
    <w:tmpl w:val="000000EB"/>
    <w:lvl w:ilvl="0">
      <w:start w:val="1"/>
      <w:numFmt w:val="bullet"/>
      <w:lvlText w:val="•"/>
      <w:lvlJc w:val="left"/>
      <w:pPr>
        <w:tabs>
          <w:tab w:val="num" w:pos="270"/>
        </w:tabs>
        <w:ind w:left="720" w:hanging="360"/>
      </w:pPr>
      <w:rPr>
        <w:rFonts w:ascii="Arial" w:eastAsia="Arial" w:hAnsi="Arial" w:cs="Arial"/>
        <w:b w:val="0"/>
        <w:i w:val="0"/>
        <w:strike w:val="0"/>
        <w:color w:val="026DCE"/>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5">
    <w:nsid w:val="000000EC"/>
    <w:multiLevelType w:val="hybridMultilevel"/>
    <w:tmpl w:val="000000EC"/>
    <w:lvl w:ilvl="0">
      <w:start w:val="1"/>
      <w:numFmt w:val="bullet"/>
      <w:lvlText w:val="•"/>
      <w:lvlJc w:val="left"/>
      <w:pPr>
        <w:tabs>
          <w:tab w:val="num" w:pos="270"/>
        </w:tabs>
        <w:ind w:left="720" w:hanging="360"/>
      </w:pPr>
      <w:rPr>
        <w:rFonts w:ascii="Arial" w:eastAsia="Arial" w:hAnsi="Arial" w:cs="Arial"/>
        <w:b w:val="0"/>
        <w:i w:val="0"/>
        <w:strike w:val="0"/>
        <w:color w:val="026DCE"/>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6">
    <w:nsid w:val="000000ED"/>
    <w:multiLevelType w:val="hybridMultilevel"/>
    <w:tmpl w:val="000000ED"/>
    <w:lvl w:ilvl="0">
      <w:start w:val="1"/>
      <w:numFmt w:val="bullet"/>
      <w:lvlText w:val="•"/>
      <w:lvlJc w:val="left"/>
      <w:pPr>
        <w:tabs>
          <w:tab w:val="num" w:pos="270"/>
        </w:tabs>
        <w:ind w:left="720" w:hanging="360"/>
      </w:pPr>
      <w:rPr>
        <w:rFonts w:ascii="Arial" w:eastAsia="Arial" w:hAnsi="Arial" w:cs="Arial"/>
        <w:b w:val="0"/>
        <w:i w:val="0"/>
        <w:strike w:val="0"/>
        <w:color w:val="026DCE"/>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7">
    <w:nsid w:val="000000EE"/>
    <w:multiLevelType w:val="hybridMultilevel"/>
    <w:tmpl w:val="000000EE"/>
    <w:lvl w:ilvl="0">
      <w:start w:val="1"/>
      <w:numFmt w:val="bullet"/>
      <w:lvlText w:val="•"/>
      <w:lvlJc w:val="left"/>
      <w:pPr>
        <w:tabs>
          <w:tab w:val="num" w:pos="270"/>
        </w:tabs>
        <w:ind w:left="720" w:hanging="360"/>
      </w:pPr>
      <w:rPr>
        <w:rFonts w:ascii="Arial" w:eastAsia="Arial" w:hAnsi="Arial" w:cs="Arial"/>
        <w:b w:val="0"/>
        <w:i w:val="0"/>
        <w:strike w:val="0"/>
        <w:color w:val="026DCE"/>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8">
    <w:nsid w:val="000000EF"/>
    <w:multiLevelType w:val="hybridMultilevel"/>
    <w:tmpl w:val="000000EF"/>
    <w:lvl w:ilvl="0">
      <w:start w:val="1"/>
      <w:numFmt w:val="bullet"/>
      <w:lvlText w:val="•"/>
      <w:lvlJc w:val="left"/>
      <w:pPr>
        <w:tabs>
          <w:tab w:val="num" w:pos="270"/>
        </w:tabs>
        <w:ind w:left="720" w:hanging="360"/>
      </w:pPr>
      <w:rPr>
        <w:rFonts w:ascii="Arial" w:eastAsia="Arial" w:hAnsi="Arial" w:cs="Arial"/>
        <w:b w:val="0"/>
        <w:i w:val="0"/>
        <w:strike w:val="0"/>
        <w:color w:val="026DCE"/>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9">
    <w:nsid w:val="000000F0"/>
    <w:multiLevelType w:val="hybridMultilevel"/>
    <w:tmpl w:val="000000F0"/>
    <w:lvl w:ilvl="0">
      <w:start w:val="1"/>
      <w:numFmt w:val="bullet"/>
      <w:lvlText w:val="•"/>
      <w:lvlJc w:val="left"/>
      <w:pPr>
        <w:tabs>
          <w:tab w:val="num" w:pos="270"/>
        </w:tabs>
        <w:ind w:left="720" w:hanging="360"/>
      </w:pPr>
      <w:rPr>
        <w:rFonts w:ascii="Arial" w:eastAsia="Arial" w:hAnsi="Arial" w:cs="Arial"/>
        <w:b w:val="0"/>
        <w:i w:val="0"/>
        <w:strike w:val="0"/>
        <w:color w:val="026DCE"/>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0">
    <w:nsid w:val="000000F1"/>
    <w:multiLevelType w:val="hybridMultilevel"/>
    <w:tmpl w:val="000000F1"/>
    <w:lvl w:ilvl="0">
      <w:start w:val="1"/>
      <w:numFmt w:val="bullet"/>
      <w:lvlText w:val="•"/>
      <w:lvlJc w:val="left"/>
      <w:pPr>
        <w:tabs>
          <w:tab w:val="num" w:pos="270"/>
        </w:tabs>
        <w:ind w:left="720" w:hanging="360"/>
      </w:pPr>
      <w:rPr>
        <w:rFonts w:ascii="Arial" w:eastAsia="Arial" w:hAnsi="Arial" w:cs="Arial"/>
        <w:b w:val="0"/>
        <w:i w:val="0"/>
        <w:strike w:val="0"/>
        <w:color w:val="026DCE"/>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1">
    <w:nsid w:val="000000F2"/>
    <w:multiLevelType w:val="hybridMultilevel"/>
    <w:tmpl w:val="000000F2"/>
    <w:lvl w:ilvl="0">
      <w:start w:val="1"/>
      <w:numFmt w:val="bullet"/>
      <w:lvlText w:val="•"/>
      <w:lvlJc w:val="left"/>
      <w:pPr>
        <w:tabs>
          <w:tab w:val="num" w:pos="270"/>
        </w:tabs>
        <w:ind w:left="720" w:hanging="360"/>
      </w:pPr>
      <w:rPr>
        <w:rFonts w:ascii="Arial" w:eastAsia="Arial" w:hAnsi="Arial" w:cs="Arial"/>
        <w:b w:val="0"/>
        <w:i w:val="0"/>
        <w:strike w:val="0"/>
        <w:color w:val="026DCE"/>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2">
    <w:nsid w:val="000000F3"/>
    <w:multiLevelType w:val="hybridMultilevel"/>
    <w:tmpl w:val="000000F3"/>
    <w:lvl w:ilvl="0">
      <w:start w:val="1"/>
      <w:numFmt w:val="decimal"/>
      <w:lvlText w:val="(%1)"/>
      <w:lvlJc w:val="left"/>
      <w:pPr>
        <w:tabs>
          <w:tab w:val="num" w:pos="360"/>
        </w:tabs>
        <w:ind w:left="720" w:hanging="360"/>
      </w:pPr>
      <w:rPr>
        <w:rFonts w:ascii="Arial" w:eastAsia="Arial" w:hAnsi="Arial" w:cs="Arial"/>
        <w:b w:val="0"/>
        <w:i w:val="0"/>
        <w:strike w:val="0"/>
        <w:color w:val="969698"/>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3">
    <w:nsid w:val="000000F4"/>
    <w:multiLevelType w:val="hybridMultilevel"/>
    <w:tmpl w:val="000000F4"/>
    <w:lvl w:ilvl="0">
      <w:start w:val="1"/>
      <w:numFmt w:val="decimal"/>
      <w:lvlText w:val="(%1)"/>
      <w:lvlJc w:val="left"/>
      <w:pPr>
        <w:tabs>
          <w:tab w:val="num" w:pos="360"/>
        </w:tabs>
        <w:ind w:left="720" w:hanging="360"/>
      </w:pPr>
      <w:rPr>
        <w:rFonts w:ascii="Arial" w:eastAsia="Arial" w:hAnsi="Arial" w:cs="Arial"/>
        <w:b w:val="0"/>
        <w:i w:val="0"/>
        <w:strike w:val="0"/>
        <w:color w:val="969698"/>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4">
    <w:nsid w:val="000000F5"/>
    <w:multiLevelType w:val="hybridMultilevel"/>
    <w:tmpl w:val="000000F5"/>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5">
    <w:nsid w:val="000000F6"/>
    <w:multiLevelType w:val="hybridMultilevel"/>
    <w:tmpl w:val="000000F6"/>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6">
    <w:nsid w:val="000000F7"/>
    <w:multiLevelType w:val="hybridMultilevel"/>
    <w:tmpl w:val="000000F7"/>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7">
    <w:nsid w:val="000000F8"/>
    <w:multiLevelType w:val="hybridMultilevel"/>
    <w:tmpl w:val="000000F8"/>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8">
    <w:nsid w:val="000000F9"/>
    <w:multiLevelType w:val="hybridMultilevel"/>
    <w:tmpl w:val="000000F9"/>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9">
    <w:nsid w:val="000000FA"/>
    <w:multiLevelType w:val="hybridMultilevel"/>
    <w:tmpl w:val="000000FA"/>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0">
    <w:nsid w:val="000000FB"/>
    <w:multiLevelType w:val="hybridMultilevel"/>
    <w:tmpl w:val="000000FB"/>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1">
    <w:nsid w:val="000000FC"/>
    <w:multiLevelType w:val="hybridMultilevel"/>
    <w:tmpl w:val="000000FC"/>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2">
    <w:nsid w:val="000000FD"/>
    <w:multiLevelType w:val="hybridMultilevel"/>
    <w:tmpl w:val="000000FD"/>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3">
    <w:nsid w:val="000000FE"/>
    <w:multiLevelType w:val="hybridMultilevel"/>
    <w:tmpl w:val="000000FE"/>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4">
    <w:nsid w:val="000000FF"/>
    <w:multiLevelType w:val="hybridMultilevel"/>
    <w:tmpl w:val="000000FF"/>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5">
    <w:nsid w:val="00000100"/>
    <w:multiLevelType w:val="hybridMultilevel"/>
    <w:tmpl w:val="00000100"/>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6">
    <w:nsid w:val="00000101"/>
    <w:multiLevelType w:val="hybridMultilevel"/>
    <w:tmpl w:val="00000101"/>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7">
    <w:nsid w:val="00000102"/>
    <w:multiLevelType w:val="hybridMultilevel"/>
    <w:tmpl w:val="00000102"/>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8">
    <w:nsid w:val="00000103"/>
    <w:multiLevelType w:val="hybridMultilevel"/>
    <w:tmpl w:val="00000103"/>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9">
    <w:nsid w:val="00000104"/>
    <w:multiLevelType w:val="hybridMultilevel"/>
    <w:tmpl w:val="00000104"/>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0">
    <w:nsid w:val="00000105"/>
    <w:multiLevelType w:val="hybridMultilevel"/>
    <w:tmpl w:val="00000105"/>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1">
    <w:nsid w:val="00000106"/>
    <w:multiLevelType w:val="hybridMultilevel"/>
    <w:tmpl w:val="00000106"/>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2">
    <w:nsid w:val="00000107"/>
    <w:multiLevelType w:val="hybridMultilevel"/>
    <w:tmpl w:val="00000107"/>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3">
    <w:nsid w:val="00000108"/>
    <w:multiLevelType w:val="hybridMultilevel"/>
    <w:tmpl w:val="00000108"/>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4">
    <w:nsid w:val="00000109"/>
    <w:multiLevelType w:val="hybridMultilevel"/>
    <w:tmpl w:val="00000109"/>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5">
    <w:nsid w:val="0000010A"/>
    <w:multiLevelType w:val="hybridMultilevel"/>
    <w:tmpl w:val="0000010A"/>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6">
    <w:nsid w:val="0000010B"/>
    <w:multiLevelType w:val="hybridMultilevel"/>
    <w:tmpl w:val="0000010B"/>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7">
    <w:nsid w:val="0000010C"/>
    <w:multiLevelType w:val="hybridMultilevel"/>
    <w:tmpl w:val="0000010C"/>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8">
    <w:nsid w:val="0000010D"/>
    <w:multiLevelType w:val="hybridMultilevel"/>
    <w:tmpl w:val="0000010D"/>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9">
    <w:nsid w:val="0000010E"/>
    <w:multiLevelType w:val="hybridMultilevel"/>
    <w:tmpl w:val="0000010E"/>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0">
    <w:nsid w:val="0000010F"/>
    <w:multiLevelType w:val="hybridMultilevel"/>
    <w:tmpl w:val="0000010F"/>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1">
    <w:nsid w:val="00000110"/>
    <w:multiLevelType w:val="hybridMultilevel"/>
    <w:tmpl w:val="00000110"/>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2">
    <w:nsid w:val="00000111"/>
    <w:multiLevelType w:val="hybridMultilevel"/>
    <w:tmpl w:val="00000111"/>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3">
    <w:nsid w:val="00000112"/>
    <w:multiLevelType w:val="hybridMultilevel"/>
    <w:tmpl w:val="00000112"/>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4">
    <w:nsid w:val="00000113"/>
    <w:multiLevelType w:val="hybridMultilevel"/>
    <w:tmpl w:val="00000113"/>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5">
    <w:nsid w:val="00000114"/>
    <w:multiLevelType w:val="hybridMultilevel"/>
    <w:tmpl w:val="00000114"/>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6">
    <w:nsid w:val="00000115"/>
    <w:multiLevelType w:val="hybridMultilevel"/>
    <w:tmpl w:val="00000115"/>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7">
    <w:nsid w:val="00000116"/>
    <w:multiLevelType w:val="hybridMultilevel"/>
    <w:tmpl w:val="00000116"/>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8">
    <w:nsid w:val="00000117"/>
    <w:multiLevelType w:val="hybridMultilevel"/>
    <w:tmpl w:val="00000117"/>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9">
    <w:nsid w:val="00000118"/>
    <w:multiLevelType w:val="hybridMultilevel"/>
    <w:tmpl w:val="00000118"/>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0">
    <w:nsid w:val="00000119"/>
    <w:multiLevelType w:val="hybridMultilevel"/>
    <w:tmpl w:val="00000119"/>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1">
    <w:nsid w:val="0000011A"/>
    <w:multiLevelType w:val="hybridMultilevel"/>
    <w:tmpl w:val="0000011A"/>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2">
    <w:nsid w:val="0000011B"/>
    <w:multiLevelType w:val="hybridMultilevel"/>
    <w:tmpl w:val="0000011B"/>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3">
    <w:nsid w:val="0000011C"/>
    <w:multiLevelType w:val="hybridMultilevel"/>
    <w:tmpl w:val="0000011C"/>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4">
    <w:nsid w:val="0000011D"/>
    <w:multiLevelType w:val="hybridMultilevel"/>
    <w:tmpl w:val="0000011D"/>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5">
    <w:nsid w:val="0000011E"/>
    <w:multiLevelType w:val="hybridMultilevel"/>
    <w:tmpl w:val="0000011E"/>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6">
    <w:nsid w:val="0000011F"/>
    <w:multiLevelType w:val="hybridMultilevel"/>
    <w:tmpl w:val="0000011F"/>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7">
    <w:nsid w:val="00000120"/>
    <w:multiLevelType w:val="hybridMultilevel"/>
    <w:tmpl w:val="00000120"/>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8">
    <w:nsid w:val="00000121"/>
    <w:multiLevelType w:val="hybridMultilevel"/>
    <w:tmpl w:val="00000121"/>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9">
    <w:nsid w:val="00000122"/>
    <w:multiLevelType w:val="hybridMultilevel"/>
    <w:tmpl w:val="00000122"/>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0">
    <w:nsid w:val="00000123"/>
    <w:multiLevelType w:val="hybridMultilevel"/>
    <w:tmpl w:val="00000123"/>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1">
    <w:nsid w:val="00000124"/>
    <w:multiLevelType w:val="hybridMultilevel"/>
    <w:tmpl w:val="00000124"/>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2">
    <w:nsid w:val="00000125"/>
    <w:multiLevelType w:val="hybridMultilevel"/>
    <w:tmpl w:val="00000125"/>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3">
    <w:nsid w:val="00000126"/>
    <w:multiLevelType w:val="hybridMultilevel"/>
    <w:tmpl w:val="00000126"/>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4">
    <w:nsid w:val="00000127"/>
    <w:multiLevelType w:val="hybridMultilevel"/>
    <w:tmpl w:val="00000127"/>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5">
    <w:nsid w:val="00000128"/>
    <w:multiLevelType w:val="hybridMultilevel"/>
    <w:tmpl w:val="00000128"/>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6">
    <w:nsid w:val="00000129"/>
    <w:multiLevelType w:val="hybridMultilevel"/>
    <w:tmpl w:val="00000129"/>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7">
    <w:nsid w:val="0000012A"/>
    <w:multiLevelType w:val="hybridMultilevel"/>
    <w:tmpl w:val="0000012A"/>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8">
    <w:nsid w:val="0000012B"/>
    <w:multiLevelType w:val="hybridMultilevel"/>
    <w:tmpl w:val="0000012B"/>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9">
    <w:nsid w:val="0000012C"/>
    <w:multiLevelType w:val="hybridMultilevel"/>
    <w:tmpl w:val="0000012C"/>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0">
    <w:nsid w:val="0000012D"/>
    <w:multiLevelType w:val="hybridMultilevel"/>
    <w:tmpl w:val="0000012D"/>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1">
    <w:nsid w:val="0000012E"/>
    <w:multiLevelType w:val="hybridMultilevel"/>
    <w:tmpl w:val="0000012E"/>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2">
    <w:nsid w:val="0000012F"/>
    <w:multiLevelType w:val="hybridMultilevel"/>
    <w:tmpl w:val="0000012F"/>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3">
    <w:nsid w:val="00000130"/>
    <w:multiLevelType w:val="hybridMultilevel"/>
    <w:tmpl w:val="00000130"/>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4">
    <w:nsid w:val="00000131"/>
    <w:multiLevelType w:val="hybridMultilevel"/>
    <w:tmpl w:val="00000131"/>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5">
    <w:nsid w:val="00000132"/>
    <w:multiLevelType w:val="hybridMultilevel"/>
    <w:tmpl w:val="00000132"/>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6">
    <w:nsid w:val="00000133"/>
    <w:multiLevelType w:val="hybridMultilevel"/>
    <w:tmpl w:val="00000133"/>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7">
    <w:nsid w:val="00000134"/>
    <w:multiLevelType w:val="hybridMultilevel"/>
    <w:tmpl w:val="00000134"/>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8">
    <w:nsid w:val="00000135"/>
    <w:multiLevelType w:val="hybridMultilevel"/>
    <w:tmpl w:val="00000135"/>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9">
    <w:nsid w:val="00000136"/>
    <w:multiLevelType w:val="hybridMultilevel"/>
    <w:tmpl w:val="00000136"/>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0">
    <w:nsid w:val="00000137"/>
    <w:multiLevelType w:val="hybridMultilevel"/>
    <w:tmpl w:val="00000137"/>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1">
    <w:nsid w:val="00000138"/>
    <w:multiLevelType w:val="hybridMultilevel"/>
    <w:tmpl w:val="00000138"/>
    <w:lvl w:ilvl="0">
      <w:start w:val="1"/>
      <w:numFmt w:val="bullet"/>
      <w:lvlText w:val="•"/>
      <w:lvlJc w:val="left"/>
      <w:pPr>
        <w:tabs>
          <w:tab w:val="num" w:pos="270"/>
        </w:tabs>
        <w:ind w:left="720" w:hanging="360"/>
      </w:pPr>
      <w:rPr>
        <w:rFonts w:ascii="Arial" w:eastAsia="Arial" w:hAnsi="Arial" w:cs="Arial"/>
        <w:b w:val="0"/>
        <w:i w:val="0"/>
        <w:strike w:val="0"/>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2">
    <w:nsid w:val="00000139"/>
    <w:multiLevelType w:val="hybridMultilevel"/>
    <w:tmpl w:val="00000139"/>
    <w:lvl w:ilvl="0">
      <w:start w:val="1"/>
      <w:numFmt w:val="decimal"/>
      <w:lvlText w:val="(%1)"/>
      <w:lvlJc w:val="left"/>
      <w:pPr>
        <w:tabs>
          <w:tab w:val="num" w:pos="360"/>
        </w:tabs>
        <w:ind w:left="720" w:hanging="360"/>
      </w:pPr>
      <w:rPr>
        <w:rFonts w:ascii="Arial" w:eastAsia="Arial" w:hAnsi="Arial" w:cs="Arial"/>
        <w:b w:val="0"/>
        <w:i w:val="0"/>
        <w:strike w:val="0"/>
        <w:color w:val="969698"/>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3">
    <w:nsid w:val="0000013A"/>
    <w:multiLevelType w:val="hybridMultilevel"/>
    <w:tmpl w:val="0000013A"/>
    <w:lvl w:ilvl="0">
      <w:start w:val="1"/>
      <w:numFmt w:val="decimal"/>
      <w:lvlText w:val="(%1)"/>
      <w:lvlJc w:val="left"/>
      <w:pPr>
        <w:tabs>
          <w:tab w:val="num" w:pos="630"/>
        </w:tabs>
        <w:ind w:left="720" w:hanging="360"/>
      </w:pPr>
      <w:rPr>
        <w:rFonts w:ascii="Arial" w:eastAsia="Arial" w:hAnsi="Arial" w:cs="Arial"/>
        <w:b w:val="0"/>
        <w:i w:val="0"/>
        <w:strike w:val="0"/>
        <w:color w:val="969698"/>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4">
    <w:nsid w:val="0000013B"/>
    <w:multiLevelType w:val="hybridMultilevel"/>
    <w:tmpl w:val="0000013B"/>
    <w:lvl w:ilvl="0">
      <w:start w:val="1"/>
      <w:numFmt w:val="decimal"/>
      <w:lvlText w:val="(%1)"/>
      <w:lvlJc w:val="left"/>
      <w:pPr>
        <w:tabs>
          <w:tab w:val="num" w:pos="360"/>
        </w:tabs>
        <w:ind w:left="720" w:hanging="360"/>
      </w:pPr>
      <w:rPr>
        <w:rFonts w:ascii="Arial" w:eastAsia="Arial" w:hAnsi="Arial" w:cs="Arial"/>
        <w:b w:val="0"/>
        <w:i w:val="0"/>
        <w:strike w:val="0"/>
        <w:color w:val="929292"/>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5">
    <w:nsid w:val="0000013C"/>
    <w:multiLevelType w:val="hybridMultilevel"/>
    <w:tmpl w:val="0000013C"/>
    <w:lvl w:ilvl="0">
      <w:start w:val="4"/>
      <w:numFmt w:val="decimal"/>
      <w:lvlText w:val="(%1)"/>
      <w:lvlJc w:val="left"/>
      <w:pPr>
        <w:tabs>
          <w:tab w:val="num" w:pos="360"/>
        </w:tabs>
        <w:ind w:left="720" w:hanging="360"/>
      </w:pPr>
      <w:rPr>
        <w:rFonts w:ascii="Arial" w:eastAsia="Arial" w:hAnsi="Arial" w:cs="Arial"/>
        <w:b w:val="0"/>
        <w:i w:val="0"/>
        <w:strike w:val="0"/>
        <w:color w:val="969698"/>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6">
    <w:nsid w:val="0000013D"/>
    <w:multiLevelType w:val="hybridMultilevel"/>
    <w:tmpl w:val="0000013D"/>
    <w:lvl w:ilvl="0">
      <w:start w:val="5"/>
      <w:numFmt w:val="decimal"/>
      <w:lvlText w:val="(%1)"/>
      <w:lvlJc w:val="left"/>
      <w:pPr>
        <w:tabs>
          <w:tab w:val="num" w:pos="360"/>
        </w:tabs>
        <w:ind w:left="720" w:hanging="360"/>
      </w:pPr>
      <w:rPr>
        <w:rFonts w:ascii="Arial" w:eastAsia="Arial" w:hAnsi="Arial" w:cs="Arial"/>
        <w:b w:val="0"/>
        <w:i w:val="0"/>
        <w:strike w:val="0"/>
        <w:color w:val="929292"/>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7">
    <w:nsid w:val="0000013E"/>
    <w:multiLevelType w:val="hybridMultilevel"/>
    <w:tmpl w:val="0000013E"/>
    <w:lvl w:ilvl="0">
      <w:start w:val="8"/>
      <w:numFmt w:val="decimal"/>
      <w:lvlText w:val="(%1)"/>
      <w:lvlJc w:val="left"/>
      <w:pPr>
        <w:tabs>
          <w:tab w:val="num" w:pos="360"/>
        </w:tabs>
        <w:ind w:left="720" w:hanging="360"/>
      </w:pPr>
      <w:rPr>
        <w:rFonts w:ascii="Arial" w:eastAsia="Arial" w:hAnsi="Arial" w:cs="Arial"/>
        <w:b w:val="0"/>
        <w:i w:val="0"/>
        <w:strike w:val="0"/>
        <w:color w:val="969698"/>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8">
    <w:nsid w:val="0000013F"/>
    <w:multiLevelType w:val="hybridMultilevel"/>
    <w:tmpl w:val="0000013F"/>
    <w:lvl w:ilvl="0">
      <w:start w:val="9"/>
      <w:numFmt w:val="decimal"/>
      <w:lvlText w:val="(%1)"/>
      <w:lvlJc w:val="left"/>
      <w:pPr>
        <w:tabs>
          <w:tab w:val="num" w:pos="360"/>
        </w:tabs>
        <w:ind w:left="720" w:hanging="360"/>
      </w:pPr>
      <w:rPr>
        <w:rFonts w:ascii="Arial" w:eastAsia="Arial" w:hAnsi="Arial" w:cs="Arial"/>
        <w:b w:val="0"/>
        <w:i w:val="0"/>
        <w:strike w:val="0"/>
        <w:color w:val="929292"/>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9">
    <w:nsid w:val="00000140"/>
    <w:multiLevelType w:val="hybridMultilevel"/>
    <w:tmpl w:val="00000140"/>
    <w:lvl w:ilvl="0">
      <w:start w:val="1"/>
      <w:numFmt w:val="decimal"/>
      <w:lvlText w:val="(%1)"/>
      <w:lvlJc w:val="left"/>
      <w:pPr>
        <w:tabs>
          <w:tab w:val="num" w:pos="360"/>
        </w:tabs>
        <w:ind w:left="720" w:hanging="360"/>
      </w:pPr>
      <w:rPr>
        <w:rFonts w:ascii="Arial" w:eastAsia="Arial" w:hAnsi="Arial" w:cs="Arial"/>
        <w:b w:val="0"/>
        <w:i w:val="0"/>
        <w:strike w:val="0"/>
        <w:color w:val="969698"/>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0">
    <w:nsid w:val="00000141"/>
    <w:multiLevelType w:val="hybridMultilevel"/>
    <w:tmpl w:val="00000141"/>
    <w:lvl w:ilvl="0">
      <w:start w:val="1"/>
      <w:numFmt w:val="decimal"/>
      <w:lvlText w:val="(%1)"/>
      <w:lvlJc w:val="left"/>
      <w:pPr>
        <w:tabs>
          <w:tab w:val="num" w:pos="360"/>
        </w:tabs>
        <w:ind w:left="720" w:hanging="360"/>
      </w:pPr>
      <w:rPr>
        <w:rFonts w:ascii="Arial" w:eastAsia="Arial" w:hAnsi="Arial" w:cs="Arial"/>
        <w:b w:val="0"/>
        <w:i w:val="0"/>
        <w:strike w:val="0"/>
        <w:color w:val="969698"/>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1">
    <w:nsid w:val="00000142"/>
    <w:multiLevelType w:val="hybridMultilevel"/>
    <w:tmpl w:val="00000142"/>
    <w:lvl w:ilvl="0">
      <w:start w:val="1"/>
      <w:numFmt w:val="decimal"/>
      <w:lvlText w:val="(%1)"/>
      <w:lvlJc w:val="left"/>
      <w:pPr>
        <w:tabs>
          <w:tab w:val="num" w:pos="360"/>
        </w:tabs>
        <w:ind w:left="720" w:hanging="360"/>
      </w:pPr>
      <w:rPr>
        <w:rFonts w:ascii="Arial" w:eastAsia="Arial" w:hAnsi="Arial" w:cs="Arial"/>
        <w:b w:val="0"/>
        <w:i w:val="0"/>
        <w:strike w:val="0"/>
        <w:color w:val="969698"/>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2">
    <w:nsid w:val="00000143"/>
    <w:multiLevelType w:val="hybridMultilevel"/>
    <w:tmpl w:val="00000143"/>
    <w:lvl w:ilvl="0">
      <w:start w:val="1"/>
      <w:numFmt w:val="decimal"/>
      <w:lvlText w:val="(%1)"/>
      <w:lvlJc w:val="left"/>
      <w:pPr>
        <w:tabs>
          <w:tab w:val="num" w:pos="360"/>
        </w:tabs>
        <w:ind w:left="720" w:hanging="360"/>
      </w:pPr>
      <w:rPr>
        <w:rFonts w:ascii="Arial" w:eastAsia="Arial" w:hAnsi="Arial" w:cs="Arial"/>
        <w:b w:val="0"/>
        <w:i w:val="0"/>
        <w:strike w:val="0"/>
        <w:color w:val="969698"/>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3">
    <w:nsid w:val="00000144"/>
    <w:multiLevelType w:val="hybridMultilevel"/>
    <w:tmpl w:val="00000144"/>
    <w:lvl w:ilvl="0">
      <w:start w:val="1"/>
      <w:numFmt w:val="bullet"/>
      <w:lvlText w:val="•"/>
      <w:lvlJc w:val="left"/>
      <w:pPr>
        <w:tabs>
          <w:tab w:val="num" w:pos="720"/>
        </w:tabs>
        <w:ind w:left="720" w:hanging="360"/>
      </w:pPr>
      <w:rPr>
        <w:rFonts w:ascii="Arial" w:eastAsia="Arial" w:hAnsi="Arial" w:cs="Arial"/>
        <w:b w:val="0"/>
        <w:i w:val="0"/>
        <w:strike w:val="0"/>
        <w:color w:val="969698"/>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4">
    <w:nsid w:val="00000145"/>
    <w:multiLevelType w:val="hybridMultilevel"/>
    <w:tmpl w:val="00000145"/>
    <w:lvl w:ilvl="0">
      <w:start w:val="1"/>
      <w:numFmt w:val="bullet"/>
      <w:lvlText w:val="•"/>
      <w:lvlJc w:val="left"/>
      <w:pPr>
        <w:tabs>
          <w:tab w:val="num" w:pos="720"/>
        </w:tabs>
        <w:ind w:left="720" w:hanging="360"/>
      </w:pPr>
      <w:rPr>
        <w:rFonts w:ascii="Arial" w:eastAsia="Arial" w:hAnsi="Arial" w:cs="Arial"/>
        <w:b w:val="0"/>
        <w:i w:val="0"/>
        <w:strike w:val="0"/>
        <w:color w:val="969698"/>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5">
    <w:nsid w:val="00000146"/>
    <w:multiLevelType w:val="hybridMultilevel"/>
    <w:tmpl w:val="00000146"/>
    <w:lvl w:ilvl="0">
      <w:start w:val="1"/>
      <w:numFmt w:val="bullet"/>
      <w:lvlText w:val="•"/>
      <w:lvlJc w:val="left"/>
      <w:pPr>
        <w:tabs>
          <w:tab w:val="num" w:pos="720"/>
        </w:tabs>
        <w:ind w:left="720" w:hanging="360"/>
      </w:pPr>
      <w:rPr>
        <w:rFonts w:ascii="Arial" w:eastAsia="Arial" w:hAnsi="Arial" w:cs="Arial"/>
        <w:b w:val="0"/>
        <w:i w:val="0"/>
        <w:strike w:val="0"/>
        <w:color w:val="969698"/>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6">
    <w:nsid w:val="00000147"/>
    <w:multiLevelType w:val="hybridMultilevel"/>
    <w:tmpl w:val="00000147"/>
    <w:lvl w:ilvl="0">
      <w:start w:val="1"/>
      <w:numFmt w:val="bullet"/>
      <w:lvlText w:val="•"/>
      <w:lvlJc w:val="left"/>
      <w:pPr>
        <w:tabs>
          <w:tab w:val="num" w:pos="720"/>
        </w:tabs>
        <w:ind w:left="720" w:hanging="360"/>
      </w:pPr>
      <w:rPr>
        <w:rFonts w:ascii="Arial" w:eastAsia="Arial" w:hAnsi="Arial" w:cs="Arial"/>
        <w:b w:val="0"/>
        <w:i w:val="0"/>
        <w:strike w:val="0"/>
        <w:color w:val="969698"/>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7">
    <w:nsid w:val="00000148"/>
    <w:multiLevelType w:val="hybridMultilevel"/>
    <w:tmpl w:val="00000148"/>
    <w:lvl w:ilvl="0">
      <w:start w:val="1"/>
      <w:numFmt w:val="lowerLetter"/>
      <w:lvlText w:val="(%1)"/>
      <w:lvlJc w:val="left"/>
      <w:pPr>
        <w:tabs>
          <w:tab w:val="num" w:pos="360"/>
        </w:tabs>
        <w:ind w:left="720" w:hanging="360"/>
      </w:pPr>
      <w:rPr>
        <w:rFonts w:ascii="Arial" w:eastAsia="Arial" w:hAnsi="Arial" w:cs="Arial"/>
        <w:b w:val="0"/>
        <w:i w:val="0"/>
        <w:strike w:val="0"/>
        <w:color w:val="969698"/>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8">
    <w:nsid w:val="00000149"/>
    <w:multiLevelType w:val="hybridMultilevel"/>
    <w:tmpl w:val="00000149"/>
    <w:lvl w:ilvl="0">
      <w:start w:val="1"/>
      <w:numFmt w:val="bullet"/>
      <w:lvlText w:val="▪"/>
      <w:lvlJc w:val="left"/>
      <w:pPr>
        <w:tabs>
          <w:tab w:val="num" w:pos="540"/>
        </w:tabs>
        <w:ind w:left="720" w:hanging="360"/>
      </w:pPr>
      <w:rPr>
        <w:rFonts w:ascii="Arial" w:eastAsia="Arial" w:hAnsi="Arial" w:cs="Arial"/>
        <w:b w:val="0"/>
        <w:i w:val="0"/>
        <w:strike w:val="0"/>
        <w:color w:val="171449"/>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9">
    <w:nsid w:val="0000014A"/>
    <w:multiLevelType w:val="hybridMultilevel"/>
    <w:tmpl w:val="0000014A"/>
    <w:lvl w:ilvl="0">
      <w:start w:val="1"/>
      <w:numFmt w:val="bullet"/>
      <w:lvlText w:val="▪"/>
      <w:lvlJc w:val="left"/>
      <w:pPr>
        <w:tabs>
          <w:tab w:val="num" w:pos="540"/>
        </w:tabs>
        <w:ind w:left="720" w:hanging="360"/>
      </w:pPr>
      <w:rPr>
        <w:rFonts w:ascii="Arial" w:eastAsia="Arial" w:hAnsi="Arial" w:cs="Arial"/>
        <w:b w:val="0"/>
        <w:i w:val="0"/>
        <w:strike w:val="0"/>
        <w:color w:val="171449"/>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0">
    <w:nsid w:val="0000014B"/>
    <w:multiLevelType w:val="hybridMultilevel"/>
    <w:tmpl w:val="0000014B"/>
    <w:lvl w:ilvl="0">
      <w:start w:val="1"/>
      <w:numFmt w:val="bullet"/>
      <w:lvlText w:val="▪"/>
      <w:lvlJc w:val="left"/>
      <w:pPr>
        <w:tabs>
          <w:tab w:val="num" w:pos="540"/>
        </w:tabs>
        <w:ind w:left="720" w:hanging="360"/>
      </w:pPr>
      <w:rPr>
        <w:rFonts w:ascii="Arial" w:eastAsia="Arial" w:hAnsi="Arial" w:cs="Arial"/>
        <w:b w:val="0"/>
        <w:i w:val="0"/>
        <w:strike w:val="0"/>
        <w:color w:val="171449"/>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1">
    <w:nsid w:val="0000014C"/>
    <w:multiLevelType w:val="hybridMultilevel"/>
    <w:tmpl w:val="0000014C"/>
    <w:lvl w:ilvl="0">
      <w:start w:val="1"/>
      <w:numFmt w:val="bullet"/>
      <w:lvlText w:val="▪"/>
      <w:lvlJc w:val="left"/>
      <w:pPr>
        <w:tabs>
          <w:tab w:val="num" w:pos="540"/>
        </w:tabs>
        <w:ind w:left="720" w:hanging="360"/>
      </w:pPr>
      <w:rPr>
        <w:rFonts w:ascii="Arial" w:eastAsia="Arial" w:hAnsi="Arial" w:cs="Arial"/>
        <w:b w:val="0"/>
        <w:i w:val="0"/>
        <w:strike w:val="0"/>
        <w:color w:val="171449"/>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2">
    <w:nsid w:val="0000014D"/>
    <w:multiLevelType w:val="hybridMultilevel"/>
    <w:tmpl w:val="0000014D"/>
    <w:lvl w:ilvl="0">
      <w:start w:val="1"/>
      <w:numFmt w:val="bullet"/>
      <w:lvlText w:val="▪"/>
      <w:lvlJc w:val="left"/>
      <w:pPr>
        <w:tabs>
          <w:tab w:val="num" w:pos="720"/>
        </w:tabs>
        <w:ind w:left="720" w:hanging="360"/>
      </w:pPr>
      <w:rPr>
        <w:rFonts w:ascii="Arial" w:eastAsia="Arial" w:hAnsi="Arial" w:cs="Arial"/>
        <w:b w:val="0"/>
        <w:i w:val="0"/>
        <w:strike w:val="0"/>
        <w:color w:val="171449"/>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3">
    <w:nsid w:val="0000014E"/>
    <w:multiLevelType w:val="hybridMultilevel"/>
    <w:tmpl w:val="0000014E"/>
    <w:lvl w:ilvl="0">
      <w:start w:val="1"/>
      <w:numFmt w:val="bullet"/>
      <w:lvlText w:val="▪"/>
      <w:lvlJc w:val="left"/>
      <w:pPr>
        <w:tabs>
          <w:tab w:val="num" w:pos="720"/>
        </w:tabs>
        <w:ind w:left="720" w:hanging="360"/>
      </w:pPr>
      <w:rPr>
        <w:rFonts w:ascii="Arial" w:eastAsia="Arial" w:hAnsi="Arial" w:cs="Arial"/>
        <w:b w:val="0"/>
        <w:i w:val="0"/>
        <w:strike w:val="0"/>
        <w:color w:val="171449"/>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4">
    <w:nsid w:val="0000014F"/>
    <w:multiLevelType w:val="hybridMultilevel"/>
    <w:tmpl w:val="0000014F"/>
    <w:lvl w:ilvl="0">
      <w:start w:val="1"/>
      <w:numFmt w:val="bullet"/>
      <w:lvlText w:val="▪"/>
      <w:lvlJc w:val="left"/>
      <w:pPr>
        <w:tabs>
          <w:tab w:val="num" w:pos="720"/>
        </w:tabs>
        <w:ind w:left="720" w:hanging="360"/>
      </w:pPr>
      <w:rPr>
        <w:rFonts w:ascii="Arial" w:eastAsia="Arial" w:hAnsi="Arial" w:cs="Arial"/>
        <w:b w:val="0"/>
        <w:i w:val="0"/>
        <w:strike w:val="0"/>
        <w:color w:val="171449"/>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5">
    <w:nsid w:val="00000150"/>
    <w:multiLevelType w:val="hybridMultilevel"/>
    <w:tmpl w:val="00000150"/>
    <w:lvl w:ilvl="0">
      <w:start w:val="1"/>
      <w:numFmt w:val="bullet"/>
      <w:lvlText w:val="▪"/>
      <w:lvlJc w:val="left"/>
      <w:pPr>
        <w:tabs>
          <w:tab w:val="num" w:pos="720"/>
        </w:tabs>
        <w:ind w:left="720" w:hanging="360"/>
      </w:pPr>
      <w:rPr>
        <w:rFonts w:ascii="Arial" w:eastAsia="Arial" w:hAnsi="Arial" w:cs="Arial"/>
        <w:b w:val="0"/>
        <w:i w:val="0"/>
        <w:strike w:val="0"/>
        <w:color w:val="171449"/>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6">
    <w:nsid w:val="00000151"/>
    <w:multiLevelType w:val="hybridMultilevel"/>
    <w:tmpl w:val="00000151"/>
    <w:lvl w:ilvl="0">
      <w:start w:val="1"/>
      <w:numFmt w:val="decimal"/>
      <w:lvlText w:val="(%1)"/>
      <w:lvlJc w:val="left"/>
      <w:pPr>
        <w:tabs>
          <w:tab w:val="num" w:pos="360"/>
        </w:tabs>
        <w:ind w:left="720" w:hanging="360"/>
      </w:pPr>
      <w:rPr>
        <w:rFonts w:ascii="Arial" w:eastAsia="Arial" w:hAnsi="Arial" w:cs="Arial"/>
        <w:b w:val="0"/>
        <w:i w:val="0"/>
        <w:strike w:val="0"/>
        <w:color w:val="969698"/>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7">
    <w:nsid w:val="00000152"/>
    <w:multiLevelType w:val="hybridMultilevel"/>
    <w:tmpl w:val="00000152"/>
    <w:lvl w:ilvl="0">
      <w:start w:val="1"/>
      <w:numFmt w:val="bullet"/>
      <w:lvlText w:val="•"/>
      <w:lvlJc w:val="left"/>
      <w:pPr>
        <w:tabs>
          <w:tab w:val="num" w:pos="72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8">
    <w:nsid w:val="00000153"/>
    <w:multiLevelType w:val="hybridMultilevel"/>
    <w:tmpl w:val="00000153"/>
    <w:lvl w:ilvl="0">
      <w:start w:val="1"/>
      <w:numFmt w:val="bullet"/>
      <w:lvlText w:val="•"/>
      <w:lvlJc w:val="left"/>
      <w:pPr>
        <w:tabs>
          <w:tab w:val="num" w:pos="72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9">
    <w:nsid w:val="00000154"/>
    <w:multiLevelType w:val="hybridMultilevel"/>
    <w:tmpl w:val="00000154"/>
    <w:lvl w:ilvl="0">
      <w:start w:val="1"/>
      <w:numFmt w:val="bullet"/>
      <w:lvlText w:val="•"/>
      <w:lvlJc w:val="left"/>
      <w:pPr>
        <w:tabs>
          <w:tab w:val="num" w:pos="720"/>
        </w:tabs>
        <w:ind w:left="720" w:hanging="360"/>
      </w:pPr>
      <w:rPr>
        <w:rFonts w:ascii="Arial" w:eastAsia="Arial" w:hAnsi="Arial" w:cs="Arial"/>
        <w:b w:val="0"/>
        <w:i w:val="0"/>
        <w:strike w:val="0"/>
        <w:color w:val="4494D1"/>
        <w:sz w:val="20"/>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0">
    <w:nsid w:val="00000155"/>
    <w:multiLevelType w:val="hybridMultilevel"/>
    <w:tmpl w:val="00000155"/>
    <w:lvl w:ilvl="0">
      <w:start w:val="1"/>
      <w:numFmt w:val="decimal"/>
      <w:lvlText w:val="(%1)"/>
      <w:lvlJc w:val="left"/>
      <w:pPr>
        <w:tabs>
          <w:tab w:val="num" w:pos="360"/>
        </w:tabs>
        <w:ind w:left="720" w:hanging="360"/>
      </w:pPr>
      <w:rPr>
        <w:rFonts w:ascii="Arial" w:eastAsia="Arial" w:hAnsi="Arial" w:cs="Arial"/>
        <w:b w:val="0"/>
        <w:i w:val="0"/>
        <w:strike w:val="0"/>
        <w:color w:val="969698"/>
        <w:sz w:val="16"/>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1">
    <w:nsid w:val="00000156"/>
    <w:multiLevelType w:val="hybridMultilevel"/>
    <w:tmpl w:val="00000156"/>
    <w:lvl w:ilvl="0">
      <w:start w:val="1"/>
      <w:numFmt w:val="decimal"/>
      <w:lvlText w:val="%1."/>
      <w:lvlJc w:val="left"/>
      <w:pPr>
        <w:tabs>
          <w:tab w:val="num" w:pos="360"/>
        </w:tabs>
        <w:ind w:left="720" w:hanging="360"/>
      </w:pPr>
      <w:rPr>
        <w:rFonts w:ascii="Arial" w:eastAsia="Arial" w:hAnsi="Arial" w:cs="Arial"/>
        <w:b/>
        <w:i w:val="0"/>
        <w:strike w:val="0"/>
        <w:color w:val="171449"/>
        <w:sz w:val="24"/>
        <w:u w:val="none"/>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2">
    <w:nsid w:val="00000157"/>
    <w:multiLevelType w:val="hybridMultilevel"/>
    <w:tmpl w:val="00000157"/>
    <w:lvl w:ilvl="0">
      <w:start w:val="1"/>
      <w:numFmt w:val="bullet"/>
      <w:lvlText w:val="•"/>
      <w:lvlJc w:val="left"/>
      <w:pPr>
        <w:tabs>
          <w:tab w:val="num" w:pos="360"/>
        </w:tabs>
        <w:ind w:left="720" w:hanging="360"/>
      </w:pPr>
      <w:rPr>
        <w:rFonts w:ascii="Arial" w:eastAsia="Arial" w:hAnsi="Arial" w:cs="Arial"/>
        <w:b w:val="0"/>
        <w:i w:val="0"/>
        <w:strike w:val="0"/>
        <w:sz w:val="17"/>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3">
    <w:nsid w:val="00000158"/>
    <w:multiLevelType w:val="hybridMultilevel"/>
    <w:tmpl w:val="00000158"/>
    <w:lvl w:ilvl="0">
      <w:start w:val="1"/>
      <w:numFmt w:val="bullet"/>
      <w:lvlText w:val="•"/>
      <w:lvlJc w:val="left"/>
      <w:pPr>
        <w:tabs>
          <w:tab w:val="num" w:pos="360"/>
        </w:tabs>
        <w:ind w:left="720" w:hanging="360"/>
      </w:pPr>
      <w:rPr>
        <w:rFonts w:ascii="Arial" w:eastAsia="Arial" w:hAnsi="Arial" w:cs="Arial"/>
        <w:b w:val="0"/>
        <w:i w:val="0"/>
        <w:strike w:val="0"/>
        <w:sz w:val="17"/>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noLeading/>
    <w:suppressTopSpacingWP/>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kern w:val="16"/>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numbering" w:customStyle="1" w:styleId="bulletasterisk">
    <w:name w:val="bullet.asterisk"/>
    <w:pPr>
      <w:numPr>
        <w:numId w:val="1"/>
      </w:numPr>
    </w:pPr>
  </w:style>
  <w:style w:type="numbering" w:customStyle="1" w:styleId="bulletcircle">
    <w:name w:val="bullet.circle"/>
    <w:pPr>
      <w:numPr>
        <w:numId w:val="2"/>
      </w:numPr>
    </w:pPr>
  </w:style>
  <w:style w:type="numbering" w:customStyle="1" w:styleId="bulletdagger">
    <w:name w:val="bullet.dagger"/>
    <w:pPr>
      <w:numPr>
        <w:numId w:val="3"/>
      </w:numPr>
    </w:pPr>
  </w:style>
  <w:style w:type="numbering" w:customStyle="1" w:styleId="bulletdash">
    <w:name w:val="bullet.dash"/>
    <w:pPr>
      <w:numPr>
        <w:numId w:val="4"/>
      </w:numPr>
    </w:pPr>
  </w:style>
  <w:style w:type="numbering" w:customStyle="1" w:styleId="bulletlargebox">
    <w:name w:val="bullet.largebox"/>
    <w:pPr>
      <w:numPr>
        <w:numId w:val="5"/>
      </w:numPr>
    </w:pPr>
  </w:style>
  <w:style w:type="numbering" w:customStyle="1" w:styleId="bulletround">
    <w:name w:val="bullet.round"/>
    <w:pPr>
      <w:numPr>
        <w:numId w:val="6"/>
      </w:numPr>
    </w:pPr>
  </w:style>
  <w:style w:type="numbering" w:customStyle="1" w:styleId="bulletsquare">
    <w:name w:val="bullet.square"/>
    <w:pPr>
      <w:numPr>
        <w:numId w:val="7"/>
      </w:numPr>
    </w:pPr>
  </w:style>
  <w:style w:type="numbering" w:customStyle="1" w:styleId="listarabic">
    <w:name w:val="list.arabic"/>
    <w:pPr>
      <w:numPr>
        <w:numId w:val="8"/>
      </w:numPr>
    </w:pPr>
  </w:style>
  <w:style w:type="numbering" w:customStyle="1" w:styleId="listlatinlowercase">
    <w:name w:val="list.latin.lowercase"/>
    <w:pPr>
      <w:numPr>
        <w:numId w:val="9"/>
      </w:numPr>
    </w:pPr>
  </w:style>
  <w:style w:type="numbering" w:customStyle="1" w:styleId="listlatinuppercase">
    <w:name w:val="list.latin.uppercase"/>
    <w:pPr>
      <w:numPr>
        <w:numId w:val="10"/>
      </w:numPr>
    </w:pPr>
  </w:style>
  <w:style w:type="numbering" w:customStyle="1" w:styleId="listromanlowercase">
    <w:name w:val="list.roman.lowercase"/>
    <w:pPr>
      <w:numPr>
        <w:numId w:val="11"/>
      </w:numPr>
    </w:pPr>
  </w:style>
  <w:style w:type="numbering" w:customStyle="1" w:styleId="listromanuppercase">
    <w:name w:val="list.roman.uppercase"/>
    <w:pPr>
      <w:numPr>
        <w:numId w:val="12"/>
      </w:numPr>
    </w:pPr>
  </w:style>
  <w:style w:type="numbering" w:customStyle="1" w:styleId="outlinearabic">
    <w:name w:val="outline.arabic"/>
    <w:pPr>
      <w:numPr>
        <w:numId w:val="13"/>
      </w:numP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00" Type="http://schemas.openxmlformats.org/officeDocument/2006/relationships/footer" Target="footer27.xml" /><Relationship Id="rId101" Type="http://schemas.openxmlformats.org/officeDocument/2006/relationships/header" Target="header29.xml" /><Relationship Id="rId102" Type="http://schemas.openxmlformats.org/officeDocument/2006/relationships/footer" Target="footer28.xml" /><Relationship Id="rId103" Type="http://schemas.openxmlformats.org/officeDocument/2006/relationships/header" Target="header30.xml" /><Relationship Id="rId104" Type="http://schemas.openxmlformats.org/officeDocument/2006/relationships/footer" Target="footer29.xml" /><Relationship Id="rId105" Type="http://schemas.openxmlformats.org/officeDocument/2006/relationships/header" Target="header31.xml" /><Relationship Id="rId106" Type="http://schemas.openxmlformats.org/officeDocument/2006/relationships/footer" Target="footer30.xml" /><Relationship Id="rId107" Type="http://schemas.openxmlformats.org/officeDocument/2006/relationships/image" Target="media/image43.jpeg" /><Relationship Id="rId108" Type="http://schemas.openxmlformats.org/officeDocument/2006/relationships/image" Target="media/image44.jpeg" /><Relationship Id="rId109" Type="http://schemas.openxmlformats.org/officeDocument/2006/relationships/header" Target="header32.xml" /><Relationship Id="rId11" Type="http://schemas.openxmlformats.org/officeDocument/2006/relationships/footer" Target="footer2.xml" /><Relationship Id="rId110" Type="http://schemas.openxmlformats.org/officeDocument/2006/relationships/footer" Target="footer31.xml" /><Relationship Id="rId111" Type="http://schemas.openxmlformats.org/officeDocument/2006/relationships/header" Target="header33.xml" /><Relationship Id="rId112" Type="http://schemas.openxmlformats.org/officeDocument/2006/relationships/footer" Target="footer32.xml" /><Relationship Id="rId113" Type="http://schemas.openxmlformats.org/officeDocument/2006/relationships/header" Target="header34.xml" /><Relationship Id="rId114" Type="http://schemas.openxmlformats.org/officeDocument/2006/relationships/footer" Target="footer33.xml" /><Relationship Id="rId115" Type="http://schemas.openxmlformats.org/officeDocument/2006/relationships/header" Target="header35.xml" /><Relationship Id="rId116" Type="http://schemas.openxmlformats.org/officeDocument/2006/relationships/footer" Target="footer34.xml" /><Relationship Id="rId117" Type="http://schemas.openxmlformats.org/officeDocument/2006/relationships/header" Target="header36.xml" /><Relationship Id="rId118" Type="http://schemas.openxmlformats.org/officeDocument/2006/relationships/footer" Target="footer35.xml" /><Relationship Id="rId119" Type="http://schemas.openxmlformats.org/officeDocument/2006/relationships/header" Target="header37.xml" /><Relationship Id="rId12" Type="http://schemas.openxmlformats.org/officeDocument/2006/relationships/image" Target="media/image5.jpeg" /><Relationship Id="rId120" Type="http://schemas.openxmlformats.org/officeDocument/2006/relationships/footer" Target="footer36.xml" /><Relationship Id="rId121" Type="http://schemas.openxmlformats.org/officeDocument/2006/relationships/header" Target="header38.xml" /><Relationship Id="rId122" Type="http://schemas.openxmlformats.org/officeDocument/2006/relationships/footer" Target="footer37.xml" /><Relationship Id="rId123" Type="http://schemas.openxmlformats.org/officeDocument/2006/relationships/header" Target="header39.xml" /><Relationship Id="rId124" Type="http://schemas.openxmlformats.org/officeDocument/2006/relationships/footer" Target="footer38.xml" /><Relationship Id="rId125" Type="http://schemas.openxmlformats.org/officeDocument/2006/relationships/header" Target="header40.xml" /><Relationship Id="rId126" Type="http://schemas.openxmlformats.org/officeDocument/2006/relationships/footer" Target="footer39.xml" /><Relationship Id="rId127" Type="http://schemas.openxmlformats.org/officeDocument/2006/relationships/header" Target="header41.xml" /><Relationship Id="rId128" Type="http://schemas.openxmlformats.org/officeDocument/2006/relationships/footer" Target="footer40.xml" /><Relationship Id="rId129" Type="http://schemas.openxmlformats.org/officeDocument/2006/relationships/header" Target="header42.xml" /><Relationship Id="rId13" Type="http://schemas.openxmlformats.org/officeDocument/2006/relationships/image" Target="media/image6.jpeg" /><Relationship Id="rId130" Type="http://schemas.openxmlformats.org/officeDocument/2006/relationships/footer" Target="footer41.xml" /><Relationship Id="rId131" Type="http://schemas.openxmlformats.org/officeDocument/2006/relationships/header" Target="header43.xml" /><Relationship Id="rId132" Type="http://schemas.openxmlformats.org/officeDocument/2006/relationships/footer" Target="footer42.xml" /><Relationship Id="rId133" Type="http://schemas.openxmlformats.org/officeDocument/2006/relationships/image" Target="media/image45.jpeg" /><Relationship Id="rId134" Type="http://schemas.openxmlformats.org/officeDocument/2006/relationships/image" Target="media/image46.jpeg" /><Relationship Id="rId135" Type="http://schemas.openxmlformats.org/officeDocument/2006/relationships/header" Target="header44.xml" /><Relationship Id="rId136" Type="http://schemas.openxmlformats.org/officeDocument/2006/relationships/footer" Target="footer43.xml" /><Relationship Id="rId137" Type="http://schemas.openxmlformats.org/officeDocument/2006/relationships/image" Target="media/image47.jpeg" /><Relationship Id="rId138" Type="http://schemas.openxmlformats.org/officeDocument/2006/relationships/image" Target="media/image48.jpeg" /><Relationship Id="rId139" Type="http://schemas.openxmlformats.org/officeDocument/2006/relationships/image" Target="media/image49.jpeg" /><Relationship Id="rId14" Type="http://schemas.openxmlformats.org/officeDocument/2006/relationships/image" Target="media/image7.jpeg" /><Relationship Id="rId140" Type="http://schemas.openxmlformats.org/officeDocument/2006/relationships/image" Target="media/image50.jpeg" /><Relationship Id="rId141" Type="http://schemas.openxmlformats.org/officeDocument/2006/relationships/header" Target="header45.xml" /><Relationship Id="rId142" Type="http://schemas.openxmlformats.org/officeDocument/2006/relationships/footer" Target="footer44.xml" /><Relationship Id="rId143" Type="http://schemas.openxmlformats.org/officeDocument/2006/relationships/header" Target="header46.xml" /><Relationship Id="rId144" Type="http://schemas.openxmlformats.org/officeDocument/2006/relationships/footer" Target="footer45.xml" /><Relationship Id="rId145" Type="http://schemas.openxmlformats.org/officeDocument/2006/relationships/image" Target="media/image51.jpeg" /><Relationship Id="rId146" Type="http://schemas.openxmlformats.org/officeDocument/2006/relationships/image" Target="media/image52.jpeg" /><Relationship Id="rId147" Type="http://schemas.openxmlformats.org/officeDocument/2006/relationships/image" Target="media/image53.jpeg" /><Relationship Id="rId148" Type="http://schemas.openxmlformats.org/officeDocument/2006/relationships/header" Target="header47.xml" /><Relationship Id="rId149" Type="http://schemas.openxmlformats.org/officeDocument/2006/relationships/footer" Target="footer46.xml" /><Relationship Id="rId15" Type="http://schemas.openxmlformats.org/officeDocument/2006/relationships/image" Target="media/image8.jpeg" /><Relationship Id="rId150" Type="http://schemas.openxmlformats.org/officeDocument/2006/relationships/image" Target="media/image54.jpeg" /><Relationship Id="rId151" Type="http://schemas.openxmlformats.org/officeDocument/2006/relationships/image" Target="media/image55.jpeg" /><Relationship Id="rId152" Type="http://schemas.openxmlformats.org/officeDocument/2006/relationships/image" Target="media/image56.jpeg" /><Relationship Id="rId153" Type="http://schemas.openxmlformats.org/officeDocument/2006/relationships/image" Target="media/image57.jpeg" /><Relationship Id="rId154" Type="http://schemas.openxmlformats.org/officeDocument/2006/relationships/header" Target="header48.xml" /><Relationship Id="rId155" Type="http://schemas.openxmlformats.org/officeDocument/2006/relationships/footer" Target="footer47.xml" /><Relationship Id="rId156" Type="http://schemas.openxmlformats.org/officeDocument/2006/relationships/header" Target="header49.xml" /><Relationship Id="rId157" Type="http://schemas.openxmlformats.org/officeDocument/2006/relationships/footer" Target="footer48.xml" /><Relationship Id="rId158" Type="http://schemas.openxmlformats.org/officeDocument/2006/relationships/header" Target="header50.xml" /><Relationship Id="rId159" Type="http://schemas.openxmlformats.org/officeDocument/2006/relationships/footer" Target="footer49.xml" /><Relationship Id="rId16" Type="http://schemas.openxmlformats.org/officeDocument/2006/relationships/image" Target="media/image9.jpeg" /><Relationship Id="rId160" Type="http://schemas.openxmlformats.org/officeDocument/2006/relationships/header" Target="header51.xml" /><Relationship Id="rId161" Type="http://schemas.openxmlformats.org/officeDocument/2006/relationships/footer" Target="footer50.xml" /><Relationship Id="rId162" Type="http://schemas.openxmlformats.org/officeDocument/2006/relationships/header" Target="header52.xml" /><Relationship Id="rId163" Type="http://schemas.openxmlformats.org/officeDocument/2006/relationships/footer" Target="footer51.xml" /><Relationship Id="rId164" Type="http://schemas.openxmlformats.org/officeDocument/2006/relationships/header" Target="header53.xml" /><Relationship Id="rId165" Type="http://schemas.openxmlformats.org/officeDocument/2006/relationships/footer" Target="footer52.xml" /><Relationship Id="rId166" Type="http://schemas.openxmlformats.org/officeDocument/2006/relationships/image" Target="media/image58.jpeg" /><Relationship Id="rId167" Type="http://schemas.openxmlformats.org/officeDocument/2006/relationships/header" Target="header54.xml" /><Relationship Id="rId168" Type="http://schemas.openxmlformats.org/officeDocument/2006/relationships/footer" Target="footer53.xml" /><Relationship Id="rId169" Type="http://schemas.openxmlformats.org/officeDocument/2006/relationships/image" Target="media/image59.jpeg" /><Relationship Id="rId17" Type="http://schemas.openxmlformats.org/officeDocument/2006/relationships/header" Target="header3.xml" /><Relationship Id="rId170" Type="http://schemas.openxmlformats.org/officeDocument/2006/relationships/image" Target="media/image60.jpeg" /><Relationship Id="rId171" Type="http://schemas.openxmlformats.org/officeDocument/2006/relationships/image" Target="media/image61.jpeg" /><Relationship Id="rId172" Type="http://schemas.openxmlformats.org/officeDocument/2006/relationships/image" Target="media/image62.jpeg" /><Relationship Id="rId173" Type="http://schemas.openxmlformats.org/officeDocument/2006/relationships/image" Target="media/image63.jpeg" /><Relationship Id="rId174" Type="http://schemas.openxmlformats.org/officeDocument/2006/relationships/image" Target="media/image64.jpeg" /><Relationship Id="rId175" Type="http://schemas.openxmlformats.org/officeDocument/2006/relationships/image" Target="media/image65.jpeg" /><Relationship Id="rId176" Type="http://schemas.openxmlformats.org/officeDocument/2006/relationships/image" Target="media/image66.jpeg" /><Relationship Id="rId177" Type="http://schemas.openxmlformats.org/officeDocument/2006/relationships/header" Target="header55.xml" /><Relationship Id="rId178" Type="http://schemas.openxmlformats.org/officeDocument/2006/relationships/footer" Target="footer54.xml" /><Relationship Id="rId179" Type="http://schemas.openxmlformats.org/officeDocument/2006/relationships/header" Target="header56.xml" /><Relationship Id="rId18" Type="http://schemas.openxmlformats.org/officeDocument/2006/relationships/header" Target="header4.xml" /><Relationship Id="rId180" Type="http://schemas.openxmlformats.org/officeDocument/2006/relationships/footer" Target="footer55.xml" /><Relationship Id="rId181" Type="http://schemas.openxmlformats.org/officeDocument/2006/relationships/header" Target="header57.xml" /><Relationship Id="rId182" Type="http://schemas.openxmlformats.org/officeDocument/2006/relationships/footer" Target="footer56.xml" /><Relationship Id="rId183" Type="http://schemas.openxmlformats.org/officeDocument/2006/relationships/header" Target="header58.xml" /><Relationship Id="rId184" Type="http://schemas.openxmlformats.org/officeDocument/2006/relationships/footer" Target="footer57.xml" /><Relationship Id="rId185" Type="http://schemas.openxmlformats.org/officeDocument/2006/relationships/header" Target="header59.xml" /><Relationship Id="rId186" Type="http://schemas.openxmlformats.org/officeDocument/2006/relationships/footer" Target="footer58.xml" /><Relationship Id="rId187" Type="http://schemas.openxmlformats.org/officeDocument/2006/relationships/header" Target="header60.xml" /><Relationship Id="rId188" Type="http://schemas.openxmlformats.org/officeDocument/2006/relationships/footer" Target="footer59.xml" /><Relationship Id="rId189" Type="http://schemas.openxmlformats.org/officeDocument/2006/relationships/header" Target="header61.xml" /><Relationship Id="rId19" Type="http://schemas.openxmlformats.org/officeDocument/2006/relationships/footer" Target="footer3.xml" /><Relationship Id="rId190" Type="http://schemas.openxmlformats.org/officeDocument/2006/relationships/footer" Target="footer60.xml" /><Relationship Id="rId191" Type="http://schemas.openxmlformats.org/officeDocument/2006/relationships/header" Target="header62.xml" /><Relationship Id="rId192" Type="http://schemas.openxmlformats.org/officeDocument/2006/relationships/footer" Target="footer61.xml" /><Relationship Id="rId193" Type="http://schemas.openxmlformats.org/officeDocument/2006/relationships/image" Target="media/image67.jpeg" /><Relationship Id="rId194" Type="http://schemas.openxmlformats.org/officeDocument/2006/relationships/header" Target="header63.xml" /><Relationship Id="rId195" Type="http://schemas.openxmlformats.org/officeDocument/2006/relationships/footer" Target="footer62.xml" /><Relationship Id="rId196" Type="http://schemas.openxmlformats.org/officeDocument/2006/relationships/image" Target="media/image68.png" /><Relationship Id="rId197" Type="http://schemas.openxmlformats.org/officeDocument/2006/relationships/image" Target="media/image69.png" /><Relationship Id="rId198" Type="http://schemas.openxmlformats.org/officeDocument/2006/relationships/header" Target="header64.xml" /><Relationship Id="rId199" Type="http://schemas.openxmlformats.org/officeDocument/2006/relationships/footer" Target="footer63.xml" /><Relationship Id="rId2" Type="http://schemas.openxmlformats.org/officeDocument/2006/relationships/webSettings" Target="webSettings.xml" /><Relationship Id="rId20" Type="http://schemas.openxmlformats.org/officeDocument/2006/relationships/image" Target="media/image10.jpeg" /><Relationship Id="rId200" Type="http://schemas.openxmlformats.org/officeDocument/2006/relationships/header" Target="header65.xml" /><Relationship Id="rId201" Type="http://schemas.openxmlformats.org/officeDocument/2006/relationships/footer" Target="footer64.xml" /><Relationship Id="rId202" Type="http://schemas.openxmlformats.org/officeDocument/2006/relationships/header" Target="header66.xml" /><Relationship Id="rId203" Type="http://schemas.openxmlformats.org/officeDocument/2006/relationships/footer" Target="footer65.xml" /><Relationship Id="rId204" Type="http://schemas.openxmlformats.org/officeDocument/2006/relationships/header" Target="header67.xml" /><Relationship Id="rId205" Type="http://schemas.openxmlformats.org/officeDocument/2006/relationships/footer" Target="footer66.xml" /><Relationship Id="rId206" Type="http://schemas.openxmlformats.org/officeDocument/2006/relationships/header" Target="header68.xml" /><Relationship Id="rId207" Type="http://schemas.openxmlformats.org/officeDocument/2006/relationships/footer" Target="footer67.xml" /><Relationship Id="rId208" Type="http://schemas.openxmlformats.org/officeDocument/2006/relationships/header" Target="header69.xml" /><Relationship Id="rId209" Type="http://schemas.openxmlformats.org/officeDocument/2006/relationships/footer" Target="footer68.xml" /><Relationship Id="rId21" Type="http://schemas.openxmlformats.org/officeDocument/2006/relationships/header" Target="header5.xml" /><Relationship Id="rId210" Type="http://schemas.openxmlformats.org/officeDocument/2006/relationships/header" Target="header70.xml" /><Relationship Id="rId211" Type="http://schemas.openxmlformats.org/officeDocument/2006/relationships/footer" Target="footer69.xml" /><Relationship Id="rId212" Type="http://schemas.openxmlformats.org/officeDocument/2006/relationships/header" Target="header71.xml" /><Relationship Id="rId213" Type="http://schemas.openxmlformats.org/officeDocument/2006/relationships/footer" Target="footer70.xml" /><Relationship Id="rId214" Type="http://schemas.openxmlformats.org/officeDocument/2006/relationships/header" Target="header72.xml" /><Relationship Id="rId215" Type="http://schemas.openxmlformats.org/officeDocument/2006/relationships/footer" Target="footer71.xml" /><Relationship Id="rId216" Type="http://schemas.openxmlformats.org/officeDocument/2006/relationships/header" Target="header73.xml" /><Relationship Id="rId217" Type="http://schemas.openxmlformats.org/officeDocument/2006/relationships/footer" Target="footer72.xml" /><Relationship Id="rId218" Type="http://schemas.openxmlformats.org/officeDocument/2006/relationships/header" Target="header74.xml" /><Relationship Id="rId219" Type="http://schemas.openxmlformats.org/officeDocument/2006/relationships/footer" Target="footer73.xml" /><Relationship Id="rId22" Type="http://schemas.openxmlformats.org/officeDocument/2006/relationships/footer" Target="footer4.xml" /><Relationship Id="rId220" Type="http://schemas.openxmlformats.org/officeDocument/2006/relationships/header" Target="header75.xml" /><Relationship Id="rId221" Type="http://schemas.openxmlformats.org/officeDocument/2006/relationships/footer" Target="footer74.xml" /><Relationship Id="rId222" Type="http://schemas.openxmlformats.org/officeDocument/2006/relationships/header" Target="header76.xml" /><Relationship Id="rId223" Type="http://schemas.openxmlformats.org/officeDocument/2006/relationships/footer" Target="footer75.xml" /><Relationship Id="rId224" Type="http://schemas.openxmlformats.org/officeDocument/2006/relationships/header" Target="header77.xml" /><Relationship Id="rId225" Type="http://schemas.openxmlformats.org/officeDocument/2006/relationships/footer" Target="footer76.xml" /><Relationship Id="rId226" Type="http://schemas.openxmlformats.org/officeDocument/2006/relationships/header" Target="header78.xml" /><Relationship Id="rId227" Type="http://schemas.openxmlformats.org/officeDocument/2006/relationships/footer" Target="footer77.xml" /><Relationship Id="rId228" Type="http://schemas.openxmlformats.org/officeDocument/2006/relationships/header" Target="header79.xml" /><Relationship Id="rId229" Type="http://schemas.openxmlformats.org/officeDocument/2006/relationships/footer" Target="footer78.xml" /><Relationship Id="rId23" Type="http://schemas.openxmlformats.org/officeDocument/2006/relationships/image" Target="media/image11.png" /><Relationship Id="rId230" Type="http://schemas.openxmlformats.org/officeDocument/2006/relationships/header" Target="header80.xml" /><Relationship Id="rId231" Type="http://schemas.openxmlformats.org/officeDocument/2006/relationships/footer" Target="footer79.xml" /><Relationship Id="rId232" Type="http://schemas.openxmlformats.org/officeDocument/2006/relationships/header" Target="header81.xml" /><Relationship Id="rId233" Type="http://schemas.openxmlformats.org/officeDocument/2006/relationships/footer" Target="footer80.xml" /><Relationship Id="rId234" Type="http://schemas.openxmlformats.org/officeDocument/2006/relationships/header" Target="header82.xml" /><Relationship Id="rId235" Type="http://schemas.openxmlformats.org/officeDocument/2006/relationships/footer" Target="footer81.xml" /><Relationship Id="rId236" Type="http://schemas.openxmlformats.org/officeDocument/2006/relationships/image" Target="media/image70.jpeg" /><Relationship Id="rId237" Type="http://schemas.openxmlformats.org/officeDocument/2006/relationships/header" Target="header83.xml" /><Relationship Id="rId238" Type="http://schemas.openxmlformats.org/officeDocument/2006/relationships/footer" Target="footer82.xml" /><Relationship Id="rId239" Type="http://schemas.openxmlformats.org/officeDocument/2006/relationships/header" Target="header84.xml" /><Relationship Id="rId24" Type="http://schemas.openxmlformats.org/officeDocument/2006/relationships/image" Target="media/image12.png" /><Relationship Id="rId240" Type="http://schemas.openxmlformats.org/officeDocument/2006/relationships/footer" Target="footer83.xml" /><Relationship Id="rId241" Type="http://schemas.openxmlformats.org/officeDocument/2006/relationships/header" Target="header85.xml" /><Relationship Id="rId242" Type="http://schemas.openxmlformats.org/officeDocument/2006/relationships/footer" Target="footer84.xml" /><Relationship Id="rId243" Type="http://schemas.openxmlformats.org/officeDocument/2006/relationships/image" Target="media/image71.jpeg" /><Relationship Id="rId244" Type="http://schemas.openxmlformats.org/officeDocument/2006/relationships/header" Target="header86.xml" /><Relationship Id="rId245" Type="http://schemas.openxmlformats.org/officeDocument/2006/relationships/footer" Target="footer85.xml" /><Relationship Id="rId246" Type="http://schemas.openxmlformats.org/officeDocument/2006/relationships/image" Target="media/image72.jpeg" /><Relationship Id="rId247" Type="http://schemas.openxmlformats.org/officeDocument/2006/relationships/header" Target="header87.xml" /><Relationship Id="rId248" Type="http://schemas.openxmlformats.org/officeDocument/2006/relationships/footer" Target="footer86.xml" /><Relationship Id="rId249" Type="http://schemas.openxmlformats.org/officeDocument/2006/relationships/image" Target="media/image73.jpeg" /><Relationship Id="rId25" Type="http://schemas.openxmlformats.org/officeDocument/2006/relationships/header" Target="header6.xml" /><Relationship Id="rId250" Type="http://schemas.openxmlformats.org/officeDocument/2006/relationships/header" Target="header88.xml" /><Relationship Id="rId251" Type="http://schemas.openxmlformats.org/officeDocument/2006/relationships/footer" Target="footer87.xml" /><Relationship Id="rId252" Type="http://schemas.openxmlformats.org/officeDocument/2006/relationships/image" Target="media/image74.jpeg" /><Relationship Id="rId253" Type="http://schemas.openxmlformats.org/officeDocument/2006/relationships/header" Target="header89.xml" /><Relationship Id="rId254" Type="http://schemas.openxmlformats.org/officeDocument/2006/relationships/footer" Target="footer88.xml" /><Relationship Id="rId255" Type="http://schemas.openxmlformats.org/officeDocument/2006/relationships/image" Target="media/image75.jpeg" /><Relationship Id="rId256" Type="http://schemas.openxmlformats.org/officeDocument/2006/relationships/header" Target="header90.xml" /><Relationship Id="rId257" Type="http://schemas.openxmlformats.org/officeDocument/2006/relationships/footer" Target="footer89.xml" /><Relationship Id="rId258" Type="http://schemas.openxmlformats.org/officeDocument/2006/relationships/image" Target="media/image76.jpeg" /><Relationship Id="rId259" Type="http://schemas.openxmlformats.org/officeDocument/2006/relationships/header" Target="header91.xml" /><Relationship Id="rId26" Type="http://schemas.openxmlformats.org/officeDocument/2006/relationships/footer" Target="footer5.xml" /><Relationship Id="rId260" Type="http://schemas.openxmlformats.org/officeDocument/2006/relationships/footer" Target="footer90.xml" /><Relationship Id="rId261" Type="http://schemas.openxmlformats.org/officeDocument/2006/relationships/header" Target="header92.xml" /><Relationship Id="rId262" Type="http://schemas.openxmlformats.org/officeDocument/2006/relationships/footer" Target="footer91.xml" /><Relationship Id="rId263" Type="http://schemas.openxmlformats.org/officeDocument/2006/relationships/header" Target="header93.xml" /><Relationship Id="rId264" Type="http://schemas.openxmlformats.org/officeDocument/2006/relationships/footer" Target="footer92.xml" /><Relationship Id="rId265" Type="http://schemas.openxmlformats.org/officeDocument/2006/relationships/header" Target="header94.xml" /><Relationship Id="rId266" Type="http://schemas.openxmlformats.org/officeDocument/2006/relationships/footer" Target="footer93.xml" /><Relationship Id="rId267" Type="http://schemas.openxmlformats.org/officeDocument/2006/relationships/header" Target="header95.xml" /><Relationship Id="rId268" Type="http://schemas.openxmlformats.org/officeDocument/2006/relationships/footer" Target="footer94.xml" /><Relationship Id="rId269" Type="http://schemas.openxmlformats.org/officeDocument/2006/relationships/header" Target="header96.xml" /><Relationship Id="rId27" Type="http://schemas.openxmlformats.org/officeDocument/2006/relationships/image" Target="media/image13.jpeg" /><Relationship Id="rId270" Type="http://schemas.openxmlformats.org/officeDocument/2006/relationships/footer" Target="footer95.xml" /><Relationship Id="rId271" Type="http://schemas.openxmlformats.org/officeDocument/2006/relationships/header" Target="header97.xml" /><Relationship Id="rId272" Type="http://schemas.openxmlformats.org/officeDocument/2006/relationships/footer" Target="footer96.xml" /><Relationship Id="rId273" Type="http://schemas.openxmlformats.org/officeDocument/2006/relationships/header" Target="header98.xml" /><Relationship Id="rId274" Type="http://schemas.openxmlformats.org/officeDocument/2006/relationships/footer" Target="footer97.xml" /><Relationship Id="rId275" Type="http://schemas.openxmlformats.org/officeDocument/2006/relationships/header" Target="header99.xml" /><Relationship Id="rId276" Type="http://schemas.openxmlformats.org/officeDocument/2006/relationships/footer" Target="footer98.xml" /><Relationship Id="rId277" Type="http://schemas.openxmlformats.org/officeDocument/2006/relationships/header" Target="header100.xml" /><Relationship Id="rId278" Type="http://schemas.openxmlformats.org/officeDocument/2006/relationships/footer" Target="footer99.xml" /><Relationship Id="rId279" Type="http://schemas.openxmlformats.org/officeDocument/2006/relationships/header" Target="header101.xml" /><Relationship Id="rId28" Type="http://schemas.openxmlformats.org/officeDocument/2006/relationships/header" Target="header7.xml" /><Relationship Id="rId280" Type="http://schemas.openxmlformats.org/officeDocument/2006/relationships/footer" Target="footer100.xml" /><Relationship Id="rId281" Type="http://schemas.openxmlformats.org/officeDocument/2006/relationships/header" Target="header102.xml" /><Relationship Id="rId282" Type="http://schemas.openxmlformats.org/officeDocument/2006/relationships/footer" Target="footer101.xml" /><Relationship Id="rId283" Type="http://schemas.openxmlformats.org/officeDocument/2006/relationships/header" Target="header103.xml" /><Relationship Id="rId284" Type="http://schemas.openxmlformats.org/officeDocument/2006/relationships/footer" Target="footer102.xml" /><Relationship Id="rId285" Type="http://schemas.openxmlformats.org/officeDocument/2006/relationships/header" Target="header104.xml" /><Relationship Id="rId286" Type="http://schemas.openxmlformats.org/officeDocument/2006/relationships/footer" Target="footer103.xml" /><Relationship Id="rId287" Type="http://schemas.openxmlformats.org/officeDocument/2006/relationships/header" Target="header105.xml" /><Relationship Id="rId288" Type="http://schemas.openxmlformats.org/officeDocument/2006/relationships/footer" Target="footer104.xml" /><Relationship Id="rId289" Type="http://schemas.openxmlformats.org/officeDocument/2006/relationships/header" Target="header106.xml" /><Relationship Id="rId29" Type="http://schemas.openxmlformats.org/officeDocument/2006/relationships/footer" Target="footer6.xml" /><Relationship Id="rId290" Type="http://schemas.openxmlformats.org/officeDocument/2006/relationships/footer" Target="footer105.xml" /><Relationship Id="rId291" Type="http://schemas.openxmlformats.org/officeDocument/2006/relationships/header" Target="header107.xml" /><Relationship Id="rId292" Type="http://schemas.openxmlformats.org/officeDocument/2006/relationships/footer" Target="footer106.xml" /><Relationship Id="rId293" Type="http://schemas.openxmlformats.org/officeDocument/2006/relationships/header" Target="header108.xml" /><Relationship Id="rId294" Type="http://schemas.openxmlformats.org/officeDocument/2006/relationships/footer" Target="footer107.xml" /><Relationship Id="rId295" Type="http://schemas.openxmlformats.org/officeDocument/2006/relationships/header" Target="header109.xml" /><Relationship Id="rId296" Type="http://schemas.openxmlformats.org/officeDocument/2006/relationships/footer" Target="footer108.xml" /><Relationship Id="rId297" Type="http://schemas.openxmlformats.org/officeDocument/2006/relationships/header" Target="header110.xml" /><Relationship Id="rId298" Type="http://schemas.openxmlformats.org/officeDocument/2006/relationships/footer" Target="footer109.xml" /><Relationship Id="rId299" Type="http://schemas.openxmlformats.org/officeDocument/2006/relationships/header" Target="header111.xml" /><Relationship Id="rId3" Type="http://schemas.openxmlformats.org/officeDocument/2006/relationships/fontTable" Target="fontTable.xml" /><Relationship Id="rId30" Type="http://schemas.openxmlformats.org/officeDocument/2006/relationships/header" Target="header8.xml" /><Relationship Id="rId300" Type="http://schemas.openxmlformats.org/officeDocument/2006/relationships/footer" Target="footer110.xml" /><Relationship Id="rId301" Type="http://schemas.openxmlformats.org/officeDocument/2006/relationships/header" Target="header112.xml" /><Relationship Id="rId302" Type="http://schemas.openxmlformats.org/officeDocument/2006/relationships/footer" Target="footer111.xml" /><Relationship Id="rId303" Type="http://schemas.openxmlformats.org/officeDocument/2006/relationships/header" Target="header113.xml" /><Relationship Id="rId304" Type="http://schemas.openxmlformats.org/officeDocument/2006/relationships/footer" Target="footer112.xml" /><Relationship Id="rId305" Type="http://schemas.openxmlformats.org/officeDocument/2006/relationships/header" Target="header114.xml" /><Relationship Id="rId306" Type="http://schemas.openxmlformats.org/officeDocument/2006/relationships/footer" Target="footer113.xml" /><Relationship Id="rId307" Type="http://schemas.openxmlformats.org/officeDocument/2006/relationships/header" Target="header115.xml" /><Relationship Id="rId308" Type="http://schemas.openxmlformats.org/officeDocument/2006/relationships/footer" Target="footer114.xml" /><Relationship Id="rId309" Type="http://schemas.openxmlformats.org/officeDocument/2006/relationships/header" Target="header116.xml" /><Relationship Id="rId31" Type="http://schemas.openxmlformats.org/officeDocument/2006/relationships/footer" Target="footer7.xml" /><Relationship Id="rId310" Type="http://schemas.openxmlformats.org/officeDocument/2006/relationships/footer" Target="footer115.xml" /><Relationship Id="rId311" Type="http://schemas.openxmlformats.org/officeDocument/2006/relationships/image" Target="media/image77.png" /><Relationship Id="rId312" Type="http://schemas.openxmlformats.org/officeDocument/2006/relationships/image" Target="media/image78.png" /><Relationship Id="rId313" Type="http://schemas.openxmlformats.org/officeDocument/2006/relationships/image" Target="media/image79.png" /><Relationship Id="rId314" Type="http://schemas.openxmlformats.org/officeDocument/2006/relationships/header" Target="header117.xml" /><Relationship Id="rId315" Type="http://schemas.openxmlformats.org/officeDocument/2006/relationships/footer" Target="footer116.xml" /><Relationship Id="rId316" Type="http://schemas.openxmlformats.org/officeDocument/2006/relationships/header" Target="header118.xml" /><Relationship Id="rId317" Type="http://schemas.openxmlformats.org/officeDocument/2006/relationships/footer" Target="footer117.xml" /><Relationship Id="rId318" Type="http://schemas.openxmlformats.org/officeDocument/2006/relationships/header" Target="header119.xml" /><Relationship Id="rId319" Type="http://schemas.openxmlformats.org/officeDocument/2006/relationships/footer" Target="footer118.xml" /><Relationship Id="rId32" Type="http://schemas.openxmlformats.org/officeDocument/2006/relationships/image" Target="media/image14.jpeg" /><Relationship Id="rId320" Type="http://schemas.openxmlformats.org/officeDocument/2006/relationships/header" Target="header120.xml" /><Relationship Id="rId321" Type="http://schemas.openxmlformats.org/officeDocument/2006/relationships/footer" Target="footer119.xml" /><Relationship Id="rId322" Type="http://schemas.openxmlformats.org/officeDocument/2006/relationships/header" Target="header121.xml" /><Relationship Id="rId323" Type="http://schemas.openxmlformats.org/officeDocument/2006/relationships/footer" Target="footer120.xml" /><Relationship Id="rId324" Type="http://schemas.openxmlformats.org/officeDocument/2006/relationships/header" Target="header122.xml" /><Relationship Id="rId325" Type="http://schemas.openxmlformats.org/officeDocument/2006/relationships/footer" Target="footer121.xml" /><Relationship Id="rId326" Type="http://schemas.openxmlformats.org/officeDocument/2006/relationships/header" Target="header123.xml" /><Relationship Id="rId327" Type="http://schemas.openxmlformats.org/officeDocument/2006/relationships/footer" Target="footer122.xml" /><Relationship Id="rId328" Type="http://schemas.openxmlformats.org/officeDocument/2006/relationships/header" Target="header124.xml" /><Relationship Id="rId329" Type="http://schemas.openxmlformats.org/officeDocument/2006/relationships/footer" Target="footer123.xml" /><Relationship Id="rId33" Type="http://schemas.openxmlformats.org/officeDocument/2006/relationships/image" Target="media/image15.jpeg" /><Relationship Id="rId330" Type="http://schemas.openxmlformats.org/officeDocument/2006/relationships/header" Target="header125.xml" /><Relationship Id="rId331" Type="http://schemas.openxmlformats.org/officeDocument/2006/relationships/footer" Target="footer124.xml" /><Relationship Id="rId332" Type="http://schemas.openxmlformats.org/officeDocument/2006/relationships/header" Target="header126.xml" /><Relationship Id="rId333" Type="http://schemas.openxmlformats.org/officeDocument/2006/relationships/footer" Target="footer125.xml" /><Relationship Id="rId334" Type="http://schemas.openxmlformats.org/officeDocument/2006/relationships/header" Target="header127.xml" /><Relationship Id="rId335" Type="http://schemas.openxmlformats.org/officeDocument/2006/relationships/footer" Target="footer126.xml" /><Relationship Id="rId336" Type="http://schemas.openxmlformats.org/officeDocument/2006/relationships/header" Target="header128.xml" /><Relationship Id="rId337" Type="http://schemas.openxmlformats.org/officeDocument/2006/relationships/footer" Target="footer127.xml" /><Relationship Id="rId338" Type="http://schemas.openxmlformats.org/officeDocument/2006/relationships/header" Target="header129.xml" /><Relationship Id="rId339" Type="http://schemas.openxmlformats.org/officeDocument/2006/relationships/footer" Target="footer128.xml" /><Relationship Id="rId34" Type="http://schemas.openxmlformats.org/officeDocument/2006/relationships/image" Target="media/image16.jpeg" /><Relationship Id="rId340" Type="http://schemas.openxmlformats.org/officeDocument/2006/relationships/header" Target="header130.xml" /><Relationship Id="rId341" Type="http://schemas.openxmlformats.org/officeDocument/2006/relationships/footer" Target="footer129.xml" /><Relationship Id="rId342" Type="http://schemas.openxmlformats.org/officeDocument/2006/relationships/header" Target="header131.xml" /><Relationship Id="rId343" Type="http://schemas.openxmlformats.org/officeDocument/2006/relationships/footer" Target="footer130.xml" /><Relationship Id="rId344" Type="http://schemas.openxmlformats.org/officeDocument/2006/relationships/header" Target="header132.xml" /><Relationship Id="rId345" Type="http://schemas.openxmlformats.org/officeDocument/2006/relationships/footer" Target="footer131.xml" /><Relationship Id="rId346" Type="http://schemas.openxmlformats.org/officeDocument/2006/relationships/header" Target="header133.xml" /><Relationship Id="rId347" Type="http://schemas.openxmlformats.org/officeDocument/2006/relationships/footer" Target="footer132.xml" /><Relationship Id="rId348" Type="http://schemas.openxmlformats.org/officeDocument/2006/relationships/header" Target="header134.xml" /><Relationship Id="rId349" Type="http://schemas.openxmlformats.org/officeDocument/2006/relationships/footer" Target="footer133.xml" /><Relationship Id="rId35" Type="http://schemas.openxmlformats.org/officeDocument/2006/relationships/header" Target="header9.xml" /><Relationship Id="rId350" Type="http://schemas.openxmlformats.org/officeDocument/2006/relationships/header" Target="header135.xml" /><Relationship Id="rId351" Type="http://schemas.openxmlformats.org/officeDocument/2006/relationships/footer" Target="footer134.xml" /><Relationship Id="rId352" Type="http://schemas.openxmlformats.org/officeDocument/2006/relationships/header" Target="header136.xml" /><Relationship Id="rId353" Type="http://schemas.openxmlformats.org/officeDocument/2006/relationships/footer" Target="footer135.xml" /><Relationship Id="rId354" Type="http://schemas.openxmlformats.org/officeDocument/2006/relationships/header" Target="header137.xml" /><Relationship Id="rId355" Type="http://schemas.openxmlformats.org/officeDocument/2006/relationships/footer" Target="footer136.xml" /><Relationship Id="rId356" Type="http://schemas.openxmlformats.org/officeDocument/2006/relationships/header" Target="header138.xml" /><Relationship Id="rId357" Type="http://schemas.openxmlformats.org/officeDocument/2006/relationships/footer" Target="footer137.xml" /><Relationship Id="rId358" Type="http://schemas.openxmlformats.org/officeDocument/2006/relationships/header" Target="header139.xml" /><Relationship Id="rId359" Type="http://schemas.openxmlformats.org/officeDocument/2006/relationships/footer" Target="footer138.xml" /><Relationship Id="rId36" Type="http://schemas.openxmlformats.org/officeDocument/2006/relationships/footer" Target="footer8.xml" /><Relationship Id="rId360" Type="http://schemas.openxmlformats.org/officeDocument/2006/relationships/header" Target="header140.xml" /><Relationship Id="rId361" Type="http://schemas.openxmlformats.org/officeDocument/2006/relationships/footer" Target="footer139.xml" /><Relationship Id="rId362" Type="http://schemas.openxmlformats.org/officeDocument/2006/relationships/header" Target="header141.xml" /><Relationship Id="rId363" Type="http://schemas.openxmlformats.org/officeDocument/2006/relationships/footer" Target="footer140.xml" /><Relationship Id="rId364" Type="http://schemas.openxmlformats.org/officeDocument/2006/relationships/header" Target="header142.xml" /><Relationship Id="rId365" Type="http://schemas.openxmlformats.org/officeDocument/2006/relationships/footer" Target="footer141.xml" /><Relationship Id="rId366" Type="http://schemas.openxmlformats.org/officeDocument/2006/relationships/header" Target="header143.xml" /><Relationship Id="rId367" Type="http://schemas.openxmlformats.org/officeDocument/2006/relationships/footer" Target="footer142.xml" /><Relationship Id="rId368" Type="http://schemas.openxmlformats.org/officeDocument/2006/relationships/header" Target="header144.xml" /><Relationship Id="rId369" Type="http://schemas.openxmlformats.org/officeDocument/2006/relationships/footer" Target="footer143.xml" /><Relationship Id="rId37" Type="http://schemas.openxmlformats.org/officeDocument/2006/relationships/header" Target="header10.xml" /><Relationship Id="rId370" Type="http://schemas.openxmlformats.org/officeDocument/2006/relationships/header" Target="header145.xml" /><Relationship Id="rId371" Type="http://schemas.openxmlformats.org/officeDocument/2006/relationships/footer" Target="footer144.xml" /><Relationship Id="rId372" Type="http://schemas.openxmlformats.org/officeDocument/2006/relationships/header" Target="header146.xml" /><Relationship Id="rId373" Type="http://schemas.openxmlformats.org/officeDocument/2006/relationships/footer" Target="footer145.xml" /><Relationship Id="rId374" Type="http://schemas.openxmlformats.org/officeDocument/2006/relationships/header" Target="header147.xml" /><Relationship Id="rId375" Type="http://schemas.openxmlformats.org/officeDocument/2006/relationships/footer" Target="footer146.xml" /><Relationship Id="rId376" Type="http://schemas.openxmlformats.org/officeDocument/2006/relationships/header" Target="header148.xml" /><Relationship Id="rId377" Type="http://schemas.openxmlformats.org/officeDocument/2006/relationships/footer" Target="footer147.xml" /><Relationship Id="rId378" Type="http://schemas.openxmlformats.org/officeDocument/2006/relationships/header" Target="header149.xml" /><Relationship Id="rId379" Type="http://schemas.openxmlformats.org/officeDocument/2006/relationships/footer" Target="footer148.xml" /><Relationship Id="rId38" Type="http://schemas.openxmlformats.org/officeDocument/2006/relationships/footer" Target="footer9.xml" /><Relationship Id="rId380" Type="http://schemas.openxmlformats.org/officeDocument/2006/relationships/header" Target="header150.xml" /><Relationship Id="rId381" Type="http://schemas.openxmlformats.org/officeDocument/2006/relationships/footer" Target="footer149.xml" /><Relationship Id="rId382" Type="http://schemas.openxmlformats.org/officeDocument/2006/relationships/header" Target="header151.xml" /><Relationship Id="rId383" Type="http://schemas.openxmlformats.org/officeDocument/2006/relationships/footer" Target="footer150.xml" /><Relationship Id="rId384" Type="http://schemas.openxmlformats.org/officeDocument/2006/relationships/header" Target="header152.xml" /><Relationship Id="rId385" Type="http://schemas.openxmlformats.org/officeDocument/2006/relationships/footer" Target="footer151.xml" /><Relationship Id="rId386" Type="http://schemas.openxmlformats.org/officeDocument/2006/relationships/header" Target="header153.xml" /><Relationship Id="rId387" Type="http://schemas.openxmlformats.org/officeDocument/2006/relationships/footer" Target="footer152.xml" /><Relationship Id="rId388" Type="http://schemas.openxmlformats.org/officeDocument/2006/relationships/image" Target="media/image80.jpeg" /><Relationship Id="rId389" Type="http://schemas.openxmlformats.org/officeDocument/2006/relationships/image" Target="media/image81.jpeg" /><Relationship Id="rId39" Type="http://schemas.openxmlformats.org/officeDocument/2006/relationships/header" Target="header11.xml" /><Relationship Id="rId390" Type="http://schemas.openxmlformats.org/officeDocument/2006/relationships/header" Target="header154.xml" /><Relationship Id="rId391" Type="http://schemas.openxmlformats.org/officeDocument/2006/relationships/footer" Target="footer153.xml" /><Relationship Id="rId392" Type="http://schemas.openxmlformats.org/officeDocument/2006/relationships/header" Target="header155.xml" /><Relationship Id="rId393" Type="http://schemas.openxmlformats.org/officeDocument/2006/relationships/footer" Target="footer154.xml" /><Relationship Id="rId394" Type="http://schemas.openxmlformats.org/officeDocument/2006/relationships/header" Target="header156.xml" /><Relationship Id="rId395" Type="http://schemas.openxmlformats.org/officeDocument/2006/relationships/footer" Target="footer155.xml" /><Relationship Id="rId396" Type="http://schemas.openxmlformats.org/officeDocument/2006/relationships/header" Target="header157.xml" /><Relationship Id="rId397" Type="http://schemas.openxmlformats.org/officeDocument/2006/relationships/footer" Target="footer156.xml" /><Relationship Id="rId398" Type="http://schemas.openxmlformats.org/officeDocument/2006/relationships/header" Target="header158.xml" /><Relationship Id="rId399" Type="http://schemas.openxmlformats.org/officeDocument/2006/relationships/footer" Target="footer157.xml" /><Relationship Id="rId4" Type="http://schemas.openxmlformats.org/officeDocument/2006/relationships/image" Target="media/image1.jpeg" /><Relationship Id="rId40" Type="http://schemas.openxmlformats.org/officeDocument/2006/relationships/footer" Target="footer10.xml" /><Relationship Id="rId400" Type="http://schemas.openxmlformats.org/officeDocument/2006/relationships/header" Target="header159.xml" /><Relationship Id="rId401" Type="http://schemas.openxmlformats.org/officeDocument/2006/relationships/footer" Target="footer158.xml" /><Relationship Id="rId402" Type="http://schemas.openxmlformats.org/officeDocument/2006/relationships/header" Target="header160.xml" /><Relationship Id="rId403" Type="http://schemas.openxmlformats.org/officeDocument/2006/relationships/footer" Target="footer159.xml" /><Relationship Id="rId404" Type="http://schemas.openxmlformats.org/officeDocument/2006/relationships/header" Target="header161.xml" /><Relationship Id="rId405" Type="http://schemas.openxmlformats.org/officeDocument/2006/relationships/footer" Target="footer160.xml" /><Relationship Id="rId406" Type="http://schemas.openxmlformats.org/officeDocument/2006/relationships/header" Target="header162.xml" /><Relationship Id="rId407" Type="http://schemas.openxmlformats.org/officeDocument/2006/relationships/footer" Target="footer161.xml" /><Relationship Id="rId408" Type="http://schemas.openxmlformats.org/officeDocument/2006/relationships/header" Target="header163.xml" /><Relationship Id="rId409" Type="http://schemas.openxmlformats.org/officeDocument/2006/relationships/footer" Target="footer162.xml" /><Relationship Id="rId41" Type="http://schemas.openxmlformats.org/officeDocument/2006/relationships/header" Target="header12.xml" /><Relationship Id="rId410" Type="http://schemas.openxmlformats.org/officeDocument/2006/relationships/header" Target="header164.xml" /><Relationship Id="rId411" Type="http://schemas.openxmlformats.org/officeDocument/2006/relationships/footer" Target="footer163.xml" /><Relationship Id="rId412" Type="http://schemas.openxmlformats.org/officeDocument/2006/relationships/header" Target="header165.xml" /><Relationship Id="rId413" Type="http://schemas.openxmlformats.org/officeDocument/2006/relationships/footer" Target="footer164.xml" /><Relationship Id="rId414" Type="http://schemas.openxmlformats.org/officeDocument/2006/relationships/header" Target="header166.xml" /><Relationship Id="rId415" Type="http://schemas.openxmlformats.org/officeDocument/2006/relationships/footer" Target="footer165.xml" /><Relationship Id="rId416" Type="http://schemas.openxmlformats.org/officeDocument/2006/relationships/header" Target="header167.xml" /><Relationship Id="rId417" Type="http://schemas.openxmlformats.org/officeDocument/2006/relationships/footer" Target="footer166.xml" /><Relationship Id="rId418" Type="http://schemas.openxmlformats.org/officeDocument/2006/relationships/header" Target="header168.xml" /><Relationship Id="rId419" Type="http://schemas.openxmlformats.org/officeDocument/2006/relationships/footer" Target="footer167.xml" /><Relationship Id="rId42" Type="http://schemas.openxmlformats.org/officeDocument/2006/relationships/footer" Target="footer11.xml" /><Relationship Id="rId420" Type="http://schemas.openxmlformats.org/officeDocument/2006/relationships/theme" Target="theme/theme1.xml" /><Relationship Id="rId421" Type="http://schemas.openxmlformats.org/officeDocument/2006/relationships/numbering" Target="numbering.xml" /><Relationship Id="rId422" Type="http://schemas.openxmlformats.org/officeDocument/2006/relationships/styles" Target="styles.xml" /><Relationship Id="rId43" Type="http://schemas.openxmlformats.org/officeDocument/2006/relationships/image" Target="media/image17.jpeg" /><Relationship Id="rId44" Type="http://schemas.openxmlformats.org/officeDocument/2006/relationships/header" Target="header13.xml" /><Relationship Id="rId45" Type="http://schemas.openxmlformats.org/officeDocument/2006/relationships/footer" Target="footer12.xml" /><Relationship Id="rId46" Type="http://schemas.openxmlformats.org/officeDocument/2006/relationships/image" Target="media/image18.jpeg" /><Relationship Id="rId47" Type="http://schemas.openxmlformats.org/officeDocument/2006/relationships/image" Target="media/image19.jpeg" /><Relationship Id="rId48" Type="http://schemas.openxmlformats.org/officeDocument/2006/relationships/image" Target="media/image20.jpeg" /><Relationship Id="rId49" Type="http://schemas.openxmlformats.org/officeDocument/2006/relationships/image" Target="media/image21.jpeg" /><Relationship Id="rId5" Type="http://schemas.openxmlformats.org/officeDocument/2006/relationships/header" Target="header1.xml" /><Relationship Id="rId50" Type="http://schemas.openxmlformats.org/officeDocument/2006/relationships/image" Target="media/image22.jpeg" /><Relationship Id="rId51" Type="http://schemas.openxmlformats.org/officeDocument/2006/relationships/image" Target="media/image23.jpeg" /><Relationship Id="rId52" Type="http://schemas.openxmlformats.org/officeDocument/2006/relationships/image" Target="media/image24.jpeg" /><Relationship Id="rId53" Type="http://schemas.openxmlformats.org/officeDocument/2006/relationships/image" Target="media/image25.jpeg" /><Relationship Id="rId54" Type="http://schemas.openxmlformats.org/officeDocument/2006/relationships/image" Target="media/image26.jpeg" /><Relationship Id="rId55" Type="http://schemas.openxmlformats.org/officeDocument/2006/relationships/image" Target="media/image27.jpeg" /><Relationship Id="rId56" Type="http://schemas.openxmlformats.org/officeDocument/2006/relationships/image" Target="media/image28.jpeg" /><Relationship Id="rId57" Type="http://schemas.openxmlformats.org/officeDocument/2006/relationships/image" Target="media/image29.jpeg" /><Relationship Id="rId58" Type="http://schemas.openxmlformats.org/officeDocument/2006/relationships/header" Target="header14.xml" /><Relationship Id="rId59" Type="http://schemas.openxmlformats.org/officeDocument/2006/relationships/footer" Target="footer13.xml" /><Relationship Id="rId6" Type="http://schemas.openxmlformats.org/officeDocument/2006/relationships/footer" Target="footer1.xml" /><Relationship Id="rId60" Type="http://schemas.openxmlformats.org/officeDocument/2006/relationships/header" Target="header15.xml" /><Relationship Id="rId61" Type="http://schemas.openxmlformats.org/officeDocument/2006/relationships/footer" Target="footer14.xml" /><Relationship Id="rId62" Type="http://schemas.openxmlformats.org/officeDocument/2006/relationships/header" Target="header16.xml" /><Relationship Id="rId63" Type="http://schemas.openxmlformats.org/officeDocument/2006/relationships/footer" Target="footer15.xml" /><Relationship Id="rId64" Type="http://schemas.openxmlformats.org/officeDocument/2006/relationships/header" Target="header17.xml" /><Relationship Id="rId65" Type="http://schemas.openxmlformats.org/officeDocument/2006/relationships/footer" Target="footer16.xml" /><Relationship Id="rId66" Type="http://schemas.openxmlformats.org/officeDocument/2006/relationships/header" Target="header18.xml" /><Relationship Id="rId67" Type="http://schemas.openxmlformats.org/officeDocument/2006/relationships/footer" Target="footer17.xml" /><Relationship Id="rId68" Type="http://schemas.openxmlformats.org/officeDocument/2006/relationships/header" Target="header19.xml" /><Relationship Id="rId69" Type="http://schemas.openxmlformats.org/officeDocument/2006/relationships/footer" Target="footer18.xml" /><Relationship Id="rId7" Type="http://schemas.openxmlformats.org/officeDocument/2006/relationships/image" Target="media/image2.jpeg" /><Relationship Id="rId70" Type="http://schemas.openxmlformats.org/officeDocument/2006/relationships/header" Target="header20.xml" /><Relationship Id="rId71" Type="http://schemas.openxmlformats.org/officeDocument/2006/relationships/footer" Target="footer19.xml" /><Relationship Id="rId72" Type="http://schemas.openxmlformats.org/officeDocument/2006/relationships/header" Target="header21.xml" /><Relationship Id="rId73" Type="http://schemas.openxmlformats.org/officeDocument/2006/relationships/footer" Target="footer20.xml" /><Relationship Id="rId74" Type="http://schemas.openxmlformats.org/officeDocument/2006/relationships/header" Target="header22.xml" /><Relationship Id="rId75" Type="http://schemas.openxmlformats.org/officeDocument/2006/relationships/footer" Target="footer21.xml" /><Relationship Id="rId76" Type="http://schemas.openxmlformats.org/officeDocument/2006/relationships/header" Target="header23.xml" /><Relationship Id="rId77" Type="http://schemas.openxmlformats.org/officeDocument/2006/relationships/footer" Target="footer22.xml" /><Relationship Id="rId78" Type="http://schemas.openxmlformats.org/officeDocument/2006/relationships/header" Target="header24.xml" /><Relationship Id="rId79" Type="http://schemas.openxmlformats.org/officeDocument/2006/relationships/footer" Target="footer23.xml" /><Relationship Id="rId8" Type="http://schemas.openxmlformats.org/officeDocument/2006/relationships/image" Target="media/image3.jpeg" /><Relationship Id="rId80" Type="http://schemas.openxmlformats.org/officeDocument/2006/relationships/image" Target="media/image30.jpeg" /><Relationship Id="rId81" Type="http://schemas.openxmlformats.org/officeDocument/2006/relationships/image" Target="media/image31.jpeg" /><Relationship Id="rId82" Type="http://schemas.openxmlformats.org/officeDocument/2006/relationships/image" Target="media/image32.jpeg" /><Relationship Id="rId83" Type="http://schemas.openxmlformats.org/officeDocument/2006/relationships/image" Target="media/image33.jpeg" /><Relationship Id="rId84" Type="http://schemas.openxmlformats.org/officeDocument/2006/relationships/image" Target="media/image34.jpeg" /><Relationship Id="rId85" Type="http://schemas.openxmlformats.org/officeDocument/2006/relationships/image" Target="media/image35.jpeg" /><Relationship Id="rId86" Type="http://schemas.openxmlformats.org/officeDocument/2006/relationships/image" Target="media/image36.jpeg" /><Relationship Id="rId87" Type="http://schemas.openxmlformats.org/officeDocument/2006/relationships/image" Target="media/image37.jpeg" /><Relationship Id="rId88" Type="http://schemas.openxmlformats.org/officeDocument/2006/relationships/image" Target="media/image38.jpeg" /><Relationship Id="rId89" Type="http://schemas.openxmlformats.org/officeDocument/2006/relationships/image" Target="media/image39.jpeg" /><Relationship Id="rId9" Type="http://schemas.openxmlformats.org/officeDocument/2006/relationships/image" Target="media/image4.jpeg" /><Relationship Id="rId90" Type="http://schemas.openxmlformats.org/officeDocument/2006/relationships/image" Target="media/image40.jpeg" /><Relationship Id="rId91" Type="http://schemas.openxmlformats.org/officeDocument/2006/relationships/image" Target="media/image41.jpeg" /><Relationship Id="rId92" Type="http://schemas.openxmlformats.org/officeDocument/2006/relationships/image" Target="media/image42.jpeg" /><Relationship Id="rId93" Type="http://schemas.openxmlformats.org/officeDocument/2006/relationships/header" Target="header25.xml" /><Relationship Id="rId94" Type="http://schemas.openxmlformats.org/officeDocument/2006/relationships/footer" Target="footer24.xml" /><Relationship Id="rId95" Type="http://schemas.openxmlformats.org/officeDocument/2006/relationships/header" Target="header26.xml" /><Relationship Id="rId96" Type="http://schemas.openxmlformats.org/officeDocument/2006/relationships/footer" Target="footer25.xml" /><Relationship Id="rId97" Type="http://schemas.openxmlformats.org/officeDocument/2006/relationships/header" Target="header27.xml" /><Relationship Id="rId98" Type="http://schemas.openxmlformats.org/officeDocument/2006/relationships/footer" Target="footer26.xml" /><Relationship Id="rId99" Type="http://schemas.openxmlformats.org/officeDocument/2006/relationships/header" Target="header28.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136</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ESGR-2024-DEF14A (Master)</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1094235827</vt:i4>
  </property>
  <property fmtid="{D5CDD505-2E9C-101B-9397-08002B2CF9AE}" pid="3" name="_NewReviewCycle">
    <vt:lpwstr/>
  </property>
  <property fmtid="{D5CDD505-2E9C-101B-9397-08002B2CF9AE}" pid="4" name="_EmailSubject">
    <vt:lpwstr>Ticket#234927/ Enstar Group Limited / [EXT] Enstar Annual Report / 10-k filing</vt:lpwstr>
  </property>
  <property fmtid="{D5CDD505-2E9C-101B-9397-08002B2CF9AE}" pid="5" name="_AuthorEmail">
    <vt:lpwstr>Kathie.Ruane@enstargroup.com</vt:lpwstr>
  </property>
  <property fmtid="{D5CDD505-2E9C-101B-9397-08002B2CF9AE}" pid="6" name="_AuthorEmailDisplayName">
    <vt:lpwstr>Kathie Ruane</vt:lpwstr>
  </property>
  <property fmtid="{D5CDD505-2E9C-101B-9397-08002B2CF9AE}" pid="7" name="_PreviousAdHocReviewCycleID">
    <vt:i4>1094235827</vt:i4>
  </property>
</Properties>
</file>